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24801837" w:displacedByCustomXml="next"/>
    <w:bookmarkEnd w:id="0" w:displacedByCustomXml="next"/>
    <w:sdt>
      <w:sdtPr>
        <w:rPr>
          <w:rFonts w:asciiTheme="majorHAnsi" w:eastAsiaTheme="majorEastAsia" w:hAnsiTheme="majorHAnsi" w:cstheme="majorBidi"/>
          <w:iCs/>
          <w:caps/>
          <w:color w:val="000000" w:themeColor="text1"/>
          <w:spacing w:val="20"/>
          <w:sz w:val="24"/>
          <w:szCs w:val="24"/>
        </w:rPr>
        <w:id w:val="1759328195"/>
        <w:docPartObj>
          <w:docPartGallery w:val="Cover Pages"/>
          <w:docPartUnique/>
        </w:docPartObj>
      </w:sdtPr>
      <w:sdtEndPr>
        <w:rPr>
          <w:rFonts w:asciiTheme="minorHAnsi" w:eastAsiaTheme="minorHAnsi" w:hAnsiTheme="minorHAnsi" w:cstheme="minorBidi"/>
          <w:iCs w:val="0"/>
          <w:color w:val="auto"/>
          <w:spacing w:val="0"/>
          <w:sz w:val="20"/>
          <w:szCs w:val="22"/>
        </w:rPr>
      </w:sdtEndPr>
      <w:sdtContent>
        <w:p w14:paraId="524D2708" w14:textId="77777777" w:rsidR="00CE3280" w:rsidRDefault="00CE3280" w:rsidP="00CE3280"/>
        <w:p w14:paraId="74DF460E" w14:textId="77777777" w:rsidR="00CE3280" w:rsidRDefault="00CE3280" w:rsidP="00CE3280"/>
        <w:p w14:paraId="348F735C" w14:textId="77777777" w:rsidR="00CE3280" w:rsidRDefault="00CE3280" w:rsidP="00CE3280"/>
        <w:p w14:paraId="7E495607" w14:textId="77777777" w:rsidR="00CE3280" w:rsidRDefault="00CE3280" w:rsidP="00CE3280"/>
        <w:p w14:paraId="5E7640EE" w14:textId="77777777" w:rsidR="00CE3280" w:rsidRDefault="00CE3280" w:rsidP="00CE3280"/>
        <w:p w14:paraId="79A5C3FF" w14:textId="77777777" w:rsidR="00CE3280" w:rsidRDefault="00CE3280" w:rsidP="00CE3280"/>
        <w:p w14:paraId="675D1029" w14:textId="77777777" w:rsidR="00CE3280" w:rsidRDefault="00CE3280" w:rsidP="00CE3280"/>
        <w:p w14:paraId="7841DEEA" w14:textId="77777777" w:rsidR="00CE3280" w:rsidRDefault="00CE3280" w:rsidP="00CE3280">
          <w:r w:rsidRPr="00CA0E11">
            <w:rPr>
              <w:noProof/>
              <w:lang w:eastAsia="pl-PL"/>
            </w:rPr>
            <w:drawing>
              <wp:inline distT="0" distB="0" distL="0" distR="0" wp14:anchorId="15E8D7D0" wp14:editId="7080164F">
                <wp:extent cx="1762125" cy="719455"/>
                <wp:effectExtent l="0" t="0" r="9525" b="4445"/>
                <wp:docPr id="10" name="Obraz 10" descr="Logo wykonawcy Wolański sp. z 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62125" cy="719455"/>
                        </a:xfrm>
                        <a:prstGeom prst="rect">
                          <a:avLst/>
                        </a:prstGeom>
                        <a:noFill/>
                        <a:ln>
                          <a:noFill/>
                        </a:ln>
                      </pic:spPr>
                    </pic:pic>
                  </a:graphicData>
                </a:graphic>
              </wp:inline>
            </w:drawing>
          </w:r>
          <w:bookmarkStart w:id="1" w:name="_GoBack"/>
          <w:bookmarkEnd w:id="1"/>
        </w:p>
        <w:p w14:paraId="1211B80A" w14:textId="7A35FC0B" w:rsidR="00CE3280" w:rsidRDefault="00C93FD7" w:rsidP="00C0739C">
          <w:pPr>
            <w:pStyle w:val="Tytu"/>
          </w:pPr>
          <w:sdt>
            <w:sdtPr>
              <w:rPr>
                <w:sz w:val="32"/>
                <w:szCs w:val="32"/>
              </w:rPr>
              <w:alias w:val="Tytuł"/>
              <w:tag w:val=""/>
              <w:id w:val="1828327770"/>
              <w:placeholder>
                <w:docPart w:val="D5B9E94FCDE94846A1E309A088110DEC"/>
              </w:placeholder>
              <w:dataBinding w:prefixMappings="xmlns:ns0='http://purl.org/dc/elements/1.1/' xmlns:ns1='http://schemas.openxmlformats.org/package/2006/metadata/core-properties' " w:xpath="/ns1:coreProperties[1]/ns0:title[1]" w:storeItemID="{6C3C8BC8-F283-45AE-878A-BAB7291924A1}"/>
              <w:text/>
            </w:sdtPr>
            <w:sdtContent>
              <w:r w:rsidR="000320FE">
                <w:rPr>
                  <w:sz w:val="32"/>
                  <w:szCs w:val="32"/>
                </w:rPr>
                <w:t>OCENA POPRAWY PŁYNNOŚCI I BEZPIECZEŃSTWA RUCHU W RAMACH VI OSI PRIORYTETOWEJ POIIŚ 2014-2020</w:t>
              </w:r>
            </w:sdtContent>
          </w:sdt>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tblGrid>
          <w:tr w:rsidR="00CE3280" w14:paraId="165690D0" w14:textId="77777777" w:rsidTr="00CE3280">
            <w:tc>
              <w:tcPr>
                <w:tcW w:w="5670" w:type="dxa"/>
                <w:gridSpan w:val="2"/>
                <w:tcMar>
                  <w:left w:w="0" w:type="dxa"/>
                  <w:right w:w="0" w:type="dxa"/>
                </w:tcMar>
              </w:tcPr>
              <w:sdt>
                <w:sdtPr>
                  <w:alias w:val="Streszczenie"/>
                  <w:tag w:val=""/>
                  <w:id w:val="145251614"/>
                  <w:placeholder>
                    <w:docPart w:val="568F20CA0BF449D1B85F3FC7AE2D6D12"/>
                  </w:placeholder>
                  <w:dataBinding w:prefixMappings="xmlns:ns0='http://schemas.microsoft.com/office/2006/coverPageProps' " w:xpath="/ns0:CoverPageProperties[1]/ns0:Abstract[1]" w:storeItemID="{55AF091B-3C7A-41E3-B477-F2FDAA23CFDA}"/>
                  <w:text/>
                </w:sdtPr>
                <w:sdtContent>
                  <w:p w14:paraId="4CCE0304" w14:textId="28512BA6" w:rsidR="00CE3280" w:rsidRDefault="000320FE" w:rsidP="00CE3280">
                    <w:pPr>
                      <w:pStyle w:val="Podtytu"/>
                    </w:pPr>
                    <w:r>
                      <w:t>raport końcowy</w:t>
                    </w:r>
                  </w:p>
                </w:sdtContent>
              </w:sdt>
            </w:tc>
          </w:tr>
          <w:tr w:rsidR="00CE3280" w14:paraId="62C37D3F" w14:textId="77777777" w:rsidTr="00CE3280">
            <w:tc>
              <w:tcPr>
                <w:tcW w:w="5670" w:type="dxa"/>
                <w:gridSpan w:val="2"/>
                <w:tcMar>
                  <w:left w:w="0" w:type="dxa"/>
                  <w:right w:w="0" w:type="dxa"/>
                </w:tcMar>
              </w:tcPr>
              <w:p w14:paraId="015138A6" w14:textId="77777777" w:rsidR="00CE3280" w:rsidRDefault="00A81BC0" w:rsidP="00CE3280">
                <w:pPr>
                  <w:pStyle w:val="Podtytu"/>
                </w:pPr>
                <w:r>
                  <w:t>listopad</w:t>
                </w:r>
                <w:r w:rsidR="00C0739C">
                  <w:t xml:space="preserve"> 201</w:t>
                </w:r>
                <w:r w:rsidR="0077152A">
                  <w:t>9</w:t>
                </w:r>
              </w:p>
              <w:p w14:paraId="11FE45AB" w14:textId="580635F7" w:rsidR="00FE3D2B" w:rsidRPr="00FE3D2B" w:rsidRDefault="00FE3D2B" w:rsidP="00FE3D2B"/>
            </w:tc>
          </w:tr>
          <w:tr w:rsidR="00CE3280" w14:paraId="3DC3CD4D" w14:textId="77777777" w:rsidTr="00CE3280">
            <w:tc>
              <w:tcPr>
                <w:tcW w:w="2835" w:type="dxa"/>
                <w:tcMar>
                  <w:left w:w="0" w:type="dxa"/>
                  <w:right w:w="0" w:type="dxa"/>
                </w:tcMar>
              </w:tcPr>
              <w:p w14:paraId="00A8C8B6" w14:textId="77777777" w:rsidR="00CE3280" w:rsidRDefault="00CE3280" w:rsidP="00CE3280">
                <w:r w:rsidRPr="00162A42">
                  <w:rPr>
                    <w:noProof/>
                    <w:lang w:eastAsia="pl-PL"/>
                  </w:rPr>
                  <w:drawing>
                    <wp:inline distT="0" distB="0" distL="0" distR="0" wp14:anchorId="03DFFE10" wp14:editId="599308E9">
                      <wp:extent cx="381000" cy="85725"/>
                      <wp:effectExtent l="0" t="0" r="0" b="9525"/>
                      <wp:docPr id="1" name="Obraz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1000" cy="85725"/>
                              </a:xfrm>
                              <a:prstGeom prst="rect">
                                <a:avLst/>
                              </a:prstGeom>
                            </pic:spPr>
                          </pic:pic>
                        </a:graphicData>
                      </a:graphic>
                    </wp:inline>
                  </w:drawing>
                </w:r>
              </w:p>
            </w:tc>
            <w:tc>
              <w:tcPr>
                <w:tcW w:w="2835" w:type="dxa"/>
                <w:tcMar>
                  <w:left w:w="0" w:type="dxa"/>
                  <w:right w:w="0" w:type="dxa"/>
                </w:tcMar>
              </w:tcPr>
              <w:p w14:paraId="66289407" w14:textId="77777777" w:rsidR="00CE3280" w:rsidRDefault="00CE3280" w:rsidP="00CE3280"/>
            </w:tc>
          </w:tr>
          <w:tr w:rsidR="00CE3280" w14:paraId="1BACACF9" w14:textId="77777777" w:rsidTr="00CE3280">
            <w:tc>
              <w:tcPr>
                <w:tcW w:w="2835" w:type="dxa"/>
                <w:tcMar>
                  <w:left w:w="0" w:type="dxa"/>
                  <w:right w:w="0" w:type="dxa"/>
                </w:tcMar>
                <w:vAlign w:val="bottom"/>
              </w:tcPr>
              <w:p w14:paraId="1BA7D279" w14:textId="102F5441" w:rsidR="00CE3280" w:rsidRDefault="00CE3280" w:rsidP="00CE3280">
                <w:pPr>
                  <w:spacing w:before="80" w:after="80"/>
                  <w:jc w:val="left"/>
                </w:pPr>
                <w:r>
                  <w:t>dr Michał Wolański</w:t>
                </w:r>
              </w:p>
              <w:p w14:paraId="02C008F3" w14:textId="78B17E01" w:rsidR="00A81BC0" w:rsidRDefault="00A81BC0" w:rsidP="00CE3280">
                <w:pPr>
                  <w:spacing w:before="80" w:after="80"/>
                  <w:jc w:val="left"/>
                </w:pPr>
                <w:r>
                  <w:t>Mirosław Czerliński</w:t>
                </w:r>
              </w:p>
              <w:p w14:paraId="22A1ACDF" w14:textId="02EDF9C2" w:rsidR="00C0739C" w:rsidRDefault="00C0739C" w:rsidP="00CE3280">
                <w:pPr>
                  <w:spacing w:before="80" w:after="80"/>
                  <w:jc w:val="left"/>
                </w:pPr>
                <w:r>
                  <w:t>Paulina Kozłowska</w:t>
                </w:r>
              </w:p>
              <w:p w14:paraId="7E9349C9" w14:textId="7A8EF20A" w:rsidR="0077152A" w:rsidRDefault="0077152A" w:rsidP="00CE3280">
                <w:pPr>
                  <w:spacing w:before="80" w:after="80"/>
                  <w:jc w:val="left"/>
                </w:pPr>
                <w:r>
                  <w:t>Wiktor Mrozowski</w:t>
                </w:r>
              </w:p>
              <w:p w14:paraId="1E22C1CE" w14:textId="77777777" w:rsidR="0077152A" w:rsidRDefault="0077152A" w:rsidP="00CE3280">
                <w:pPr>
                  <w:spacing w:before="80" w:after="80"/>
                  <w:jc w:val="left"/>
                </w:pPr>
                <w:r>
                  <w:t>Mateusz Pieróg</w:t>
                </w:r>
              </w:p>
              <w:p w14:paraId="7D43CFAD" w14:textId="602C59BB" w:rsidR="0077152A" w:rsidRDefault="0077152A" w:rsidP="00CE3280">
                <w:pPr>
                  <w:spacing w:before="80" w:after="80"/>
                  <w:jc w:val="left"/>
                </w:pPr>
                <w:r>
                  <w:t xml:space="preserve">Łukasz </w:t>
                </w:r>
                <w:proofErr w:type="spellStart"/>
                <w:r>
                  <w:t>Widła</w:t>
                </w:r>
                <w:proofErr w:type="spellEnd"/>
                <w:r>
                  <w:t>-Domaradzki</w:t>
                </w:r>
              </w:p>
            </w:tc>
            <w:tc>
              <w:tcPr>
                <w:tcW w:w="2835" w:type="dxa"/>
                <w:tcMar>
                  <w:left w:w="0" w:type="dxa"/>
                  <w:right w:w="0" w:type="dxa"/>
                </w:tcMar>
                <w:vAlign w:val="bottom"/>
              </w:tcPr>
              <w:p w14:paraId="4F5E07C3" w14:textId="77777777" w:rsidR="00CE3280" w:rsidRDefault="00CE3280" w:rsidP="00CE3280">
                <w:pPr>
                  <w:spacing w:before="80" w:after="80"/>
                  <w:jc w:val="left"/>
                </w:pPr>
              </w:p>
              <w:p w14:paraId="6183E31D" w14:textId="74A366E3" w:rsidR="0077152A" w:rsidRPr="0077152A" w:rsidRDefault="0077152A" w:rsidP="0077152A"/>
            </w:tc>
          </w:tr>
          <w:tr w:rsidR="0077152A" w14:paraId="58F67B88" w14:textId="77777777" w:rsidTr="00CE3280">
            <w:tc>
              <w:tcPr>
                <w:tcW w:w="2835" w:type="dxa"/>
                <w:tcMar>
                  <w:left w:w="0" w:type="dxa"/>
                  <w:right w:w="0" w:type="dxa"/>
                </w:tcMar>
                <w:vAlign w:val="bottom"/>
              </w:tcPr>
              <w:p w14:paraId="01632AF0" w14:textId="77777777" w:rsidR="0077152A" w:rsidRDefault="0077152A" w:rsidP="00CE3280">
                <w:pPr>
                  <w:spacing w:before="80" w:after="80"/>
                  <w:jc w:val="left"/>
                </w:pPr>
              </w:p>
            </w:tc>
            <w:tc>
              <w:tcPr>
                <w:tcW w:w="2835" w:type="dxa"/>
                <w:tcMar>
                  <w:left w:w="0" w:type="dxa"/>
                  <w:right w:w="0" w:type="dxa"/>
                </w:tcMar>
                <w:vAlign w:val="bottom"/>
              </w:tcPr>
              <w:p w14:paraId="5472F38E" w14:textId="77777777" w:rsidR="0077152A" w:rsidRPr="002D42A0" w:rsidRDefault="0077152A" w:rsidP="00CE3280">
                <w:pPr>
                  <w:spacing w:before="80" w:after="80"/>
                  <w:rPr>
                    <w:rFonts w:asciiTheme="majorHAnsi" w:hAnsiTheme="majorHAnsi"/>
                    <w:caps/>
                    <w:sz w:val="16"/>
                    <w:szCs w:val="20"/>
                  </w:rPr>
                </w:pPr>
              </w:p>
            </w:tc>
          </w:tr>
        </w:tbl>
        <w:p w14:paraId="1240BD20" w14:textId="3AECFEBC" w:rsidR="00817F47" w:rsidRDefault="00817F47" w:rsidP="00817F47"/>
        <w:p w14:paraId="30F55222" w14:textId="77777777" w:rsidR="003E2398" w:rsidRPr="00817F47" w:rsidRDefault="003E2398" w:rsidP="00817F47"/>
        <w:p w14:paraId="300D17CE" w14:textId="3D2C4C05" w:rsidR="00817F47" w:rsidRPr="00817F47" w:rsidRDefault="00817F47" w:rsidP="00817F47">
          <w:pPr>
            <w:tabs>
              <w:tab w:val="left" w:pos="6525"/>
            </w:tabs>
          </w:pPr>
          <w:r>
            <w:lastRenderedPageBreak/>
            <w:tab/>
          </w:r>
        </w:p>
        <w:p w14:paraId="7D4E9434" w14:textId="6C4F66EC" w:rsidR="00817F47" w:rsidRPr="00817F47" w:rsidRDefault="00817F47" w:rsidP="00817F47">
          <w:pPr>
            <w:tabs>
              <w:tab w:val="left" w:pos="6525"/>
            </w:tabs>
            <w:sectPr w:rsidR="00817F47" w:rsidRPr="00817F47" w:rsidSect="00FD107C">
              <w:headerReference w:type="default" r:id="rId11"/>
              <w:footerReference w:type="default" r:id="rId12"/>
              <w:headerReference w:type="first" r:id="rId13"/>
              <w:footerReference w:type="first" r:id="rId14"/>
              <w:pgSz w:w="11906" w:h="16838" w:code="9"/>
              <w:pgMar w:top="1418" w:right="1134" w:bottom="1418" w:left="2268" w:header="142" w:footer="709" w:gutter="0"/>
              <w:pgNumType w:start="1"/>
              <w:cols w:space="708"/>
              <w:titlePg/>
              <w:docGrid w:linePitch="360"/>
            </w:sectPr>
          </w:pPr>
          <w:r>
            <w:tab/>
          </w:r>
        </w:p>
        <w:bookmarkStart w:id="2" w:name="_Toc473546790" w:displacedByCustomXml="next"/>
        <w:bookmarkStart w:id="3" w:name="_Toc473541930" w:displacedByCustomXml="next"/>
        <w:sdt>
          <w:sdtPr>
            <w:rPr>
              <w:rFonts w:asciiTheme="minorHAnsi" w:eastAsiaTheme="minorHAnsi" w:hAnsiTheme="minorHAnsi" w:cstheme="minorBidi"/>
              <w:caps w:val="0"/>
              <w:spacing w:val="0"/>
              <w:sz w:val="22"/>
              <w:szCs w:val="22"/>
              <w:lang w:eastAsia="en-US"/>
            </w:rPr>
            <w:id w:val="-2078356085"/>
            <w:docPartObj>
              <w:docPartGallery w:val="Table of Contents"/>
              <w:docPartUnique/>
            </w:docPartObj>
          </w:sdtPr>
          <w:sdtEndPr>
            <w:rPr>
              <w:b/>
              <w:bCs/>
              <w:sz w:val="20"/>
            </w:rPr>
          </w:sdtEndPr>
          <w:sdtContent>
            <w:p w14:paraId="4A9897C9" w14:textId="77777777" w:rsidR="00F24DCD" w:rsidRDefault="00F24DCD" w:rsidP="00F06D0A">
              <w:pPr>
                <w:pStyle w:val="Nagwekspisutreci"/>
              </w:pPr>
              <w:r>
                <w:t>Spis treści</w:t>
              </w:r>
            </w:p>
            <w:p w14:paraId="53C86D80" w14:textId="4DD3CF2C" w:rsidR="00C93FD7" w:rsidRDefault="00F24DCD">
              <w:pPr>
                <w:pStyle w:val="Spistreci1"/>
                <w:tabs>
                  <w:tab w:val="right" w:leader="dot" w:pos="9061"/>
                </w:tabs>
                <w:rPr>
                  <w:rFonts w:eastAsiaTheme="minorEastAsia"/>
                  <w:noProof/>
                  <w:sz w:val="22"/>
                  <w:lang w:eastAsia="pl-PL"/>
                </w:rPr>
              </w:pPr>
              <w:r>
                <w:fldChar w:fldCharType="begin"/>
              </w:r>
              <w:r>
                <w:instrText xml:space="preserve"> TOC \o "1-3" \h \z \u </w:instrText>
              </w:r>
              <w:r>
                <w:fldChar w:fldCharType="separate"/>
              </w:r>
              <w:hyperlink w:anchor="_Toc27125314" w:history="1">
                <w:r w:rsidR="00C93FD7" w:rsidRPr="00F254AE">
                  <w:rPr>
                    <w:rStyle w:val="Hipercze"/>
                    <w:noProof/>
                  </w:rPr>
                  <w:t>Słownik skrótów i akronimów</w:t>
                </w:r>
                <w:r w:rsidR="00C93FD7">
                  <w:rPr>
                    <w:noProof/>
                    <w:webHidden/>
                  </w:rPr>
                  <w:tab/>
                </w:r>
                <w:r w:rsidR="00C93FD7">
                  <w:rPr>
                    <w:noProof/>
                    <w:webHidden/>
                  </w:rPr>
                  <w:fldChar w:fldCharType="begin"/>
                </w:r>
                <w:r w:rsidR="00C93FD7">
                  <w:rPr>
                    <w:noProof/>
                    <w:webHidden/>
                  </w:rPr>
                  <w:instrText xml:space="preserve"> PAGEREF _Toc27125314 \h </w:instrText>
                </w:r>
                <w:r w:rsidR="00C93FD7">
                  <w:rPr>
                    <w:noProof/>
                    <w:webHidden/>
                  </w:rPr>
                </w:r>
                <w:r w:rsidR="00C93FD7">
                  <w:rPr>
                    <w:noProof/>
                    <w:webHidden/>
                  </w:rPr>
                  <w:fldChar w:fldCharType="separate"/>
                </w:r>
                <w:r w:rsidR="00C93FD7">
                  <w:rPr>
                    <w:noProof/>
                    <w:webHidden/>
                  </w:rPr>
                  <w:t>3</w:t>
                </w:r>
                <w:r w:rsidR="00C93FD7">
                  <w:rPr>
                    <w:noProof/>
                    <w:webHidden/>
                  </w:rPr>
                  <w:fldChar w:fldCharType="end"/>
                </w:r>
              </w:hyperlink>
            </w:p>
            <w:p w14:paraId="4B1DAB14" w14:textId="74423E58" w:rsidR="00C93FD7" w:rsidRDefault="00C93FD7">
              <w:pPr>
                <w:pStyle w:val="Spistreci1"/>
                <w:tabs>
                  <w:tab w:val="right" w:leader="dot" w:pos="9061"/>
                </w:tabs>
                <w:rPr>
                  <w:rFonts w:eastAsiaTheme="minorEastAsia"/>
                  <w:noProof/>
                  <w:sz w:val="22"/>
                  <w:lang w:eastAsia="pl-PL"/>
                </w:rPr>
              </w:pPr>
              <w:hyperlink w:anchor="_Toc27125315" w:history="1">
                <w:r w:rsidRPr="00F254AE">
                  <w:rPr>
                    <w:rStyle w:val="Hipercze"/>
                    <w:noProof/>
                  </w:rPr>
                  <w:t>Streszczenie</w:t>
                </w:r>
                <w:r>
                  <w:rPr>
                    <w:noProof/>
                    <w:webHidden/>
                  </w:rPr>
                  <w:tab/>
                </w:r>
                <w:r>
                  <w:rPr>
                    <w:noProof/>
                    <w:webHidden/>
                  </w:rPr>
                  <w:fldChar w:fldCharType="begin"/>
                </w:r>
                <w:r>
                  <w:rPr>
                    <w:noProof/>
                    <w:webHidden/>
                  </w:rPr>
                  <w:instrText xml:space="preserve"> PAGEREF _Toc27125315 \h </w:instrText>
                </w:r>
                <w:r>
                  <w:rPr>
                    <w:noProof/>
                    <w:webHidden/>
                  </w:rPr>
                </w:r>
                <w:r>
                  <w:rPr>
                    <w:noProof/>
                    <w:webHidden/>
                  </w:rPr>
                  <w:fldChar w:fldCharType="separate"/>
                </w:r>
                <w:r>
                  <w:rPr>
                    <w:noProof/>
                    <w:webHidden/>
                  </w:rPr>
                  <w:t>4</w:t>
                </w:r>
                <w:r>
                  <w:rPr>
                    <w:noProof/>
                    <w:webHidden/>
                  </w:rPr>
                  <w:fldChar w:fldCharType="end"/>
                </w:r>
              </w:hyperlink>
            </w:p>
            <w:p w14:paraId="4C390777" w14:textId="5C09551E" w:rsidR="00C93FD7" w:rsidRDefault="00C93FD7">
              <w:pPr>
                <w:pStyle w:val="Spistreci1"/>
                <w:tabs>
                  <w:tab w:val="right" w:leader="dot" w:pos="9061"/>
                </w:tabs>
                <w:rPr>
                  <w:rFonts w:eastAsiaTheme="minorEastAsia"/>
                  <w:noProof/>
                  <w:sz w:val="22"/>
                  <w:lang w:eastAsia="pl-PL"/>
                </w:rPr>
              </w:pPr>
              <w:hyperlink w:anchor="_Toc27125316" w:history="1">
                <w:r w:rsidRPr="00F254AE">
                  <w:rPr>
                    <w:rStyle w:val="Hipercze"/>
                    <w:noProof/>
                  </w:rPr>
                  <w:t>Summary</w:t>
                </w:r>
                <w:r>
                  <w:rPr>
                    <w:noProof/>
                    <w:webHidden/>
                  </w:rPr>
                  <w:tab/>
                </w:r>
                <w:r>
                  <w:rPr>
                    <w:noProof/>
                    <w:webHidden/>
                  </w:rPr>
                  <w:fldChar w:fldCharType="begin"/>
                </w:r>
                <w:r>
                  <w:rPr>
                    <w:noProof/>
                    <w:webHidden/>
                  </w:rPr>
                  <w:instrText xml:space="preserve"> PAGEREF _Toc27125316 \h </w:instrText>
                </w:r>
                <w:r>
                  <w:rPr>
                    <w:noProof/>
                    <w:webHidden/>
                  </w:rPr>
                </w:r>
                <w:r>
                  <w:rPr>
                    <w:noProof/>
                    <w:webHidden/>
                  </w:rPr>
                  <w:fldChar w:fldCharType="separate"/>
                </w:r>
                <w:r>
                  <w:rPr>
                    <w:noProof/>
                    <w:webHidden/>
                  </w:rPr>
                  <w:t>8</w:t>
                </w:r>
                <w:r>
                  <w:rPr>
                    <w:noProof/>
                    <w:webHidden/>
                  </w:rPr>
                  <w:fldChar w:fldCharType="end"/>
                </w:r>
              </w:hyperlink>
            </w:p>
            <w:p w14:paraId="42E03AF8" w14:textId="08E09B34" w:rsidR="00C93FD7" w:rsidRDefault="00C93FD7">
              <w:pPr>
                <w:pStyle w:val="Spistreci1"/>
                <w:tabs>
                  <w:tab w:val="left" w:pos="440"/>
                  <w:tab w:val="right" w:leader="dot" w:pos="9061"/>
                </w:tabs>
                <w:rPr>
                  <w:rFonts w:eastAsiaTheme="minorEastAsia"/>
                  <w:noProof/>
                  <w:sz w:val="22"/>
                  <w:lang w:eastAsia="pl-PL"/>
                </w:rPr>
              </w:pPr>
              <w:hyperlink w:anchor="_Toc27125317" w:history="1">
                <w:r w:rsidRPr="00F254AE">
                  <w:rPr>
                    <w:rStyle w:val="Hipercze"/>
                    <w:noProof/>
                  </w:rPr>
                  <w:t>1.</w:t>
                </w:r>
                <w:r>
                  <w:rPr>
                    <w:rFonts w:eastAsiaTheme="minorEastAsia"/>
                    <w:noProof/>
                    <w:sz w:val="22"/>
                    <w:lang w:eastAsia="pl-PL"/>
                  </w:rPr>
                  <w:tab/>
                </w:r>
                <w:r w:rsidRPr="00F254AE">
                  <w:rPr>
                    <w:rStyle w:val="Hipercze"/>
                    <w:noProof/>
                  </w:rPr>
                  <w:t>Wprowadzenie</w:t>
                </w:r>
                <w:r>
                  <w:rPr>
                    <w:noProof/>
                    <w:webHidden/>
                  </w:rPr>
                  <w:tab/>
                </w:r>
                <w:r>
                  <w:rPr>
                    <w:noProof/>
                    <w:webHidden/>
                  </w:rPr>
                  <w:fldChar w:fldCharType="begin"/>
                </w:r>
                <w:r>
                  <w:rPr>
                    <w:noProof/>
                    <w:webHidden/>
                  </w:rPr>
                  <w:instrText xml:space="preserve"> PAGEREF _Toc27125317 \h </w:instrText>
                </w:r>
                <w:r>
                  <w:rPr>
                    <w:noProof/>
                    <w:webHidden/>
                  </w:rPr>
                </w:r>
                <w:r>
                  <w:rPr>
                    <w:noProof/>
                    <w:webHidden/>
                  </w:rPr>
                  <w:fldChar w:fldCharType="separate"/>
                </w:r>
                <w:r>
                  <w:rPr>
                    <w:noProof/>
                    <w:webHidden/>
                  </w:rPr>
                  <w:t>12</w:t>
                </w:r>
                <w:r>
                  <w:rPr>
                    <w:noProof/>
                    <w:webHidden/>
                  </w:rPr>
                  <w:fldChar w:fldCharType="end"/>
                </w:r>
              </w:hyperlink>
            </w:p>
            <w:p w14:paraId="2F4314A9" w14:textId="36DAA68A" w:rsidR="00C93FD7" w:rsidRDefault="00C93FD7">
              <w:pPr>
                <w:pStyle w:val="Spistreci2"/>
                <w:tabs>
                  <w:tab w:val="left" w:pos="880"/>
                  <w:tab w:val="right" w:leader="dot" w:pos="9061"/>
                </w:tabs>
                <w:rPr>
                  <w:rFonts w:eastAsiaTheme="minorEastAsia"/>
                  <w:noProof/>
                  <w:sz w:val="22"/>
                  <w:lang w:eastAsia="pl-PL"/>
                </w:rPr>
              </w:pPr>
              <w:hyperlink w:anchor="_Toc27125318" w:history="1">
                <w:r w:rsidRPr="00F254AE">
                  <w:rPr>
                    <w:rStyle w:val="Hipercze"/>
                    <w:noProof/>
                  </w:rPr>
                  <w:t>1.1.</w:t>
                </w:r>
                <w:r>
                  <w:rPr>
                    <w:rFonts w:eastAsiaTheme="minorEastAsia"/>
                    <w:noProof/>
                    <w:sz w:val="22"/>
                    <w:lang w:eastAsia="pl-PL"/>
                  </w:rPr>
                  <w:tab/>
                </w:r>
                <w:r w:rsidRPr="00F254AE">
                  <w:rPr>
                    <w:rStyle w:val="Hipercze"/>
                    <w:noProof/>
                  </w:rPr>
                  <w:t>Przedmiot badania, jego główne założenia i cele</w:t>
                </w:r>
                <w:r>
                  <w:rPr>
                    <w:noProof/>
                    <w:webHidden/>
                  </w:rPr>
                  <w:tab/>
                </w:r>
                <w:r>
                  <w:rPr>
                    <w:noProof/>
                    <w:webHidden/>
                  </w:rPr>
                  <w:fldChar w:fldCharType="begin"/>
                </w:r>
                <w:r>
                  <w:rPr>
                    <w:noProof/>
                    <w:webHidden/>
                  </w:rPr>
                  <w:instrText xml:space="preserve"> PAGEREF _Toc27125318 \h </w:instrText>
                </w:r>
                <w:r>
                  <w:rPr>
                    <w:noProof/>
                    <w:webHidden/>
                  </w:rPr>
                </w:r>
                <w:r>
                  <w:rPr>
                    <w:noProof/>
                    <w:webHidden/>
                  </w:rPr>
                  <w:fldChar w:fldCharType="separate"/>
                </w:r>
                <w:r>
                  <w:rPr>
                    <w:noProof/>
                    <w:webHidden/>
                  </w:rPr>
                  <w:t>12</w:t>
                </w:r>
                <w:r>
                  <w:rPr>
                    <w:noProof/>
                    <w:webHidden/>
                  </w:rPr>
                  <w:fldChar w:fldCharType="end"/>
                </w:r>
              </w:hyperlink>
            </w:p>
            <w:p w14:paraId="3B7C65B2" w14:textId="07C400E0" w:rsidR="00C93FD7" w:rsidRDefault="00C93FD7">
              <w:pPr>
                <w:pStyle w:val="Spistreci2"/>
                <w:tabs>
                  <w:tab w:val="left" w:pos="880"/>
                  <w:tab w:val="right" w:leader="dot" w:pos="9061"/>
                </w:tabs>
                <w:rPr>
                  <w:rFonts w:eastAsiaTheme="minorEastAsia"/>
                  <w:noProof/>
                  <w:sz w:val="22"/>
                  <w:lang w:eastAsia="pl-PL"/>
                </w:rPr>
              </w:pPr>
              <w:hyperlink w:anchor="_Toc27125319" w:history="1">
                <w:r w:rsidRPr="00F254AE">
                  <w:rPr>
                    <w:rStyle w:val="Hipercze"/>
                    <w:noProof/>
                  </w:rPr>
                  <w:t>1.2.</w:t>
                </w:r>
                <w:r>
                  <w:rPr>
                    <w:rFonts w:eastAsiaTheme="minorEastAsia"/>
                    <w:noProof/>
                    <w:sz w:val="22"/>
                    <w:lang w:eastAsia="pl-PL"/>
                  </w:rPr>
                  <w:tab/>
                </w:r>
                <w:r w:rsidRPr="00F254AE">
                  <w:rPr>
                    <w:rStyle w:val="Hipercze"/>
                    <w:noProof/>
                  </w:rPr>
                  <w:t>Okoliczności towarzyszące badaniu</w:t>
                </w:r>
                <w:r>
                  <w:rPr>
                    <w:noProof/>
                    <w:webHidden/>
                  </w:rPr>
                  <w:tab/>
                </w:r>
                <w:r>
                  <w:rPr>
                    <w:noProof/>
                    <w:webHidden/>
                  </w:rPr>
                  <w:fldChar w:fldCharType="begin"/>
                </w:r>
                <w:r>
                  <w:rPr>
                    <w:noProof/>
                    <w:webHidden/>
                  </w:rPr>
                  <w:instrText xml:space="preserve"> PAGEREF _Toc27125319 \h </w:instrText>
                </w:r>
                <w:r>
                  <w:rPr>
                    <w:noProof/>
                    <w:webHidden/>
                  </w:rPr>
                </w:r>
                <w:r>
                  <w:rPr>
                    <w:noProof/>
                    <w:webHidden/>
                  </w:rPr>
                  <w:fldChar w:fldCharType="separate"/>
                </w:r>
                <w:r>
                  <w:rPr>
                    <w:noProof/>
                    <w:webHidden/>
                  </w:rPr>
                  <w:t>13</w:t>
                </w:r>
                <w:r>
                  <w:rPr>
                    <w:noProof/>
                    <w:webHidden/>
                  </w:rPr>
                  <w:fldChar w:fldCharType="end"/>
                </w:r>
              </w:hyperlink>
            </w:p>
            <w:p w14:paraId="2E563063" w14:textId="628AD43B" w:rsidR="00C93FD7" w:rsidRDefault="00C93FD7">
              <w:pPr>
                <w:pStyle w:val="Spistreci2"/>
                <w:tabs>
                  <w:tab w:val="left" w:pos="880"/>
                  <w:tab w:val="right" w:leader="dot" w:pos="9061"/>
                </w:tabs>
                <w:rPr>
                  <w:rFonts w:eastAsiaTheme="minorEastAsia"/>
                  <w:noProof/>
                  <w:sz w:val="22"/>
                  <w:lang w:eastAsia="pl-PL"/>
                </w:rPr>
              </w:pPr>
              <w:hyperlink w:anchor="_Toc27125320" w:history="1">
                <w:r w:rsidRPr="00F254AE">
                  <w:rPr>
                    <w:rStyle w:val="Hipercze"/>
                    <w:noProof/>
                  </w:rPr>
                  <w:t>1.3.</w:t>
                </w:r>
                <w:r>
                  <w:rPr>
                    <w:rFonts w:eastAsiaTheme="minorEastAsia"/>
                    <w:noProof/>
                    <w:sz w:val="22"/>
                    <w:lang w:eastAsia="pl-PL"/>
                  </w:rPr>
                  <w:tab/>
                </w:r>
                <w:r w:rsidRPr="00F254AE">
                  <w:rPr>
                    <w:rStyle w:val="Hipercze"/>
                    <w:noProof/>
                  </w:rPr>
                  <w:t>Kryteria i pytania badawcze</w:t>
                </w:r>
                <w:r>
                  <w:rPr>
                    <w:noProof/>
                    <w:webHidden/>
                  </w:rPr>
                  <w:tab/>
                </w:r>
                <w:r>
                  <w:rPr>
                    <w:noProof/>
                    <w:webHidden/>
                  </w:rPr>
                  <w:fldChar w:fldCharType="begin"/>
                </w:r>
                <w:r>
                  <w:rPr>
                    <w:noProof/>
                    <w:webHidden/>
                  </w:rPr>
                  <w:instrText xml:space="preserve"> PAGEREF _Toc27125320 \h </w:instrText>
                </w:r>
                <w:r>
                  <w:rPr>
                    <w:noProof/>
                    <w:webHidden/>
                  </w:rPr>
                </w:r>
                <w:r>
                  <w:rPr>
                    <w:noProof/>
                    <w:webHidden/>
                  </w:rPr>
                  <w:fldChar w:fldCharType="separate"/>
                </w:r>
                <w:r>
                  <w:rPr>
                    <w:noProof/>
                    <w:webHidden/>
                  </w:rPr>
                  <w:t>14</w:t>
                </w:r>
                <w:r>
                  <w:rPr>
                    <w:noProof/>
                    <w:webHidden/>
                  </w:rPr>
                  <w:fldChar w:fldCharType="end"/>
                </w:r>
              </w:hyperlink>
            </w:p>
            <w:p w14:paraId="3B8B0DD2" w14:textId="451FBBC7" w:rsidR="00C93FD7" w:rsidRDefault="00C93FD7">
              <w:pPr>
                <w:pStyle w:val="Spistreci1"/>
                <w:tabs>
                  <w:tab w:val="left" w:pos="440"/>
                  <w:tab w:val="right" w:leader="dot" w:pos="9061"/>
                </w:tabs>
                <w:rPr>
                  <w:rFonts w:eastAsiaTheme="minorEastAsia"/>
                  <w:noProof/>
                  <w:sz w:val="22"/>
                  <w:lang w:eastAsia="pl-PL"/>
                </w:rPr>
              </w:pPr>
              <w:hyperlink w:anchor="_Toc27125321" w:history="1">
                <w:r w:rsidRPr="00F254AE">
                  <w:rPr>
                    <w:rStyle w:val="Hipercze"/>
                    <w:noProof/>
                  </w:rPr>
                  <w:t>2.</w:t>
                </w:r>
                <w:r>
                  <w:rPr>
                    <w:rFonts w:eastAsiaTheme="minorEastAsia"/>
                    <w:noProof/>
                    <w:sz w:val="22"/>
                    <w:lang w:eastAsia="pl-PL"/>
                  </w:rPr>
                  <w:tab/>
                </w:r>
                <w:r w:rsidRPr="00F254AE">
                  <w:rPr>
                    <w:rStyle w:val="Hipercze"/>
                    <w:noProof/>
                  </w:rPr>
                  <w:t>Metodyka badania</w:t>
                </w:r>
                <w:r>
                  <w:rPr>
                    <w:noProof/>
                    <w:webHidden/>
                  </w:rPr>
                  <w:tab/>
                </w:r>
                <w:r>
                  <w:rPr>
                    <w:noProof/>
                    <w:webHidden/>
                  </w:rPr>
                  <w:fldChar w:fldCharType="begin"/>
                </w:r>
                <w:r>
                  <w:rPr>
                    <w:noProof/>
                    <w:webHidden/>
                  </w:rPr>
                  <w:instrText xml:space="preserve"> PAGEREF _Toc27125321 \h </w:instrText>
                </w:r>
                <w:r>
                  <w:rPr>
                    <w:noProof/>
                    <w:webHidden/>
                  </w:rPr>
                </w:r>
                <w:r>
                  <w:rPr>
                    <w:noProof/>
                    <w:webHidden/>
                  </w:rPr>
                  <w:fldChar w:fldCharType="separate"/>
                </w:r>
                <w:r>
                  <w:rPr>
                    <w:noProof/>
                    <w:webHidden/>
                  </w:rPr>
                  <w:t>17</w:t>
                </w:r>
                <w:r>
                  <w:rPr>
                    <w:noProof/>
                    <w:webHidden/>
                  </w:rPr>
                  <w:fldChar w:fldCharType="end"/>
                </w:r>
              </w:hyperlink>
            </w:p>
            <w:p w14:paraId="609E128B" w14:textId="4B102E7E" w:rsidR="00C93FD7" w:rsidRDefault="00C93FD7">
              <w:pPr>
                <w:pStyle w:val="Spistreci2"/>
                <w:tabs>
                  <w:tab w:val="left" w:pos="880"/>
                  <w:tab w:val="right" w:leader="dot" w:pos="9061"/>
                </w:tabs>
                <w:rPr>
                  <w:rFonts w:eastAsiaTheme="minorEastAsia"/>
                  <w:noProof/>
                  <w:sz w:val="22"/>
                  <w:lang w:eastAsia="pl-PL"/>
                </w:rPr>
              </w:pPr>
              <w:hyperlink w:anchor="_Toc27125322" w:history="1">
                <w:r w:rsidRPr="00F254AE">
                  <w:rPr>
                    <w:rStyle w:val="Hipercze"/>
                    <w:noProof/>
                  </w:rPr>
                  <w:t>2.1.</w:t>
                </w:r>
                <w:r>
                  <w:rPr>
                    <w:rFonts w:eastAsiaTheme="minorEastAsia"/>
                    <w:noProof/>
                    <w:sz w:val="22"/>
                    <w:lang w:eastAsia="pl-PL"/>
                  </w:rPr>
                  <w:tab/>
                </w:r>
                <w:r w:rsidRPr="00F254AE">
                  <w:rPr>
                    <w:rStyle w:val="Hipercze"/>
                    <w:noProof/>
                  </w:rPr>
                  <w:t>Metodyka badania pilotażowego z 2018 r.</w:t>
                </w:r>
                <w:r>
                  <w:rPr>
                    <w:noProof/>
                    <w:webHidden/>
                  </w:rPr>
                  <w:tab/>
                </w:r>
                <w:r>
                  <w:rPr>
                    <w:noProof/>
                    <w:webHidden/>
                  </w:rPr>
                  <w:fldChar w:fldCharType="begin"/>
                </w:r>
                <w:r>
                  <w:rPr>
                    <w:noProof/>
                    <w:webHidden/>
                  </w:rPr>
                  <w:instrText xml:space="preserve"> PAGEREF _Toc27125322 \h </w:instrText>
                </w:r>
                <w:r>
                  <w:rPr>
                    <w:noProof/>
                    <w:webHidden/>
                  </w:rPr>
                </w:r>
                <w:r>
                  <w:rPr>
                    <w:noProof/>
                    <w:webHidden/>
                  </w:rPr>
                  <w:fldChar w:fldCharType="separate"/>
                </w:r>
                <w:r>
                  <w:rPr>
                    <w:noProof/>
                    <w:webHidden/>
                  </w:rPr>
                  <w:t>17</w:t>
                </w:r>
                <w:r>
                  <w:rPr>
                    <w:noProof/>
                    <w:webHidden/>
                  </w:rPr>
                  <w:fldChar w:fldCharType="end"/>
                </w:r>
              </w:hyperlink>
            </w:p>
            <w:p w14:paraId="2B3A55DC" w14:textId="79A622B0" w:rsidR="00C93FD7" w:rsidRDefault="00C93FD7">
              <w:pPr>
                <w:pStyle w:val="Spistreci2"/>
                <w:tabs>
                  <w:tab w:val="left" w:pos="880"/>
                  <w:tab w:val="right" w:leader="dot" w:pos="9061"/>
                </w:tabs>
                <w:rPr>
                  <w:rFonts w:eastAsiaTheme="minorEastAsia"/>
                  <w:noProof/>
                  <w:sz w:val="22"/>
                  <w:lang w:eastAsia="pl-PL"/>
                </w:rPr>
              </w:pPr>
              <w:hyperlink w:anchor="_Toc27125323" w:history="1">
                <w:r w:rsidRPr="00F254AE">
                  <w:rPr>
                    <w:rStyle w:val="Hipercze"/>
                    <w:noProof/>
                  </w:rPr>
                  <w:t>2.2.</w:t>
                </w:r>
                <w:r>
                  <w:rPr>
                    <w:rFonts w:eastAsiaTheme="minorEastAsia"/>
                    <w:noProof/>
                    <w:sz w:val="22"/>
                    <w:lang w:eastAsia="pl-PL"/>
                  </w:rPr>
                  <w:tab/>
                </w:r>
                <w:r w:rsidRPr="00F254AE">
                  <w:rPr>
                    <w:rStyle w:val="Hipercze"/>
                    <w:noProof/>
                  </w:rPr>
                  <w:t>Analiza danych zastanych</w:t>
                </w:r>
                <w:r>
                  <w:rPr>
                    <w:noProof/>
                    <w:webHidden/>
                  </w:rPr>
                  <w:tab/>
                </w:r>
                <w:r>
                  <w:rPr>
                    <w:noProof/>
                    <w:webHidden/>
                  </w:rPr>
                  <w:fldChar w:fldCharType="begin"/>
                </w:r>
                <w:r>
                  <w:rPr>
                    <w:noProof/>
                    <w:webHidden/>
                  </w:rPr>
                  <w:instrText xml:space="preserve"> PAGEREF _Toc27125323 \h </w:instrText>
                </w:r>
                <w:r>
                  <w:rPr>
                    <w:noProof/>
                    <w:webHidden/>
                  </w:rPr>
                </w:r>
                <w:r>
                  <w:rPr>
                    <w:noProof/>
                    <w:webHidden/>
                  </w:rPr>
                  <w:fldChar w:fldCharType="separate"/>
                </w:r>
                <w:r>
                  <w:rPr>
                    <w:noProof/>
                    <w:webHidden/>
                  </w:rPr>
                  <w:t>19</w:t>
                </w:r>
                <w:r>
                  <w:rPr>
                    <w:noProof/>
                    <w:webHidden/>
                  </w:rPr>
                  <w:fldChar w:fldCharType="end"/>
                </w:r>
              </w:hyperlink>
            </w:p>
            <w:p w14:paraId="77FC99F5" w14:textId="0A2A7CAE" w:rsidR="00C93FD7" w:rsidRDefault="00C93FD7">
              <w:pPr>
                <w:pStyle w:val="Spistreci3"/>
                <w:tabs>
                  <w:tab w:val="left" w:pos="1320"/>
                  <w:tab w:val="right" w:leader="dot" w:pos="9061"/>
                </w:tabs>
                <w:rPr>
                  <w:rFonts w:eastAsiaTheme="minorEastAsia"/>
                  <w:noProof/>
                  <w:sz w:val="22"/>
                  <w:lang w:eastAsia="pl-PL"/>
                </w:rPr>
              </w:pPr>
              <w:hyperlink w:anchor="_Toc27125324" w:history="1">
                <w:r w:rsidRPr="00F254AE">
                  <w:rPr>
                    <w:rStyle w:val="Hipercze"/>
                    <w:noProof/>
                  </w:rPr>
                  <w:t>2.2.1.</w:t>
                </w:r>
                <w:r>
                  <w:rPr>
                    <w:rFonts w:eastAsiaTheme="minorEastAsia"/>
                    <w:noProof/>
                    <w:sz w:val="22"/>
                    <w:lang w:eastAsia="pl-PL"/>
                  </w:rPr>
                  <w:tab/>
                </w:r>
                <w:r w:rsidRPr="00F254AE">
                  <w:rPr>
                    <w:rStyle w:val="Hipercze"/>
                    <w:noProof/>
                  </w:rPr>
                  <w:t>Przegląd dokumentów</w:t>
                </w:r>
                <w:r>
                  <w:rPr>
                    <w:noProof/>
                    <w:webHidden/>
                  </w:rPr>
                  <w:tab/>
                </w:r>
                <w:r>
                  <w:rPr>
                    <w:noProof/>
                    <w:webHidden/>
                  </w:rPr>
                  <w:fldChar w:fldCharType="begin"/>
                </w:r>
                <w:r>
                  <w:rPr>
                    <w:noProof/>
                    <w:webHidden/>
                  </w:rPr>
                  <w:instrText xml:space="preserve"> PAGEREF _Toc27125324 \h </w:instrText>
                </w:r>
                <w:r>
                  <w:rPr>
                    <w:noProof/>
                    <w:webHidden/>
                  </w:rPr>
                </w:r>
                <w:r>
                  <w:rPr>
                    <w:noProof/>
                    <w:webHidden/>
                  </w:rPr>
                  <w:fldChar w:fldCharType="separate"/>
                </w:r>
                <w:r>
                  <w:rPr>
                    <w:noProof/>
                    <w:webHidden/>
                  </w:rPr>
                  <w:t>19</w:t>
                </w:r>
                <w:r>
                  <w:rPr>
                    <w:noProof/>
                    <w:webHidden/>
                  </w:rPr>
                  <w:fldChar w:fldCharType="end"/>
                </w:r>
              </w:hyperlink>
            </w:p>
            <w:p w14:paraId="30AB3F52" w14:textId="62FECEE0" w:rsidR="00C93FD7" w:rsidRDefault="00C93FD7">
              <w:pPr>
                <w:pStyle w:val="Spistreci3"/>
                <w:tabs>
                  <w:tab w:val="left" w:pos="1320"/>
                  <w:tab w:val="right" w:leader="dot" w:pos="9061"/>
                </w:tabs>
                <w:rPr>
                  <w:rFonts w:eastAsiaTheme="minorEastAsia"/>
                  <w:noProof/>
                  <w:sz w:val="22"/>
                  <w:lang w:eastAsia="pl-PL"/>
                </w:rPr>
              </w:pPr>
              <w:hyperlink w:anchor="_Toc27125325" w:history="1">
                <w:r w:rsidRPr="00F254AE">
                  <w:rPr>
                    <w:rStyle w:val="Hipercze"/>
                    <w:noProof/>
                  </w:rPr>
                  <w:t>2.2.2.</w:t>
                </w:r>
                <w:r>
                  <w:rPr>
                    <w:rFonts w:eastAsiaTheme="minorEastAsia"/>
                    <w:noProof/>
                    <w:sz w:val="22"/>
                    <w:lang w:eastAsia="pl-PL"/>
                  </w:rPr>
                  <w:tab/>
                </w:r>
                <w:r w:rsidRPr="00F254AE">
                  <w:rPr>
                    <w:rStyle w:val="Hipercze"/>
                    <w:noProof/>
                  </w:rPr>
                  <w:t>Analiza danych statystycznych</w:t>
                </w:r>
                <w:r>
                  <w:rPr>
                    <w:noProof/>
                    <w:webHidden/>
                  </w:rPr>
                  <w:tab/>
                </w:r>
                <w:r>
                  <w:rPr>
                    <w:noProof/>
                    <w:webHidden/>
                  </w:rPr>
                  <w:fldChar w:fldCharType="begin"/>
                </w:r>
                <w:r>
                  <w:rPr>
                    <w:noProof/>
                    <w:webHidden/>
                  </w:rPr>
                  <w:instrText xml:space="preserve"> PAGEREF _Toc27125325 \h </w:instrText>
                </w:r>
                <w:r>
                  <w:rPr>
                    <w:noProof/>
                    <w:webHidden/>
                  </w:rPr>
                </w:r>
                <w:r>
                  <w:rPr>
                    <w:noProof/>
                    <w:webHidden/>
                  </w:rPr>
                  <w:fldChar w:fldCharType="separate"/>
                </w:r>
                <w:r>
                  <w:rPr>
                    <w:noProof/>
                    <w:webHidden/>
                  </w:rPr>
                  <w:t>21</w:t>
                </w:r>
                <w:r>
                  <w:rPr>
                    <w:noProof/>
                    <w:webHidden/>
                  </w:rPr>
                  <w:fldChar w:fldCharType="end"/>
                </w:r>
              </w:hyperlink>
            </w:p>
            <w:p w14:paraId="34A8F53F" w14:textId="4759DB7C" w:rsidR="00C93FD7" w:rsidRDefault="00C93FD7">
              <w:pPr>
                <w:pStyle w:val="Spistreci2"/>
                <w:tabs>
                  <w:tab w:val="left" w:pos="880"/>
                  <w:tab w:val="right" w:leader="dot" w:pos="9061"/>
                </w:tabs>
                <w:rPr>
                  <w:rFonts w:eastAsiaTheme="minorEastAsia"/>
                  <w:noProof/>
                  <w:sz w:val="22"/>
                  <w:lang w:eastAsia="pl-PL"/>
                </w:rPr>
              </w:pPr>
              <w:hyperlink w:anchor="_Toc27125326" w:history="1">
                <w:r w:rsidRPr="00F254AE">
                  <w:rPr>
                    <w:rStyle w:val="Hipercze"/>
                    <w:noProof/>
                  </w:rPr>
                  <w:t>2.3.</w:t>
                </w:r>
                <w:r>
                  <w:rPr>
                    <w:rFonts w:eastAsiaTheme="minorEastAsia"/>
                    <w:noProof/>
                    <w:sz w:val="22"/>
                    <w:lang w:eastAsia="pl-PL"/>
                  </w:rPr>
                  <w:tab/>
                </w:r>
                <w:r w:rsidRPr="00F254AE">
                  <w:rPr>
                    <w:rStyle w:val="Hipercze"/>
                    <w:noProof/>
                  </w:rPr>
                  <w:t>Analizy przestrzenne</w:t>
                </w:r>
                <w:r>
                  <w:rPr>
                    <w:noProof/>
                    <w:webHidden/>
                  </w:rPr>
                  <w:tab/>
                </w:r>
                <w:r>
                  <w:rPr>
                    <w:noProof/>
                    <w:webHidden/>
                  </w:rPr>
                  <w:fldChar w:fldCharType="begin"/>
                </w:r>
                <w:r>
                  <w:rPr>
                    <w:noProof/>
                    <w:webHidden/>
                  </w:rPr>
                  <w:instrText xml:space="preserve"> PAGEREF _Toc27125326 \h </w:instrText>
                </w:r>
                <w:r>
                  <w:rPr>
                    <w:noProof/>
                    <w:webHidden/>
                  </w:rPr>
                </w:r>
                <w:r>
                  <w:rPr>
                    <w:noProof/>
                    <w:webHidden/>
                  </w:rPr>
                  <w:fldChar w:fldCharType="separate"/>
                </w:r>
                <w:r>
                  <w:rPr>
                    <w:noProof/>
                    <w:webHidden/>
                  </w:rPr>
                  <w:t>22</w:t>
                </w:r>
                <w:r>
                  <w:rPr>
                    <w:noProof/>
                    <w:webHidden/>
                  </w:rPr>
                  <w:fldChar w:fldCharType="end"/>
                </w:r>
              </w:hyperlink>
            </w:p>
            <w:p w14:paraId="50D53E2A" w14:textId="650E1E9E" w:rsidR="00C93FD7" w:rsidRDefault="00C93FD7">
              <w:pPr>
                <w:pStyle w:val="Spistreci2"/>
                <w:tabs>
                  <w:tab w:val="left" w:pos="880"/>
                  <w:tab w:val="right" w:leader="dot" w:pos="9061"/>
                </w:tabs>
                <w:rPr>
                  <w:rFonts w:eastAsiaTheme="minorEastAsia"/>
                  <w:noProof/>
                  <w:sz w:val="22"/>
                  <w:lang w:eastAsia="pl-PL"/>
                </w:rPr>
              </w:pPr>
              <w:hyperlink w:anchor="_Toc27125327" w:history="1">
                <w:r w:rsidRPr="00F254AE">
                  <w:rPr>
                    <w:rStyle w:val="Hipercze"/>
                    <w:noProof/>
                  </w:rPr>
                  <w:t>2.4.</w:t>
                </w:r>
                <w:r>
                  <w:rPr>
                    <w:rFonts w:eastAsiaTheme="minorEastAsia"/>
                    <w:noProof/>
                    <w:sz w:val="22"/>
                    <w:lang w:eastAsia="pl-PL"/>
                  </w:rPr>
                  <w:tab/>
                </w:r>
                <w:r w:rsidRPr="00F254AE">
                  <w:rPr>
                    <w:rStyle w:val="Hipercze"/>
                    <w:noProof/>
                  </w:rPr>
                  <w:t>Metody logiczne</w:t>
                </w:r>
                <w:r>
                  <w:rPr>
                    <w:noProof/>
                    <w:webHidden/>
                  </w:rPr>
                  <w:tab/>
                </w:r>
                <w:r>
                  <w:rPr>
                    <w:noProof/>
                    <w:webHidden/>
                  </w:rPr>
                  <w:fldChar w:fldCharType="begin"/>
                </w:r>
                <w:r>
                  <w:rPr>
                    <w:noProof/>
                    <w:webHidden/>
                  </w:rPr>
                  <w:instrText xml:space="preserve"> PAGEREF _Toc27125327 \h </w:instrText>
                </w:r>
                <w:r>
                  <w:rPr>
                    <w:noProof/>
                    <w:webHidden/>
                  </w:rPr>
                </w:r>
                <w:r>
                  <w:rPr>
                    <w:noProof/>
                    <w:webHidden/>
                  </w:rPr>
                  <w:fldChar w:fldCharType="separate"/>
                </w:r>
                <w:r>
                  <w:rPr>
                    <w:noProof/>
                    <w:webHidden/>
                  </w:rPr>
                  <w:t>22</w:t>
                </w:r>
                <w:r>
                  <w:rPr>
                    <w:noProof/>
                    <w:webHidden/>
                  </w:rPr>
                  <w:fldChar w:fldCharType="end"/>
                </w:r>
              </w:hyperlink>
            </w:p>
            <w:p w14:paraId="1FBEA7A7" w14:textId="0CDF9850" w:rsidR="00C93FD7" w:rsidRDefault="00C93FD7">
              <w:pPr>
                <w:pStyle w:val="Spistreci2"/>
                <w:tabs>
                  <w:tab w:val="left" w:pos="880"/>
                  <w:tab w:val="right" w:leader="dot" w:pos="9061"/>
                </w:tabs>
                <w:rPr>
                  <w:rFonts w:eastAsiaTheme="minorEastAsia"/>
                  <w:noProof/>
                  <w:sz w:val="22"/>
                  <w:lang w:eastAsia="pl-PL"/>
                </w:rPr>
              </w:pPr>
              <w:hyperlink w:anchor="_Toc27125328" w:history="1">
                <w:r w:rsidRPr="00F254AE">
                  <w:rPr>
                    <w:rStyle w:val="Hipercze"/>
                    <w:noProof/>
                  </w:rPr>
                  <w:t>2.5.</w:t>
                </w:r>
                <w:r>
                  <w:rPr>
                    <w:rFonts w:eastAsiaTheme="minorEastAsia"/>
                    <w:noProof/>
                    <w:sz w:val="22"/>
                    <w:lang w:eastAsia="pl-PL"/>
                  </w:rPr>
                  <w:tab/>
                </w:r>
                <w:r w:rsidRPr="00F254AE">
                  <w:rPr>
                    <w:rStyle w:val="Hipercze"/>
                    <w:noProof/>
                  </w:rPr>
                  <w:t>Wywiady IDI</w:t>
                </w:r>
                <w:r>
                  <w:rPr>
                    <w:noProof/>
                    <w:webHidden/>
                  </w:rPr>
                  <w:tab/>
                </w:r>
                <w:r>
                  <w:rPr>
                    <w:noProof/>
                    <w:webHidden/>
                  </w:rPr>
                  <w:fldChar w:fldCharType="begin"/>
                </w:r>
                <w:r>
                  <w:rPr>
                    <w:noProof/>
                    <w:webHidden/>
                  </w:rPr>
                  <w:instrText xml:space="preserve"> PAGEREF _Toc27125328 \h </w:instrText>
                </w:r>
                <w:r>
                  <w:rPr>
                    <w:noProof/>
                    <w:webHidden/>
                  </w:rPr>
                </w:r>
                <w:r>
                  <w:rPr>
                    <w:noProof/>
                    <w:webHidden/>
                  </w:rPr>
                  <w:fldChar w:fldCharType="separate"/>
                </w:r>
                <w:r>
                  <w:rPr>
                    <w:noProof/>
                    <w:webHidden/>
                  </w:rPr>
                  <w:t>23</w:t>
                </w:r>
                <w:r>
                  <w:rPr>
                    <w:noProof/>
                    <w:webHidden/>
                  </w:rPr>
                  <w:fldChar w:fldCharType="end"/>
                </w:r>
              </w:hyperlink>
            </w:p>
            <w:p w14:paraId="703275B3" w14:textId="67C0965E" w:rsidR="00C93FD7" w:rsidRDefault="00C93FD7">
              <w:pPr>
                <w:pStyle w:val="Spistreci2"/>
                <w:tabs>
                  <w:tab w:val="left" w:pos="880"/>
                  <w:tab w:val="right" w:leader="dot" w:pos="9061"/>
                </w:tabs>
                <w:rPr>
                  <w:rFonts w:eastAsiaTheme="minorEastAsia"/>
                  <w:noProof/>
                  <w:sz w:val="22"/>
                  <w:lang w:eastAsia="pl-PL"/>
                </w:rPr>
              </w:pPr>
              <w:hyperlink w:anchor="_Toc27125329" w:history="1">
                <w:r w:rsidRPr="00F254AE">
                  <w:rPr>
                    <w:rStyle w:val="Hipercze"/>
                    <w:noProof/>
                  </w:rPr>
                  <w:t>2.6.</w:t>
                </w:r>
                <w:r>
                  <w:rPr>
                    <w:rFonts w:eastAsiaTheme="minorEastAsia"/>
                    <w:noProof/>
                    <w:sz w:val="22"/>
                    <w:lang w:eastAsia="pl-PL"/>
                  </w:rPr>
                  <w:tab/>
                </w:r>
                <w:r w:rsidRPr="00F254AE">
                  <w:rPr>
                    <w:rStyle w:val="Hipercze"/>
                    <w:noProof/>
                  </w:rPr>
                  <w:t>Panel ekspertów</w:t>
                </w:r>
                <w:r>
                  <w:rPr>
                    <w:noProof/>
                    <w:webHidden/>
                  </w:rPr>
                  <w:tab/>
                </w:r>
                <w:r>
                  <w:rPr>
                    <w:noProof/>
                    <w:webHidden/>
                  </w:rPr>
                  <w:fldChar w:fldCharType="begin"/>
                </w:r>
                <w:r>
                  <w:rPr>
                    <w:noProof/>
                    <w:webHidden/>
                  </w:rPr>
                  <w:instrText xml:space="preserve"> PAGEREF _Toc27125329 \h </w:instrText>
                </w:r>
                <w:r>
                  <w:rPr>
                    <w:noProof/>
                    <w:webHidden/>
                  </w:rPr>
                </w:r>
                <w:r>
                  <w:rPr>
                    <w:noProof/>
                    <w:webHidden/>
                  </w:rPr>
                  <w:fldChar w:fldCharType="separate"/>
                </w:r>
                <w:r>
                  <w:rPr>
                    <w:noProof/>
                    <w:webHidden/>
                  </w:rPr>
                  <w:t>24</w:t>
                </w:r>
                <w:r>
                  <w:rPr>
                    <w:noProof/>
                    <w:webHidden/>
                  </w:rPr>
                  <w:fldChar w:fldCharType="end"/>
                </w:r>
              </w:hyperlink>
            </w:p>
            <w:p w14:paraId="5ADA5188" w14:textId="640A8446" w:rsidR="00C93FD7" w:rsidRDefault="00C93FD7">
              <w:pPr>
                <w:pStyle w:val="Spistreci2"/>
                <w:tabs>
                  <w:tab w:val="left" w:pos="880"/>
                  <w:tab w:val="right" w:leader="dot" w:pos="9061"/>
                </w:tabs>
                <w:rPr>
                  <w:rFonts w:eastAsiaTheme="minorEastAsia"/>
                  <w:noProof/>
                  <w:sz w:val="22"/>
                  <w:lang w:eastAsia="pl-PL"/>
                </w:rPr>
              </w:pPr>
              <w:hyperlink w:anchor="_Toc27125330" w:history="1">
                <w:r w:rsidRPr="00F254AE">
                  <w:rPr>
                    <w:rStyle w:val="Hipercze"/>
                    <w:noProof/>
                  </w:rPr>
                  <w:t>2.7.</w:t>
                </w:r>
                <w:r>
                  <w:rPr>
                    <w:rFonts w:eastAsiaTheme="minorEastAsia"/>
                    <w:noProof/>
                    <w:sz w:val="22"/>
                    <w:lang w:eastAsia="pl-PL"/>
                  </w:rPr>
                  <w:tab/>
                </w:r>
                <w:r w:rsidRPr="00F254AE">
                  <w:rPr>
                    <w:rStyle w:val="Hipercze"/>
                    <w:noProof/>
                  </w:rPr>
                  <w:t>Studia przypadku</w:t>
                </w:r>
                <w:r>
                  <w:rPr>
                    <w:noProof/>
                    <w:webHidden/>
                  </w:rPr>
                  <w:tab/>
                </w:r>
                <w:r>
                  <w:rPr>
                    <w:noProof/>
                    <w:webHidden/>
                  </w:rPr>
                  <w:fldChar w:fldCharType="begin"/>
                </w:r>
                <w:r>
                  <w:rPr>
                    <w:noProof/>
                    <w:webHidden/>
                  </w:rPr>
                  <w:instrText xml:space="preserve"> PAGEREF _Toc27125330 \h </w:instrText>
                </w:r>
                <w:r>
                  <w:rPr>
                    <w:noProof/>
                    <w:webHidden/>
                  </w:rPr>
                </w:r>
                <w:r>
                  <w:rPr>
                    <w:noProof/>
                    <w:webHidden/>
                  </w:rPr>
                  <w:fldChar w:fldCharType="separate"/>
                </w:r>
                <w:r>
                  <w:rPr>
                    <w:noProof/>
                    <w:webHidden/>
                  </w:rPr>
                  <w:t>25</w:t>
                </w:r>
                <w:r>
                  <w:rPr>
                    <w:noProof/>
                    <w:webHidden/>
                  </w:rPr>
                  <w:fldChar w:fldCharType="end"/>
                </w:r>
              </w:hyperlink>
            </w:p>
            <w:p w14:paraId="0476B1D7" w14:textId="3B44588B" w:rsidR="00C93FD7" w:rsidRDefault="00C93FD7">
              <w:pPr>
                <w:pStyle w:val="Spistreci2"/>
                <w:tabs>
                  <w:tab w:val="left" w:pos="880"/>
                  <w:tab w:val="right" w:leader="dot" w:pos="9061"/>
                </w:tabs>
                <w:rPr>
                  <w:rFonts w:eastAsiaTheme="minorEastAsia"/>
                  <w:noProof/>
                  <w:sz w:val="22"/>
                  <w:lang w:eastAsia="pl-PL"/>
                </w:rPr>
              </w:pPr>
              <w:hyperlink w:anchor="_Toc27125331" w:history="1">
                <w:r w:rsidRPr="00F254AE">
                  <w:rPr>
                    <w:rStyle w:val="Hipercze"/>
                    <w:noProof/>
                  </w:rPr>
                  <w:t>2.8.</w:t>
                </w:r>
                <w:r>
                  <w:rPr>
                    <w:rFonts w:eastAsiaTheme="minorEastAsia"/>
                    <w:noProof/>
                    <w:sz w:val="22"/>
                    <w:lang w:eastAsia="pl-PL"/>
                  </w:rPr>
                  <w:tab/>
                </w:r>
                <w:r w:rsidRPr="00F254AE">
                  <w:rPr>
                    <w:rStyle w:val="Hipercze"/>
                    <w:noProof/>
                  </w:rPr>
                  <w:t>Baza danych wejściowych o transporcie miejskim</w:t>
                </w:r>
                <w:r>
                  <w:rPr>
                    <w:noProof/>
                    <w:webHidden/>
                  </w:rPr>
                  <w:tab/>
                </w:r>
                <w:r>
                  <w:rPr>
                    <w:noProof/>
                    <w:webHidden/>
                  </w:rPr>
                  <w:fldChar w:fldCharType="begin"/>
                </w:r>
                <w:r>
                  <w:rPr>
                    <w:noProof/>
                    <w:webHidden/>
                  </w:rPr>
                  <w:instrText xml:space="preserve"> PAGEREF _Toc27125331 \h </w:instrText>
                </w:r>
                <w:r>
                  <w:rPr>
                    <w:noProof/>
                    <w:webHidden/>
                  </w:rPr>
                </w:r>
                <w:r>
                  <w:rPr>
                    <w:noProof/>
                    <w:webHidden/>
                  </w:rPr>
                  <w:fldChar w:fldCharType="separate"/>
                </w:r>
                <w:r>
                  <w:rPr>
                    <w:noProof/>
                    <w:webHidden/>
                  </w:rPr>
                  <w:t>26</w:t>
                </w:r>
                <w:r>
                  <w:rPr>
                    <w:noProof/>
                    <w:webHidden/>
                  </w:rPr>
                  <w:fldChar w:fldCharType="end"/>
                </w:r>
              </w:hyperlink>
            </w:p>
            <w:p w14:paraId="58913A01" w14:textId="50ED1960" w:rsidR="00C93FD7" w:rsidRDefault="00C93FD7">
              <w:pPr>
                <w:pStyle w:val="Spistreci2"/>
                <w:tabs>
                  <w:tab w:val="left" w:pos="880"/>
                  <w:tab w:val="right" w:leader="dot" w:pos="9061"/>
                </w:tabs>
                <w:rPr>
                  <w:rFonts w:eastAsiaTheme="minorEastAsia"/>
                  <w:noProof/>
                  <w:sz w:val="22"/>
                  <w:lang w:eastAsia="pl-PL"/>
                </w:rPr>
              </w:pPr>
              <w:hyperlink w:anchor="_Toc27125332" w:history="1">
                <w:r w:rsidRPr="00F254AE">
                  <w:rPr>
                    <w:rStyle w:val="Hipercze"/>
                    <w:noProof/>
                  </w:rPr>
                  <w:t>2.9.</w:t>
                </w:r>
                <w:r>
                  <w:rPr>
                    <w:rFonts w:eastAsiaTheme="minorEastAsia"/>
                    <w:noProof/>
                    <w:sz w:val="22"/>
                    <w:lang w:eastAsia="pl-PL"/>
                  </w:rPr>
                  <w:tab/>
                </w:r>
                <w:r w:rsidRPr="00F254AE">
                  <w:rPr>
                    <w:rStyle w:val="Hipercze"/>
                    <w:noProof/>
                  </w:rPr>
                  <w:t>Panel internetowy CAWI</w:t>
                </w:r>
                <w:r>
                  <w:rPr>
                    <w:noProof/>
                    <w:webHidden/>
                  </w:rPr>
                  <w:tab/>
                </w:r>
                <w:r>
                  <w:rPr>
                    <w:noProof/>
                    <w:webHidden/>
                  </w:rPr>
                  <w:fldChar w:fldCharType="begin"/>
                </w:r>
                <w:r>
                  <w:rPr>
                    <w:noProof/>
                    <w:webHidden/>
                  </w:rPr>
                  <w:instrText xml:space="preserve"> PAGEREF _Toc27125332 \h </w:instrText>
                </w:r>
                <w:r>
                  <w:rPr>
                    <w:noProof/>
                    <w:webHidden/>
                  </w:rPr>
                </w:r>
                <w:r>
                  <w:rPr>
                    <w:noProof/>
                    <w:webHidden/>
                  </w:rPr>
                  <w:fldChar w:fldCharType="separate"/>
                </w:r>
                <w:r>
                  <w:rPr>
                    <w:noProof/>
                    <w:webHidden/>
                  </w:rPr>
                  <w:t>27</w:t>
                </w:r>
                <w:r>
                  <w:rPr>
                    <w:noProof/>
                    <w:webHidden/>
                  </w:rPr>
                  <w:fldChar w:fldCharType="end"/>
                </w:r>
              </w:hyperlink>
            </w:p>
            <w:p w14:paraId="566B1B58" w14:textId="30472CB4" w:rsidR="00C93FD7" w:rsidRDefault="00C93FD7">
              <w:pPr>
                <w:pStyle w:val="Spistreci2"/>
                <w:tabs>
                  <w:tab w:val="left" w:pos="880"/>
                  <w:tab w:val="right" w:leader="dot" w:pos="9061"/>
                </w:tabs>
                <w:rPr>
                  <w:rFonts w:eastAsiaTheme="minorEastAsia"/>
                  <w:noProof/>
                  <w:sz w:val="22"/>
                  <w:lang w:eastAsia="pl-PL"/>
                </w:rPr>
              </w:pPr>
              <w:hyperlink w:anchor="_Toc27125333" w:history="1">
                <w:r w:rsidRPr="00F254AE">
                  <w:rPr>
                    <w:rStyle w:val="Hipercze"/>
                    <w:noProof/>
                  </w:rPr>
                  <w:t>2.10.</w:t>
                </w:r>
                <w:r>
                  <w:rPr>
                    <w:rFonts w:eastAsiaTheme="minorEastAsia"/>
                    <w:noProof/>
                    <w:sz w:val="22"/>
                    <w:lang w:eastAsia="pl-PL"/>
                  </w:rPr>
                  <w:tab/>
                </w:r>
                <w:r w:rsidRPr="00F254AE">
                  <w:rPr>
                    <w:rStyle w:val="Hipercze"/>
                    <w:noProof/>
                  </w:rPr>
                  <w:t>Analiza kosztów i korzyści</w:t>
                </w:r>
                <w:r>
                  <w:rPr>
                    <w:noProof/>
                    <w:webHidden/>
                  </w:rPr>
                  <w:tab/>
                </w:r>
                <w:r>
                  <w:rPr>
                    <w:noProof/>
                    <w:webHidden/>
                  </w:rPr>
                  <w:fldChar w:fldCharType="begin"/>
                </w:r>
                <w:r>
                  <w:rPr>
                    <w:noProof/>
                    <w:webHidden/>
                  </w:rPr>
                  <w:instrText xml:space="preserve"> PAGEREF _Toc27125333 \h </w:instrText>
                </w:r>
                <w:r>
                  <w:rPr>
                    <w:noProof/>
                    <w:webHidden/>
                  </w:rPr>
                </w:r>
                <w:r>
                  <w:rPr>
                    <w:noProof/>
                    <w:webHidden/>
                  </w:rPr>
                  <w:fldChar w:fldCharType="separate"/>
                </w:r>
                <w:r>
                  <w:rPr>
                    <w:noProof/>
                    <w:webHidden/>
                  </w:rPr>
                  <w:t>28</w:t>
                </w:r>
                <w:r>
                  <w:rPr>
                    <w:noProof/>
                    <w:webHidden/>
                  </w:rPr>
                  <w:fldChar w:fldCharType="end"/>
                </w:r>
              </w:hyperlink>
            </w:p>
            <w:p w14:paraId="6604D6C8" w14:textId="2450EC5C" w:rsidR="00C93FD7" w:rsidRDefault="00C93FD7">
              <w:pPr>
                <w:pStyle w:val="Spistreci2"/>
                <w:tabs>
                  <w:tab w:val="left" w:pos="880"/>
                  <w:tab w:val="right" w:leader="dot" w:pos="9061"/>
                </w:tabs>
                <w:rPr>
                  <w:rFonts w:eastAsiaTheme="minorEastAsia"/>
                  <w:noProof/>
                  <w:sz w:val="22"/>
                  <w:lang w:eastAsia="pl-PL"/>
                </w:rPr>
              </w:pPr>
              <w:hyperlink w:anchor="_Toc27125334" w:history="1">
                <w:r w:rsidRPr="00F254AE">
                  <w:rPr>
                    <w:rStyle w:val="Hipercze"/>
                    <w:noProof/>
                  </w:rPr>
                  <w:t>2.11.</w:t>
                </w:r>
                <w:r>
                  <w:rPr>
                    <w:rFonts w:eastAsiaTheme="minorEastAsia"/>
                    <w:noProof/>
                    <w:sz w:val="22"/>
                    <w:lang w:eastAsia="pl-PL"/>
                  </w:rPr>
                  <w:tab/>
                </w:r>
                <w:r w:rsidRPr="00F254AE">
                  <w:rPr>
                    <w:rStyle w:val="Hipercze"/>
                    <w:noProof/>
                  </w:rPr>
                  <w:t>Analizy kontrfaktyczne</w:t>
                </w:r>
                <w:r>
                  <w:rPr>
                    <w:noProof/>
                    <w:webHidden/>
                  </w:rPr>
                  <w:tab/>
                </w:r>
                <w:r>
                  <w:rPr>
                    <w:noProof/>
                    <w:webHidden/>
                  </w:rPr>
                  <w:fldChar w:fldCharType="begin"/>
                </w:r>
                <w:r>
                  <w:rPr>
                    <w:noProof/>
                    <w:webHidden/>
                  </w:rPr>
                  <w:instrText xml:space="preserve"> PAGEREF _Toc27125334 \h </w:instrText>
                </w:r>
                <w:r>
                  <w:rPr>
                    <w:noProof/>
                    <w:webHidden/>
                  </w:rPr>
                </w:r>
                <w:r>
                  <w:rPr>
                    <w:noProof/>
                    <w:webHidden/>
                  </w:rPr>
                  <w:fldChar w:fldCharType="separate"/>
                </w:r>
                <w:r>
                  <w:rPr>
                    <w:noProof/>
                    <w:webHidden/>
                  </w:rPr>
                  <w:t>29</w:t>
                </w:r>
                <w:r>
                  <w:rPr>
                    <w:noProof/>
                    <w:webHidden/>
                  </w:rPr>
                  <w:fldChar w:fldCharType="end"/>
                </w:r>
              </w:hyperlink>
            </w:p>
            <w:p w14:paraId="62B0B25C" w14:textId="33AC5EA6" w:rsidR="00C93FD7" w:rsidRDefault="00C93FD7">
              <w:pPr>
                <w:pStyle w:val="Spistreci1"/>
                <w:tabs>
                  <w:tab w:val="left" w:pos="440"/>
                  <w:tab w:val="right" w:leader="dot" w:pos="9061"/>
                </w:tabs>
                <w:rPr>
                  <w:rFonts w:eastAsiaTheme="minorEastAsia"/>
                  <w:noProof/>
                  <w:sz w:val="22"/>
                  <w:lang w:eastAsia="pl-PL"/>
                </w:rPr>
              </w:pPr>
              <w:hyperlink w:anchor="_Toc27125335" w:history="1">
                <w:r w:rsidRPr="00F254AE">
                  <w:rPr>
                    <w:rStyle w:val="Hipercze"/>
                    <w:noProof/>
                  </w:rPr>
                  <w:t>3.</w:t>
                </w:r>
                <w:r>
                  <w:rPr>
                    <w:rFonts w:eastAsiaTheme="minorEastAsia"/>
                    <w:noProof/>
                    <w:sz w:val="22"/>
                    <w:lang w:eastAsia="pl-PL"/>
                  </w:rPr>
                  <w:tab/>
                </w:r>
                <w:r w:rsidRPr="00F254AE">
                  <w:rPr>
                    <w:rStyle w:val="Hipercze"/>
                    <w:noProof/>
                  </w:rPr>
                  <w:t>Wyniki badania</w:t>
                </w:r>
                <w:r>
                  <w:rPr>
                    <w:noProof/>
                    <w:webHidden/>
                  </w:rPr>
                  <w:tab/>
                </w:r>
                <w:r>
                  <w:rPr>
                    <w:noProof/>
                    <w:webHidden/>
                  </w:rPr>
                  <w:fldChar w:fldCharType="begin"/>
                </w:r>
                <w:r>
                  <w:rPr>
                    <w:noProof/>
                    <w:webHidden/>
                  </w:rPr>
                  <w:instrText xml:space="preserve"> PAGEREF _Toc27125335 \h </w:instrText>
                </w:r>
                <w:r>
                  <w:rPr>
                    <w:noProof/>
                    <w:webHidden/>
                  </w:rPr>
                </w:r>
                <w:r>
                  <w:rPr>
                    <w:noProof/>
                    <w:webHidden/>
                  </w:rPr>
                  <w:fldChar w:fldCharType="separate"/>
                </w:r>
                <w:r>
                  <w:rPr>
                    <w:noProof/>
                    <w:webHidden/>
                  </w:rPr>
                  <w:t>31</w:t>
                </w:r>
                <w:r>
                  <w:rPr>
                    <w:noProof/>
                    <w:webHidden/>
                  </w:rPr>
                  <w:fldChar w:fldCharType="end"/>
                </w:r>
              </w:hyperlink>
            </w:p>
            <w:p w14:paraId="2FB76F5B" w14:textId="005DDA69" w:rsidR="00C93FD7" w:rsidRDefault="00C93FD7">
              <w:pPr>
                <w:pStyle w:val="Spistreci2"/>
                <w:tabs>
                  <w:tab w:val="left" w:pos="880"/>
                  <w:tab w:val="right" w:leader="dot" w:pos="9061"/>
                </w:tabs>
                <w:rPr>
                  <w:rFonts w:eastAsiaTheme="minorEastAsia"/>
                  <w:noProof/>
                  <w:sz w:val="22"/>
                  <w:lang w:eastAsia="pl-PL"/>
                </w:rPr>
              </w:pPr>
              <w:hyperlink w:anchor="_Toc27125336" w:history="1">
                <w:r w:rsidRPr="00F254AE">
                  <w:rPr>
                    <w:rStyle w:val="Hipercze"/>
                    <w:noProof/>
                  </w:rPr>
                  <w:t>3.1.</w:t>
                </w:r>
                <w:r>
                  <w:rPr>
                    <w:rFonts w:eastAsiaTheme="minorEastAsia"/>
                    <w:noProof/>
                    <w:sz w:val="22"/>
                    <w:lang w:eastAsia="pl-PL"/>
                  </w:rPr>
                  <w:tab/>
                </w:r>
                <w:r w:rsidRPr="00F254AE">
                  <w:rPr>
                    <w:rStyle w:val="Hipercze"/>
                    <w:noProof/>
                  </w:rPr>
                  <w:t>Wyniki badania pilotażowego z 2018 r.</w:t>
                </w:r>
                <w:r>
                  <w:rPr>
                    <w:noProof/>
                    <w:webHidden/>
                  </w:rPr>
                  <w:tab/>
                </w:r>
                <w:r>
                  <w:rPr>
                    <w:noProof/>
                    <w:webHidden/>
                  </w:rPr>
                  <w:fldChar w:fldCharType="begin"/>
                </w:r>
                <w:r>
                  <w:rPr>
                    <w:noProof/>
                    <w:webHidden/>
                  </w:rPr>
                  <w:instrText xml:space="preserve"> PAGEREF _Toc27125336 \h </w:instrText>
                </w:r>
                <w:r>
                  <w:rPr>
                    <w:noProof/>
                    <w:webHidden/>
                  </w:rPr>
                </w:r>
                <w:r>
                  <w:rPr>
                    <w:noProof/>
                    <w:webHidden/>
                  </w:rPr>
                  <w:fldChar w:fldCharType="separate"/>
                </w:r>
                <w:r>
                  <w:rPr>
                    <w:noProof/>
                    <w:webHidden/>
                  </w:rPr>
                  <w:t>31</w:t>
                </w:r>
                <w:r>
                  <w:rPr>
                    <w:noProof/>
                    <w:webHidden/>
                  </w:rPr>
                  <w:fldChar w:fldCharType="end"/>
                </w:r>
              </w:hyperlink>
            </w:p>
            <w:p w14:paraId="2B37BA2C" w14:textId="20139DC9" w:rsidR="00C93FD7" w:rsidRDefault="00C93FD7">
              <w:pPr>
                <w:pStyle w:val="Spistreci2"/>
                <w:tabs>
                  <w:tab w:val="left" w:pos="880"/>
                  <w:tab w:val="right" w:leader="dot" w:pos="9061"/>
                </w:tabs>
                <w:rPr>
                  <w:rFonts w:eastAsiaTheme="minorEastAsia"/>
                  <w:noProof/>
                  <w:sz w:val="22"/>
                  <w:lang w:eastAsia="pl-PL"/>
                </w:rPr>
              </w:pPr>
              <w:hyperlink w:anchor="_Toc27125337" w:history="1">
                <w:r w:rsidRPr="00F254AE">
                  <w:rPr>
                    <w:rStyle w:val="Hipercze"/>
                    <w:noProof/>
                  </w:rPr>
                  <w:t>3.2.</w:t>
                </w:r>
                <w:r>
                  <w:rPr>
                    <w:rFonts w:eastAsiaTheme="minorEastAsia"/>
                    <w:noProof/>
                    <w:sz w:val="22"/>
                    <w:lang w:eastAsia="pl-PL"/>
                  </w:rPr>
                  <w:tab/>
                </w:r>
                <w:r w:rsidRPr="00F254AE">
                  <w:rPr>
                    <w:rStyle w:val="Hipercze"/>
                    <w:noProof/>
                  </w:rPr>
                  <w:t>Zebrany materiał</w:t>
                </w:r>
                <w:r>
                  <w:rPr>
                    <w:noProof/>
                    <w:webHidden/>
                  </w:rPr>
                  <w:tab/>
                </w:r>
                <w:r>
                  <w:rPr>
                    <w:noProof/>
                    <w:webHidden/>
                  </w:rPr>
                  <w:fldChar w:fldCharType="begin"/>
                </w:r>
                <w:r>
                  <w:rPr>
                    <w:noProof/>
                    <w:webHidden/>
                  </w:rPr>
                  <w:instrText xml:space="preserve"> PAGEREF _Toc27125337 \h </w:instrText>
                </w:r>
                <w:r>
                  <w:rPr>
                    <w:noProof/>
                    <w:webHidden/>
                  </w:rPr>
                </w:r>
                <w:r>
                  <w:rPr>
                    <w:noProof/>
                    <w:webHidden/>
                  </w:rPr>
                  <w:fldChar w:fldCharType="separate"/>
                </w:r>
                <w:r>
                  <w:rPr>
                    <w:noProof/>
                    <w:webHidden/>
                  </w:rPr>
                  <w:t>36</w:t>
                </w:r>
                <w:r>
                  <w:rPr>
                    <w:noProof/>
                    <w:webHidden/>
                  </w:rPr>
                  <w:fldChar w:fldCharType="end"/>
                </w:r>
              </w:hyperlink>
            </w:p>
            <w:p w14:paraId="13EDE1BC" w14:textId="55420490" w:rsidR="00C93FD7" w:rsidRDefault="00C93FD7">
              <w:pPr>
                <w:pStyle w:val="Spistreci3"/>
                <w:tabs>
                  <w:tab w:val="left" w:pos="1320"/>
                  <w:tab w:val="right" w:leader="dot" w:pos="9061"/>
                </w:tabs>
                <w:rPr>
                  <w:rFonts w:eastAsiaTheme="minorEastAsia"/>
                  <w:noProof/>
                  <w:sz w:val="22"/>
                  <w:lang w:eastAsia="pl-PL"/>
                </w:rPr>
              </w:pPr>
              <w:hyperlink w:anchor="_Toc27125338" w:history="1">
                <w:r w:rsidRPr="00F254AE">
                  <w:rPr>
                    <w:rStyle w:val="Hipercze"/>
                    <w:noProof/>
                  </w:rPr>
                  <w:t>3.2.1.</w:t>
                </w:r>
                <w:r>
                  <w:rPr>
                    <w:rFonts w:eastAsiaTheme="minorEastAsia"/>
                    <w:noProof/>
                    <w:sz w:val="22"/>
                    <w:lang w:eastAsia="pl-PL"/>
                  </w:rPr>
                  <w:tab/>
                </w:r>
                <w:r w:rsidRPr="00F254AE">
                  <w:rPr>
                    <w:rStyle w:val="Hipercze"/>
                    <w:noProof/>
                  </w:rPr>
                  <w:t>Analiza danych zastanych</w:t>
                </w:r>
                <w:r>
                  <w:rPr>
                    <w:noProof/>
                    <w:webHidden/>
                  </w:rPr>
                  <w:tab/>
                </w:r>
                <w:r>
                  <w:rPr>
                    <w:noProof/>
                    <w:webHidden/>
                  </w:rPr>
                  <w:fldChar w:fldCharType="begin"/>
                </w:r>
                <w:r>
                  <w:rPr>
                    <w:noProof/>
                    <w:webHidden/>
                  </w:rPr>
                  <w:instrText xml:space="preserve"> PAGEREF _Toc27125338 \h </w:instrText>
                </w:r>
                <w:r>
                  <w:rPr>
                    <w:noProof/>
                    <w:webHidden/>
                  </w:rPr>
                </w:r>
                <w:r>
                  <w:rPr>
                    <w:noProof/>
                    <w:webHidden/>
                  </w:rPr>
                  <w:fldChar w:fldCharType="separate"/>
                </w:r>
                <w:r>
                  <w:rPr>
                    <w:noProof/>
                    <w:webHidden/>
                  </w:rPr>
                  <w:t>36</w:t>
                </w:r>
                <w:r>
                  <w:rPr>
                    <w:noProof/>
                    <w:webHidden/>
                  </w:rPr>
                  <w:fldChar w:fldCharType="end"/>
                </w:r>
              </w:hyperlink>
            </w:p>
            <w:p w14:paraId="27F9A22B" w14:textId="1B8E8A59" w:rsidR="00C93FD7" w:rsidRDefault="00C93FD7">
              <w:pPr>
                <w:pStyle w:val="Spistreci3"/>
                <w:tabs>
                  <w:tab w:val="left" w:pos="1320"/>
                  <w:tab w:val="right" w:leader="dot" w:pos="9061"/>
                </w:tabs>
                <w:rPr>
                  <w:rFonts w:eastAsiaTheme="minorEastAsia"/>
                  <w:noProof/>
                  <w:sz w:val="22"/>
                  <w:lang w:eastAsia="pl-PL"/>
                </w:rPr>
              </w:pPr>
              <w:hyperlink w:anchor="_Toc27125339" w:history="1">
                <w:r w:rsidRPr="00F254AE">
                  <w:rPr>
                    <w:rStyle w:val="Hipercze"/>
                    <w:noProof/>
                  </w:rPr>
                  <w:t>3.2.2.</w:t>
                </w:r>
                <w:r>
                  <w:rPr>
                    <w:rFonts w:eastAsiaTheme="minorEastAsia"/>
                    <w:noProof/>
                    <w:sz w:val="22"/>
                    <w:lang w:eastAsia="pl-PL"/>
                  </w:rPr>
                  <w:tab/>
                </w:r>
                <w:r w:rsidRPr="00F254AE">
                  <w:rPr>
                    <w:rStyle w:val="Hipercze"/>
                    <w:noProof/>
                  </w:rPr>
                  <w:t>Analizy przestrzenne</w:t>
                </w:r>
                <w:r>
                  <w:rPr>
                    <w:noProof/>
                    <w:webHidden/>
                  </w:rPr>
                  <w:tab/>
                </w:r>
                <w:r>
                  <w:rPr>
                    <w:noProof/>
                    <w:webHidden/>
                  </w:rPr>
                  <w:fldChar w:fldCharType="begin"/>
                </w:r>
                <w:r>
                  <w:rPr>
                    <w:noProof/>
                    <w:webHidden/>
                  </w:rPr>
                  <w:instrText xml:space="preserve"> PAGEREF _Toc27125339 \h </w:instrText>
                </w:r>
                <w:r>
                  <w:rPr>
                    <w:noProof/>
                    <w:webHidden/>
                  </w:rPr>
                </w:r>
                <w:r>
                  <w:rPr>
                    <w:noProof/>
                    <w:webHidden/>
                  </w:rPr>
                  <w:fldChar w:fldCharType="separate"/>
                </w:r>
                <w:r>
                  <w:rPr>
                    <w:noProof/>
                    <w:webHidden/>
                  </w:rPr>
                  <w:t>42</w:t>
                </w:r>
                <w:r>
                  <w:rPr>
                    <w:noProof/>
                    <w:webHidden/>
                  </w:rPr>
                  <w:fldChar w:fldCharType="end"/>
                </w:r>
              </w:hyperlink>
            </w:p>
            <w:p w14:paraId="2ECF204B" w14:textId="678A9C81" w:rsidR="00C93FD7" w:rsidRDefault="00C93FD7">
              <w:pPr>
                <w:pStyle w:val="Spistreci3"/>
                <w:tabs>
                  <w:tab w:val="left" w:pos="1320"/>
                  <w:tab w:val="right" w:leader="dot" w:pos="9061"/>
                </w:tabs>
                <w:rPr>
                  <w:rFonts w:eastAsiaTheme="minorEastAsia"/>
                  <w:noProof/>
                  <w:sz w:val="22"/>
                  <w:lang w:eastAsia="pl-PL"/>
                </w:rPr>
              </w:pPr>
              <w:hyperlink w:anchor="_Toc27125340" w:history="1">
                <w:r w:rsidRPr="00F254AE">
                  <w:rPr>
                    <w:rStyle w:val="Hipercze"/>
                    <w:noProof/>
                  </w:rPr>
                  <w:t>3.2.3.</w:t>
                </w:r>
                <w:r>
                  <w:rPr>
                    <w:rFonts w:eastAsiaTheme="minorEastAsia"/>
                    <w:noProof/>
                    <w:sz w:val="22"/>
                    <w:lang w:eastAsia="pl-PL"/>
                  </w:rPr>
                  <w:tab/>
                </w:r>
                <w:r w:rsidRPr="00F254AE">
                  <w:rPr>
                    <w:rStyle w:val="Hipercze"/>
                    <w:noProof/>
                  </w:rPr>
                  <w:t>Wywiady IDI</w:t>
                </w:r>
                <w:r>
                  <w:rPr>
                    <w:noProof/>
                    <w:webHidden/>
                  </w:rPr>
                  <w:tab/>
                </w:r>
                <w:r>
                  <w:rPr>
                    <w:noProof/>
                    <w:webHidden/>
                  </w:rPr>
                  <w:fldChar w:fldCharType="begin"/>
                </w:r>
                <w:r>
                  <w:rPr>
                    <w:noProof/>
                    <w:webHidden/>
                  </w:rPr>
                  <w:instrText xml:space="preserve"> PAGEREF _Toc27125340 \h </w:instrText>
                </w:r>
                <w:r>
                  <w:rPr>
                    <w:noProof/>
                    <w:webHidden/>
                  </w:rPr>
                </w:r>
                <w:r>
                  <w:rPr>
                    <w:noProof/>
                    <w:webHidden/>
                  </w:rPr>
                  <w:fldChar w:fldCharType="separate"/>
                </w:r>
                <w:r>
                  <w:rPr>
                    <w:noProof/>
                    <w:webHidden/>
                  </w:rPr>
                  <w:t>44</w:t>
                </w:r>
                <w:r>
                  <w:rPr>
                    <w:noProof/>
                    <w:webHidden/>
                  </w:rPr>
                  <w:fldChar w:fldCharType="end"/>
                </w:r>
              </w:hyperlink>
            </w:p>
            <w:p w14:paraId="5B169A76" w14:textId="063CEF67" w:rsidR="00C93FD7" w:rsidRDefault="00C93FD7">
              <w:pPr>
                <w:pStyle w:val="Spistreci3"/>
                <w:tabs>
                  <w:tab w:val="left" w:pos="1320"/>
                  <w:tab w:val="right" w:leader="dot" w:pos="9061"/>
                </w:tabs>
                <w:rPr>
                  <w:rFonts w:eastAsiaTheme="minorEastAsia"/>
                  <w:noProof/>
                  <w:sz w:val="22"/>
                  <w:lang w:eastAsia="pl-PL"/>
                </w:rPr>
              </w:pPr>
              <w:hyperlink w:anchor="_Toc27125341" w:history="1">
                <w:r w:rsidRPr="00F254AE">
                  <w:rPr>
                    <w:rStyle w:val="Hipercze"/>
                    <w:noProof/>
                  </w:rPr>
                  <w:t>3.2.4.</w:t>
                </w:r>
                <w:r>
                  <w:rPr>
                    <w:rFonts w:eastAsiaTheme="minorEastAsia"/>
                    <w:noProof/>
                    <w:sz w:val="22"/>
                    <w:lang w:eastAsia="pl-PL"/>
                  </w:rPr>
                  <w:tab/>
                </w:r>
                <w:r w:rsidRPr="00F254AE">
                  <w:rPr>
                    <w:rStyle w:val="Hipercze"/>
                    <w:noProof/>
                  </w:rPr>
                  <w:t>Panel ekspertów</w:t>
                </w:r>
                <w:r>
                  <w:rPr>
                    <w:noProof/>
                    <w:webHidden/>
                  </w:rPr>
                  <w:tab/>
                </w:r>
                <w:r>
                  <w:rPr>
                    <w:noProof/>
                    <w:webHidden/>
                  </w:rPr>
                  <w:fldChar w:fldCharType="begin"/>
                </w:r>
                <w:r>
                  <w:rPr>
                    <w:noProof/>
                    <w:webHidden/>
                  </w:rPr>
                  <w:instrText xml:space="preserve"> PAGEREF _Toc27125341 \h </w:instrText>
                </w:r>
                <w:r>
                  <w:rPr>
                    <w:noProof/>
                    <w:webHidden/>
                  </w:rPr>
                </w:r>
                <w:r>
                  <w:rPr>
                    <w:noProof/>
                    <w:webHidden/>
                  </w:rPr>
                  <w:fldChar w:fldCharType="separate"/>
                </w:r>
                <w:r>
                  <w:rPr>
                    <w:noProof/>
                    <w:webHidden/>
                  </w:rPr>
                  <w:t>53</w:t>
                </w:r>
                <w:r>
                  <w:rPr>
                    <w:noProof/>
                    <w:webHidden/>
                  </w:rPr>
                  <w:fldChar w:fldCharType="end"/>
                </w:r>
              </w:hyperlink>
            </w:p>
            <w:p w14:paraId="0D308A12" w14:textId="2A728C97" w:rsidR="00C93FD7" w:rsidRDefault="00C93FD7">
              <w:pPr>
                <w:pStyle w:val="Spistreci3"/>
                <w:tabs>
                  <w:tab w:val="left" w:pos="1320"/>
                  <w:tab w:val="right" w:leader="dot" w:pos="9061"/>
                </w:tabs>
                <w:rPr>
                  <w:rFonts w:eastAsiaTheme="minorEastAsia"/>
                  <w:noProof/>
                  <w:sz w:val="22"/>
                  <w:lang w:eastAsia="pl-PL"/>
                </w:rPr>
              </w:pPr>
              <w:hyperlink w:anchor="_Toc27125342" w:history="1">
                <w:r w:rsidRPr="00F254AE">
                  <w:rPr>
                    <w:rStyle w:val="Hipercze"/>
                    <w:noProof/>
                  </w:rPr>
                  <w:t>3.2.5.</w:t>
                </w:r>
                <w:r>
                  <w:rPr>
                    <w:rFonts w:eastAsiaTheme="minorEastAsia"/>
                    <w:noProof/>
                    <w:sz w:val="22"/>
                    <w:lang w:eastAsia="pl-PL"/>
                  </w:rPr>
                  <w:tab/>
                </w:r>
                <w:r w:rsidRPr="00F254AE">
                  <w:rPr>
                    <w:rStyle w:val="Hipercze"/>
                    <w:noProof/>
                  </w:rPr>
                  <w:t>Baza danych o transporcie</w:t>
                </w:r>
                <w:r>
                  <w:rPr>
                    <w:noProof/>
                    <w:webHidden/>
                  </w:rPr>
                  <w:tab/>
                </w:r>
                <w:r>
                  <w:rPr>
                    <w:noProof/>
                    <w:webHidden/>
                  </w:rPr>
                  <w:fldChar w:fldCharType="begin"/>
                </w:r>
                <w:r>
                  <w:rPr>
                    <w:noProof/>
                    <w:webHidden/>
                  </w:rPr>
                  <w:instrText xml:space="preserve"> PAGEREF _Toc27125342 \h </w:instrText>
                </w:r>
                <w:r>
                  <w:rPr>
                    <w:noProof/>
                    <w:webHidden/>
                  </w:rPr>
                </w:r>
                <w:r>
                  <w:rPr>
                    <w:noProof/>
                    <w:webHidden/>
                  </w:rPr>
                  <w:fldChar w:fldCharType="separate"/>
                </w:r>
                <w:r>
                  <w:rPr>
                    <w:noProof/>
                    <w:webHidden/>
                  </w:rPr>
                  <w:t>55</w:t>
                </w:r>
                <w:r>
                  <w:rPr>
                    <w:noProof/>
                    <w:webHidden/>
                  </w:rPr>
                  <w:fldChar w:fldCharType="end"/>
                </w:r>
              </w:hyperlink>
            </w:p>
            <w:p w14:paraId="1A2D88EB" w14:textId="69F0931E" w:rsidR="00C93FD7" w:rsidRDefault="00C93FD7">
              <w:pPr>
                <w:pStyle w:val="Spistreci3"/>
                <w:tabs>
                  <w:tab w:val="left" w:pos="1320"/>
                  <w:tab w:val="right" w:leader="dot" w:pos="9061"/>
                </w:tabs>
                <w:rPr>
                  <w:rFonts w:eastAsiaTheme="minorEastAsia"/>
                  <w:noProof/>
                  <w:sz w:val="22"/>
                  <w:lang w:eastAsia="pl-PL"/>
                </w:rPr>
              </w:pPr>
              <w:hyperlink w:anchor="_Toc27125343" w:history="1">
                <w:r w:rsidRPr="00F254AE">
                  <w:rPr>
                    <w:rStyle w:val="Hipercze"/>
                    <w:noProof/>
                  </w:rPr>
                  <w:t>3.2.6.</w:t>
                </w:r>
                <w:r>
                  <w:rPr>
                    <w:rFonts w:eastAsiaTheme="minorEastAsia"/>
                    <w:noProof/>
                    <w:sz w:val="22"/>
                    <w:lang w:eastAsia="pl-PL"/>
                  </w:rPr>
                  <w:tab/>
                </w:r>
                <w:r w:rsidRPr="00F254AE">
                  <w:rPr>
                    <w:rStyle w:val="Hipercze"/>
                    <w:noProof/>
                  </w:rPr>
                  <w:t>Studia przypadku</w:t>
                </w:r>
                <w:r>
                  <w:rPr>
                    <w:noProof/>
                    <w:webHidden/>
                  </w:rPr>
                  <w:tab/>
                </w:r>
                <w:r>
                  <w:rPr>
                    <w:noProof/>
                    <w:webHidden/>
                  </w:rPr>
                  <w:fldChar w:fldCharType="begin"/>
                </w:r>
                <w:r>
                  <w:rPr>
                    <w:noProof/>
                    <w:webHidden/>
                  </w:rPr>
                  <w:instrText xml:space="preserve"> PAGEREF _Toc27125343 \h </w:instrText>
                </w:r>
                <w:r>
                  <w:rPr>
                    <w:noProof/>
                    <w:webHidden/>
                  </w:rPr>
                </w:r>
                <w:r>
                  <w:rPr>
                    <w:noProof/>
                    <w:webHidden/>
                  </w:rPr>
                  <w:fldChar w:fldCharType="separate"/>
                </w:r>
                <w:r>
                  <w:rPr>
                    <w:noProof/>
                    <w:webHidden/>
                  </w:rPr>
                  <w:t>57</w:t>
                </w:r>
                <w:r>
                  <w:rPr>
                    <w:noProof/>
                    <w:webHidden/>
                  </w:rPr>
                  <w:fldChar w:fldCharType="end"/>
                </w:r>
              </w:hyperlink>
            </w:p>
            <w:p w14:paraId="5FEA5192" w14:textId="22FB882C" w:rsidR="00C93FD7" w:rsidRDefault="00C93FD7">
              <w:pPr>
                <w:pStyle w:val="Spistreci3"/>
                <w:tabs>
                  <w:tab w:val="left" w:pos="1320"/>
                  <w:tab w:val="right" w:leader="dot" w:pos="9061"/>
                </w:tabs>
                <w:rPr>
                  <w:rFonts w:eastAsiaTheme="minorEastAsia"/>
                  <w:noProof/>
                  <w:sz w:val="22"/>
                  <w:lang w:eastAsia="pl-PL"/>
                </w:rPr>
              </w:pPr>
              <w:hyperlink w:anchor="_Toc27125344" w:history="1">
                <w:r w:rsidRPr="00F254AE">
                  <w:rPr>
                    <w:rStyle w:val="Hipercze"/>
                    <w:noProof/>
                  </w:rPr>
                  <w:t>3.2.7.</w:t>
                </w:r>
                <w:r>
                  <w:rPr>
                    <w:rFonts w:eastAsiaTheme="minorEastAsia"/>
                    <w:noProof/>
                    <w:sz w:val="22"/>
                    <w:lang w:eastAsia="pl-PL"/>
                  </w:rPr>
                  <w:tab/>
                </w:r>
                <w:r w:rsidRPr="00F254AE">
                  <w:rPr>
                    <w:rStyle w:val="Hipercze"/>
                    <w:noProof/>
                  </w:rPr>
                  <w:t>Panel internetowy CAWI</w:t>
                </w:r>
                <w:r>
                  <w:rPr>
                    <w:noProof/>
                    <w:webHidden/>
                  </w:rPr>
                  <w:tab/>
                </w:r>
                <w:r>
                  <w:rPr>
                    <w:noProof/>
                    <w:webHidden/>
                  </w:rPr>
                  <w:fldChar w:fldCharType="begin"/>
                </w:r>
                <w:r>
                  <w:rPr>
                    <w:noProof/>
                    <w:webHidden/>
                  </w:rPr>
                  <w:instrText xml:space="preserve"> PAGEREF _Toc27125344 \h </w:instrText>
                </w:r>
                <w:r>
                  <w:rPr>
                    <w:noProof/>
                    <w:webHidden/>
                  </w:rPr>
                </w:r>
                <w:r>
                  <w:rPr>
                    <w:noProof/>
                    <w:webHidden/>
                  </w:rPr>
                  <w:fldChar w:fldCharType="separate"/>
                </w:r>
                <w:r>
                  <w:rPr>
                    <w:noProof/>
                    <w:webHidden/>
                  </w:rPr>
                  <w:t>67</w:t>
                </w:r>
                <w:r>
                  <w:rPr>
                    <w:noProof/>
                    <w:webHidden/>
                  </w:rPr>
                  <w:fldChar w:fldCharType="end"/>
                </w:r>
              </w:hyperlink>
            </w:p>
            <w:p w14:paraId="3B4842B4" w14:textId="018A5906" w:rsidR="00C93FD7" w:rsidRDefault="00C93FD7">
              <w:pPr>
                <w:pStyle w:val="Spistreci2"/>
                <w:tabs>
                  <w:tab w:val="left" w:pos="880"/>
                  <w:tab w:val="right" w:leader="dot" w:pos="9061"/>
                </w:tabs>
                <w:rPr>
                  <w:rFonts w:eastAsiaTheme="minorEastAsia"/>
                  <w:noProof/>
                  <w:sz w:val="22"/>
                  <w:lang w:eastAsia="pl-PL"/>
                </w:rPr>
              </w:pPr>
              <w:hyperlink w:anchor="_Toc27125345" w:history="1">
                <w:r w:rsidRPr="00F254AE">
                  <w:rPr>
                    <w:rStyle w:val="Hipercze"/>
                    <w:noProof/>
                  </w:rPr>
                  <w:t>3.3.</w:t>
                </w:r>
                <w:r>
                  <w:rPr>
                    <w:rFonts w:eastAsiaTheme="minorEastAsia"/>
                    <w:noProof/>
                    <w:sz w:val="22"/>
                    <w:lang w:eastAsia="pl-PL"/>
                  </w:rPr>
                  <w:tab/>
                </w:r>
                <w:r w:rsidRPr="00F254AE">
                  <w:rPr>
                    <w:rStyle w:val="Hipercze"/>
                    <w:noProof/>
                  </w:rPr>
                  <w:t>Analizy ilościowe</w:t>
                </w:r>
                <w:r>
                  <w:rPr>
                    <w:noProof/>
                    <w:webHidden/>
                  </w:rPr>
                  <w:tab/>
                </w:r>
                <w:r>
                  <w:rPr>
                    <w:noProof/>
                    <w:webHidden/>
                  </w:rPr>
                  <w:fldChar w:fldCharType="begin"/>
                </w:r>
                <w:r>
                  <w:rPr>
                    <w:noProof/>
                    <w:webHidden/>
                  </w:rPr>
                  <w:instrText xml:space="preserve"> PAGEREF _Toc27125345 \h </w:instrText>
                </w:r>
                <w:r>
                  <w:rPr>
                    <w:noProof/>
                    <w:webHidden/>
                  </w:rPr>
                </w:r>
                <w:r>
                  <w:rPr>
                    <w:noProof/>
                    <w:webHidden/>
                  </w:rPr>
                  <w:fldChar w:fldCharType="separate"/>
                </w:r>
                <w:r>
                  <w:rPr>
                    <w:noProof/>
                    <w:webHidden/>
                  </w:rPr>
                  <w:t>76</w:t>
                </w:r>
                <w:r>
                  <w:rPr>
                    <w:noProof/>
                    <w:webHidden/>
                  </w:rPr>
                  <w:fldChar w:fldCharType="end"/>
                </w:r>
              </w:hyperlink>
            </w:p>
            <w:p w14:paraId="5E33C61C" w14:textId="467CEE05" w:rsidR="00C93FD7" w:rsidRDefault="00C93FD7">
              <w:pPr>
                <w:pStyle w:val="Spistreci3"/>
                <w:tabs>
                  <w:tab w:val="left" w:pos="1320"/>
                  <w:tab w:val="right" w:leader="dot" w:pos="9061"/>
                </w:tabs>
                <w:rPr>
                  <w:rFonts w:eastAsiaTheme="minorEastAsia"/>
                  <w:noProof/>
                  <w:sz w:val="22"/>
                  <w:lang w:eastAsia="pl-PL"/>
                </w:rPr>
              </w:pPr>
              <w:hyperlink w:anchor="_Toc27125346" w:history="1">
                <w:r w:rsidRPr="00F254AE">
                  <w:rPr>
                    <w:rStyle w:val="Hipercze"/>
                    <w:noProof/>
                  </w:rPr>
                  <w:t>3.3.1.</w:t>
                </w:r>
                <w:r>
                  <w:rPr>
                    <w:rFonts w:eastAsiaTheme="minorEastAsia"/>
                    <w:noProof/>
                    <w:sz w:val="22"/>
                    <w:lang w:eastAsia="pl-PL"/>
                  </w:rPr>
                  <w:tab/>
                </w:r>
                <w:r w:rsidRPr="00F254AE">
                  <w:rPr>
                    <w:rStyle w:val="Hipercze"/>
                    <w:noProof/>
                  </w:rPr>
                  <w:t>Wypracowanie założeń analiz metodą PSM</w:t>
                </w:r>
                <w:r>
                  <w:rPr>
                    <w:noProof/>
                    <w:webHidden/>
                  </w:rPr>
                  <w:tab/>
                </w:r>
                <w:r>
                  <w:rPr>
                    <w:noProof/>
                    <w:webHidden/>
                  </w:rPr>
                  <w:fldChar w:fldCharType="begin"/>
                </w:r>
                <w:r>
                  <w:rPr>
                    <w:noProof/>
                    <w:webHidden/>
                  </w:rPr>
                  <w:instrText xml:space="preserve"> PAGEREF _Toc27125346 \h </w:instrText>
                </w:r>
                <w:r>
                  <w:rPr>
                    <w:noProof/>
                    <w:webHidden/>
                  </w:rPr>
                </w:r>
                <w:r>
                  <w:rPr>
                    <w:noProof/>
                    <w:webHidden/>
                  </w:rPr>
                  <w:fldChar w:fldCharType="separate"/>
                </w:r>
                <w:r>
                  <w:rPr>
                    <w:noProof/>
                    <w:webHidden/>
                  </w:rPr>
                  <w:t>76</w:t>
                </w:r>
                <w:r>
                  <w:rPr>
                    <w:noProof/>
                    <w:webHidden/>
                  </w:rPr>
                  <w:fldChar w:fldCharType="end"/>
                </w:r>
              </w:hyperlink>
            </w:p>
            <w:p w14:paraId="03440E65" w14:textId="46442104" w:rsidR="00C93FD7" w:rsidRDefault="00C93FD7">
              <w:pPr>
                <w:pStyle w:val="Spistreci3"/>
                <w:tabs>
                  <w:tab w:val="left" w:pos="1320"/>
                  <w:tab w:val="right" w:leader="dot" w:pos="9061"/>
                </w:tabs>
                <w:rPr>
                  <w:rFonts w:eastAsiaTheme="minorEastAsia"/>
                  <w:noProof/>
                  <w:sz w:val="22"/>
                  <w:lang w:eastAsia="pl-PL"/>
                </w:rPr>
              </w:pPr>
              <w:hyperlink w:anchor="_Toc27125347" w:history="1">
                <w:r w:rsidRPr="00F254AE">
                  <w:rPr>
                    <w:rStyle w:val="Hipercze"/>
                    <w:noProof/>
                  </w:rPr>
                  <w:t>3.3.2.</w:t>
                </w:r>
                <w:r>
                  <w:rPr>
                    <w:rFonts w:eastAsiaTheme="minorEastAsia"/>
                    <w:noProof/>
                    <w:sz w:val="22"/>
                    <w:lang w:eastAsia="pl-PL"/>
                  </w:rPr>
                  <w:tab/>
                </w:r>
                <w:r w:rsidRPr="00F254AE">
                  <w:rPr>
                    <w:rStyle w:val="Hipercze"/>
                    <w:noProof/>
                  </w:rPr>
                  <w:t>Weryfikacja założeń analiz metodą SPSM</w:t>
                </w:r>
                <w:r>
                  <w:rPr>
                    <w:noProof/>
                    <w:webHidden/>
                  </w:rPr>
                  <w:tab/>
                </w:r>
                <w:r>
                  <w:rPr>
                    <w:noProof/>
                    <w:webHidden/>
                  </w:rPr>
                  <w:fldChar w:fldCharType="begin"/>
                </w:r>
                <w:r>
                  <w:rPr>
                    <w:noProof/>
                    <w:webHidden/>
                  </w:rPr>
                  <w:instrText xml:space="preserve"> PAGEREF _Toc27125347 \h </w:instrText>
                </w:r>
                <w:r>
                  <w:rPr>
                    <w:noProof/>
                    <w:webHidden/>
                  </w:rPr>
                </w:r>
                <w:r>
                  <w:rPr>
                    <w:noProof/>
                    <w:webHidden/>
                  </w:rPr>
                  <w:fldChar w:fldCharType="separate"/>
                </w:r>
                <w:r>
                  <w:rPr>
                    <w:noProof/>
                    <w:webHidden/>
                  </w:rPr>
                  <w:t>78</w:t>
                </w:r>
                <w:r>
                  <w:rPr>
                    <w:noProof/>
                    <w:webHidden/>
                  </w:rPr>
                  <w:fldChar w:fldCharType="end"/>
                </w:r>
              </w:hyperlink>
            </w:p>
            <w:p w14:paraId="64E8F395" w14:textId="4082004C" w:rsidR="00C93FD7" w:rsidRDefault="00C93FD7">
              <w:pPr>
                <w:pStyle w:val="Spistreci3"/>
                <w:tabs>
                  <w:tab w:val="left" w:pos="1320"/>
                  <w:tab w:val="right" w:leader="dot" w:pos="9061"/>
                </w:tabs>
                <w:rPr>
                  <w:rFonts w:eastAsiaTheme="minorEastAsia"/>
                  <w:noProof/>
                  <w:sz w:val="22"/>
                  <w:lang w:eastAsia="pl-PL"/>
                </w:rPr>
              </w:pPr>
              <w:hyperlink w:anchor="_Toc27125348" w:history="1">
                <w:r w:rsidRPr="00F254AE">
                  <w:rPr>
                    <w:rStyle w:val="Hipercze"/>
                    <w:noProof/>
                  </w:rPr>
                  <w:t>3.3.3.</w:t>
                </w:r>
                <w:r>
                  <w:rPr>
                    <w:rFonts w:eastAsiaTheme="minorEastAsia"/>
                    <w:noProof/>
                    <w:sz w:val="22"/>
                    <w:lang w:eastAsia="pl-PL"/>
                  </w:rPr>
                  <w:tab/>
                </w:r>
                <w:r w:rsidRPr="00F254AE">
                  <w:rPr>
                    <w:rStyle w:val="Hipercze"/>
                    <w:noProof/>
                  </w:rPr>
                  <w:t>Założenia analizy kosztów i korzyści projektów POIiŚ</w:t>
                </w:r>
                <w:r>
                  <w:rPr>
                    <w:noProof/>
                    <w:webHidden/>
                  </w:rPr>
                  <w:tab/>
                </w:r>
                <w:r>
                  <w:rPr>
                    <w:noProof/>
                    <w:webHidden/>
                  </w:rPr>
                  <w:fldChar w:fldCharType="begin"/>
                </w:r>
                <w:r>
                  <w:rPr>
                    <w:noProof/>
                    <w:webHidden/>
                  </w:rPr>
                  <w:instrText xml:space="preserve"> PAGEREF _Toc27125348 \h </w:instrText>
                </w:r>
                <w:r>
                  <w:rPr>
                    <w:noProof/>
                    <w:webHidden/>
                  </w:rPr>
                </w:r>
                <w:r>
                  <w:rPr>
                    <w:noProof/>
                    <w:webHidden/>
                  </w:rPr>
                  <w:fldChar w:fldCharType="separate"/>
                </w:r>
                <w:r>
                  <w:rPr>
                    <w:noProof/>
                    <w:webHidden/>
                  </w:rPr>
                  <w:t>80</w:t>
                </w:r>
                <w:r>
                  <w:rPr>
                    <w:noProof/>
                    <w:webHidden/>
                  </w:rPr>
                  <w:fldChar w:fldCharType="end"/>
                </w:r>
              </w:hyperlink>
            </w:p>
            <w:p w14:paraId="57D5927E" w14:textId="38BD7DC6" w:rsidR="00C93FD7" w:rsidRDefault="00C93FD7">
              <w:pPr>
                <w:pStyle w:val="Spistreci3"/>
                <w:tabs>
                  <w:tab w:val="left" w:pos="1320"/>
                  <w:tab w:val="right" w:leader="dot" w:pos="9061"/>
                </w:tabs>
                <w:rPr>
                  <w:rFonts w:eastAsiaTheme="minorEastAsia"/>
                  <w:noProof/>
                  <w:sz w:val="22"/>
                  <w:lang w:eastAsia="pl-PL"/>
                </w:rPr>
              </w:pPr>
              <w:hyperlink w:anchor="_Toc27125349" w:history="1">
                <w:r w:rsidRPr="00F254AE">
                  <w:rPr>
                    <w:rStyle w:val="Hipercze"/>
                    <w:noProof/>
                  </w:rPr>
                  <w:t>3.3.4.</w:t>
                </w:r>
                <w:r>
                  <w:rPr>
                    <w:rFonts w:eastAsiaTheme="minorEastAsia"/>
                    <w:noProof/>
                    <w:sz w:val="22"/>
                    <w:lang w:eastAsia="pl-PL"/>
                  </w:rPr>
                  <w:tab/>
                </w:r>
                <w:r w:rsidRPr="00F254AE">
                  <w:rPr>
                    <w:rStyle w:val="Hipercze"/>
                    <w:noProof/>
                  </w:rPr>
                  <w:t xml:space="preserve">Założenia analizy kosztów i korzyści dla </w:t>
                </w:r>
                <w:r w:rsidRPr="00F254AE">
                  <w:rPr>
                    <w:rStyle w:val="Hipercze"/>
                    <w:i/>
                    <w:noProof/>
                  </w:rPr>
                  <w:t>Park &amp; Ride</w:t>
                </w:r>
                <w:r>
                  <w:rPr>
                    <w:noProof/>
                    <w:webHidden/>
                  </w:rPr>
                  <w:tab/>
                </w:r>
                <w:r>
                  <w:rPr>
                    <w:noProof/>
                    <w:webHidden/>
                  </w:rPr>
                  <w:fldChar w:fldCharType="begin"/>
                </w:r>
                <w:r>
                  <w:rPr>
                    <w:noProof/>
                    <w:webHidden/>
                  </w:rPr>
                  <w:instrText xml:space="preserve"> PAGEREF _Toc27125349 \h </w:instrText>
                </w:r>
                <w:r>
                  <w:rPr>
                    <w:noProof/>
                    <w:webHidden/>
                  </w:rPr>
                </w:r>
                <w:r>
                  <w:rPr>
                    <w:noProof/>
                    <w:webHidden/>
                  </w:rPr>
                  <w:fldChar w:fldCharType="separate"/>
                </w:r>
                <w:r>
                  <w:rPr>
                    <w:noProof/>
                    <w:webHidden/>
                  </w:rPr>
                  <w:t>84</w:t>
                </w:r>
                <w:r>
                  <w:rPr>
                    <w:noProof/>
                    <w:webHidden/>
                  </w:rPr>
                  <w:fldChar w:fldCharType="end"/>
                </w:r>
              </w:hyperlink>
            </w:p>
            <w:p w14:paraId="3761C3D1" w14:textId="4D3CDDCA" w:rsidR="00C93FD7" w:rsidRDefault="00C93FD7">
              <w:pPr>
                <w:pStyle w:val="Spistreci1"/>
                <w:tabs>
                  <w:tab w:val="left" w:pos="440"/>
                  <w:tab w:val="right" w:leader="dot" w:pos="9061"/>
                </w:tabs>
                <w:rPr>
                  <w:rFonts w:eastAsiaTheme="minorEastAsia"/>
                  <w:noProof/>
                  <w:sz w:val="22"/>
                  <w:lang w:eastAsia="pl-PL"/>
                </w:rPr>
              </w:pPr>
              <w:hyperlink w:anchor="_Toc27125350" w:history="1">
                <w:r w:rsidRPr="00F254AE">
                  <w:rPr>
                    <w:rStyle w:val="Hipercze"/>
                    <w:noProof/>
                  </w:rPr>
                  <w:t>4.</w:t>
                </w:r>
                <w:r>
                  <w:rPr>
                    <w:rFonts w:eastAsiaTheme="minorEastAsia"/>
                    <w:noProof/>
                    <w:sz w:val="22"/>
                    <w:lang w:eastAsia="pl-PL"/>
                  </w:rPr>
                  <w:tab/>
                </w:r>
                <w:r w:rsidRPr="00F254AE">
                  <w:rPr>
                    <w:rStyle w:val="Hipercze"/>
                    <w:noProof/>
                  </w:rPr>
                  <w:t>Wnioski i rekomendacje</w:t>
                </w:r>
                <w:r>
                  <w:rPr>
                    <w:noProof/>
                    <w:webHidden/>
                  </w:rPr>
                  <w:tab/>
                </w:r>
                <w:r>
                  <w:rPr>
                    <w:noProof/>
                    <w:webHidden/>
                  </w:rPr>
                  <w:fldChar w:fldCharType="begin"/>
                </w:r>
                <w:r>
                  <w:rPr>
                    <w:noProof/>
                    <w:webHidden/>
                  </w:rPr>
                  <w:instrText xml:space="preserve"> PAGEREF _Toc27125350 \h </w:instrText>
                </w:r>
                <w:r>
                  <w:rPr>
                    <w:noProof/>
                    <w:webHidden/>
                  </w:rPr>
                </w:r>
                <w:r>
                  <w:rPr>
                    <w:noProof/>
                    <w:webHidden/>
                  </w:rPr>
                  <w:fldChar w:fldCharType="separate"/>
                </w:r>
                <w:r>
                  <w:rPr>
                    <w:noProof/>
                    <w:webHidden/>
                  </w:rPr>
                  <w:t>89</w:t>
                </w:r>
                <w:r>
                  <w:rPr>
                    <w:noProof/>
                    <w:webHidden/>
                  </w:rPr>
                  <w:fldChar w:fldCharType="end"/>
                </w:r>
              </w:hyperlink>
            </w:p>
            <w:p w14:paraId="3CA1ECD0" w14:textId="3CE76CA9" w:rsidR="00C93FD7" w:rsidRDefault="00C93FD7">
              <w:pPr>
                <w:pStyle w:val="Spistreci2"/>
                <w:tabs>
                  <w:tab w:val="left" w:pos="880"/>
                  <w:tab w:val="right" w:leader="dot" w:pos="9061"/>
                </w:tabs>
                <w:rPr>
                  <w:rFonts w:eastAsiaTheme="minorEastAsia"/>
                  <w:noProof/>
                  <w:sz w:val="22"/>
                  <w:lang w:eastAsia="pl-PL"/>
                </w:rPr>
              </w:pPr>
              <w:hyperlink w:anchor="_Toc27125351" w:history="1">
                <w:r w:rsidRPr="00F254AE">
                  <w:rPr>
                    <w:rStyle w:val="Hipercze"/>
                    <w:noProof/>
                  </w:rPr>
                  <w:t>4.1.</w:t>
                </w:r>
                <w:r>
                  <w:rPr>
                    <w:rFonts w:eastAsiaTheme="minorEastAsia"/>
                    <w:noProof/>
                    <w:sz w:val="22"/>
                    <w:lang w:eastAsia="pl-PL"/>
                  </w:rPr>
                  <w:tab/>
                </w:r>
                <w:r w:rsidRPr="00F254AE">
                  <w:rPr>
                    <w:rStyle w:val="Hipercze"/>
                    <w:noProof/>
                  </w:rPr>
                  <w:t>Wnioski badania pilotażowego z 2018 r.</w:t>
                </w:r>
                <w:r>
                  <w:rPr>
                    <w:noProof/>
                    <w:webHidden/>
                  </w:rPr>
                  <w:tab/>
                </w:r>
                <w:r>
                  <w:rPr>
                    <w:noProof/>
                    <w:webHidden/>
                  </w:rPr>
                  <w:fldChar w:fldCharType="begin"/>
                </w:r>
                <w:r>
                  <w:rPr>
                    <w:noProof/>
                    <w:webHidden/>
                  </w:rPr>
                  <w:instrText xml:space="preserve"> PAGEREF _Toc27125351 \h </w:instrText>
                </w:r>
                <w:r>
                  <w:rPr>
                    <w:noProof/>
                    <w:webHidden/>
                  </w:rPr>
                </w:r>
                <w:r>
                  <w:rPr>
                    <w:noProof/>
                    <w:webHidden/>
                  </w:rPr>
                  <w:fldChar w:fldCharType="separate"/>
                </w:r>
                <w:r>
                  <w:rPr>
                    <w:noProof/>
                    <w:webHidden/>
                  </w:rPr>
                  <w:t>89</w:t>
                </w:r>
                <w:r>
                  <w:rPr>
                    <w:noProof/>
                    <w:webHidden/>
                  </w:rPr>
                  <w:fldChar w:fldCharType="end"/>
                </w:r>
              </w:hyperlink>
            </w:p>
            <w:p w14:paraId="2B06B0C5" w14:textId="59F4A636" w:rsidR="00C93FD7" w:rsidRDefault="00C93FD7">
              <w:pPr>
                <w:pStyle w:val="Spistreci2"/>
                <w:tabs>
                  <w:tab w:val="left" w:pos="880"/>
                  <w:tab w:val="right" w:leader="dot" w:pos="9061"/>
                </w:tabs>
                <w:rPr>
                  <w:rFonts w:eastAsiaTheme="minorEastAsia"/>
                  <w:noProof/>
                  <w:sz w:val="22"/>
                  <w:lang w:eastAsia="pl-PL"/>
                </w:rPr>
              </w:pPr>
              <w:hyperlink w:anchor="_Toc27125352" w:history="1">
                <w:r w:rsidRPr="00F254AE">
                  <w:rPr>
                    <w:rStyle w:val="Hipercze"/>
                    <w:noProof/>
                  </w:rPr>
                  <w:t>4.2.</w:t>
                </w:r>
                <w:r>
                  <w:rPr>
                    <w:rFonts w:eastAsiaTheme="minorEastAsia"/>
                    <w:noProof/>
                    <w:sz w:val="22"/>
                    <w:lang w:eastAsia="pl-PL"/>
                  </w:rPr>
                  <w:tab/>
                </w:r>
                <w:r w:rsidRPr="00F254AE">
                  <w:rPr>
                    <w:rStyle w:val="Hipercze"/>
                    <w:noProof/>
                  </w:rPr>
                  <w:t>Wnioski z niniejszego badania</w:t>
                </w:r>
                <w:r>
                  <w:rPr>
                    <w:noProof/>
                    <w:webHidden/>
                  </w:rPr>
                  <w:tab/>
                </w:r>
                <w:r>
                  <w:rPr>
                    <w:noProof/>
                    <w:webHidden/>
                  </w:rPr>
                  <w:fldChar w:fldCharType="begin"/>
                </w:r>
                <w:r>
                  <w:rPr>
                    <w:noProof/>
                    <w:webHidden/>
                  </w:rPr>
                  <w:instrText xml:space="preserve"> PAGEREF _Toc27125352 \h </w:instrText>
                </w:r>
                <w:r>
                  <w:rPr>
                    <w:noProof/>
                    <w:webHidden/>
                  </w:rPr>
                </w:r>
                <w:r>
                  <w:rPr>
                    <w:noProof/>
                    <w:webHidden/>
                  </w:rPr>
                  <w:fldChar w:fldCharType="separate"/>
                </w:r>
                <w:r>
                  <w:rPr>
                    <w:noProof/>
                    <w:webHidden/>
                  </w:rPr>
                  <w:t>91</w:t>
                </w:r>
                <w:r>
                  <w:rPr>
                    <w:noProof/>
                    <w:webHidden/>
                  </w:rPr>
                  <w:fldChar w:fldCharType="end"/>
                </w:r>
              </w:hyperlink>
            </w:p>
            <w:p w14:paraId="3AB83ACD" w14:textId="79A16A09" w:rsidR="00C93FD7" w:rsidRDefault="00C93FD7">
              <w:pPr>
                <w:pStyle w:val="Spistreci2"/>
                <w:tabs>
                  <w:tab w:val="left" w:pos="880"/>
                  <w:tab w:val="right" w:leader="dot" w:pos="9061"/>
                </w:tabs>
                <w:rPr>
                  <w:rFonts w:eastAsiaTheme="minorEastAsia"/>
                  <w:noProof/>
                  <w:sz w:val="22"/>
                  <w:lang w:eastAsia="pl-PL"/>
                </w:rPr>
              </w:pPr>
              <w:hyperlink w:anchor="_Toc27125353" w:history="1">
                <w:r w:rsidRPr="00F254AE">
                  <w:rPr>
                    <w:rStyle w:val="Hipercze"/>
                    <w:noProof/>
                  </w:rPr>
                  <w:t>4.3.</w:t>
                </w:r>
                <w:r>
                  <w:rPr>
                    <w:rFonts w:eastAsiaTheme="minorEastAsia"/>
                    <w:noProof/>
                    <w:sz w:val="22"/>
                    <w:lang w:eastAsia="pl-PL"/>
                  </w:rPr>
                  <w:tab/>
                </w:r>
                <w:r w:rsidRPr="00F254AE">
                  <w:rPr>
                    <w:rStyle w:val="Hipercze"/>
                    <w:noProof/>
                  </w:rPr>
                  <w:t>Rekomendacje dla ewaluacji VI OP POIiŚ</w:t>
                </w:r>
                <w:r>
                  <w:rPr>
                    <w:noProof/>
                    <w:webHidden/>
                  </w:rPr>
                  <w:tab/>
                </w:r>
                <w:r>
                  <w:rPr>
                    <w:noProof/>
                    <w:webHidden/>
                  </w:rPr>
                  <w:fldChar w:fldCharType="begin"/>
                </w:r>
                <w:r>
                  <w:rPr>
                    <w:noProof/>
                    <w:webHidden/>
                  </w:rPr>
                  <w:instrText xml:space="preserve"> PAGEREF _Toc27125353 \h </w:instrText>
                </w:r>
                <w:r>
                  <w:rPr>
                    <w:noProof/>
                    <w:webHidden/>
                  </w:rPr>
                </w:r>
                <w:r>
                  <w:rPr>
                    <w:noProof/>
                    <w:webHidden/>
                  </w:rPr>
                  <w:fldChar w:fldCharType="separate"/>
                </w:r>
                <w:r>
                  <w:rPr>
                    <w:noProof/>
                    <w:webHidden/>
                  </w:rPr>
                  <w:t>93</w:t>
                </w:r>
                <w:r>
                  <w:rPr>
                    <w:noProof/>
                    <w:webHidden/>
                  </w:rPr>
                  <w:fldChar w:fldCharType="end"/>
                </w:r>
              </w:hyperlink>
            </w:p>
            <w:p w14:paraId="48B49E04" w14:textId="60BEE207" w:rsidR="00C93FD7" w:rsidRDefault="00C93FD7">
              <w:pPr>
                <w:pStyle w:val="Spistreci2"/>
                <w:tabs>
                  <w:tab w:val="left" w:pos="880"/>
                  <w:tab w:val="right" w:leader="dot" w:pos="9061"/>
                </w:tabs>
                <w:rPr>
                  <w:rFonts w:eastAsiaTheme="minorEastAsia"/>
                  <w:noProof/>
                  <w:sz w:val="22"/>
                  <w:lang w:eastAsia="pl-PL"/>
                </w:rPr>
              </w:pPr>
              <w:hyperlink w:anchor="_Toc27125354" w:history="1">
                <w:r w:rsidRPr="00F254AE">
                  <w:rPr>
                    <w:rStyle w:val="Hipercze"/>
                    <w:noProof/>
                  </w:rPr>
                  <w:t>4.4.</w:t>
                </w:r>
                <w:r>
                  <w:rPr>
                    <w:rFonts w:eastAsiaTheme="minorEastAsia"/>
                    <w:noProof/>
                    <w:sz w:val="22"/>
                    <w:lang w:eastAsia="pl-PL"/>
                  </w:rPr>
                  <w:tab/>
                </w:r>
                <w:r w:rsidRPr="00F254AE">
                  <w:rPr>
                    <w:rStyle w:val="Hipercze"/>
                    <w:noProof/>
                  </w:rPr>
                  <w:t>Rekomendacje systemowe</w:t>
                </w:r>
                <w:r>
                  <w:rPr>
                    <w:noProof/>
                    <w:webHidden/>
                  </w:rPr>
                  <w:tab/>
                </w:r>
                <w:r>
                  <w:rPr>
                    <w:noProof/>
                    <w:webHidden/>
                  </w:rPr>
                  <w:fldChar w:fldCharType="begin"/>
                </w:r>
                <w:r>
                  <w:rPr>
                    <w:noProof/>
                    <w:webHidden/>
                  </w:rPr>
                  <w:instrText xml:space="preserve"> PAGEREF _Toc27125354 \h </w:instrText>
                </w:r>
                <w:r>
                  <w:rPr>
                    <w:noProof/>
                    <w:webHidden/>
                  </w:rPr>
                </w:r>
                <w:r>
                  <w:rPr>
                    <w:noProof/>
                    <w:webHidden/>
                  </w:rPr>
                  <w:fldChar w:fldCharType="separate"/>
                </w:r>
                <w:r>
                  <w:rPr>
                    <w:noProof/>
                    <w:webHidden/>
                  </w:rPr>
                  <w:t>95</w:t>
                </w:r>
                <w:r>
                  <w:rPr>
                    <w:noProof/>
                    <w:webHidden/>
                  </w:rPr>
                  <w:fldChar w:fldCharType="end"/>
                </w:r>
              </w:hyperlink>
            </w:p>
            <w:p w14:paraId="541EED99" w14:textId="42714657" w:rsidR="00C93FD7" w:rsidRDefault="00C93FD7">
              <w:pPr>
                <w:pStyle w:val="Spistreci2"/>
                <w:tabs>
                  <w:tab w:val="left" w:pos="880"/>
                  <w:tab w:val="right" w:leader="dot" w:pos="9061"/>
                </w:tabs>
                <w:rPr>
                  <w:rFonts w:eastAsiaTheme="minorEastAsia"/>
                  <w:noProof/>
                  <w:sz w:val="22"/>
                  <w:lang w:eastAsia="pl-PL"/>
                </w:rPr>
              </w:pPr>
              <w:hyperlink w:anchor="_Toc27125355" w:history="1">
                <w:r w:rsidRPr="00F254AE">
                  <w:rPr>
                    <w:rStyle w:val="Hipercze"/>
                    <w:noProof/>
                  </w:rPr>
                  <w:t>4.5.</w:t>
                </w:r>
                <w:r>
                  <w:rPr>
                    <w:rFonts w:eastAsiaTheme="minorEastAsia"/>
                    <w:noProof/>
                    <w:sz w:val="22"/>
                    <w:lang w:eastAsia="pl-PL"/>
                  </w:rPr>
                  <w:tab/>
                </w:r>
                <w:r w:rsidRPr="00F254AE">
                  <w:rPr>
                    <w:rStyle w:val="Hipercze"/>
                    <w:noProof/>
                  </w:rPr>
                  <w:t>Rekomendacje dla systemu ewaluacji</w:t>
                </w:r>
                <w:r>
                  <w:rPr>
                    <w:noProof/>
                    <w:webHidden/>
                  </w:rPr>
                  <w:tab/>
                </w:r>
                <w:r>
                  <w:rPr>
                    <w:noProof/>
                    <w:webHidden/>
                  </w:rPr>
                  <w:fldChar w:fldCharType="begin"/>
                </w:r>
                <w:r>
                  <w:rPr>
                    <w:noProof/>
                    <w:webHidden/>
                  </w:rPr>
                  <w:instrText xml:space="preserve"> PAGEREF _Toc27125355 \h </w:instrText>
                </w:r>
                <w:r>
                  <w:rPr>
                    <w:noProof/>
                    <w:webHidden/>
                  </w:rPr>
                </w:r>
                <w:r>
                  <w:rPr>
                    <w:noProof/>
                    <w:webHidden/>
                  </w:rPr>
                  <w:fldChar w:fldCharType="separate"/>
                </w:r>
                <w:r>
                  <w:rPr>
                    <w:noProof/>
                    <w:webHidden/>
                  </w:rPr>
                  <w:t>98</w:t>
                </w:r>
                <w:r>
                  <w:rPr>
                    <w:noProof/>
                    <w:webHidden/>
                  </w:rPr>
                  <w:fldChar w:fldCharType="end"/>
                </w:r>
              </w:hyperlink>
            </w:p>
            <w:p w14:paraId="418DE0DF" w14:textId="3FCECF69" w:rsidR="00C93FD7" w:rsidRDefault="00C93FD7">
              <w:pPr>
                <w:pStyle w:val="Spistreci2"/>
                <w:tabs>
                  <w:tab w:val="left" w:pos="880"/>
                  <w:tab w:val="right" w:leader="dot" w:pos="9061"/>
                </w:tabs>
                <w:rPr>
                  <w:rFonts w:eastAsiaTheme="minorEastAsia"/>
                  <w:noProof/>
                  <w:sz w:val="22"/>
                  <w:lang w:eastAsia="pl-PL"/>
                </w:rPr>
              </w:pPr>
              <w:hyperlink w:anchor="_Toc27125356" w:history="1">
                <w:r w:rsidRPr="00F254AE">
                  <w:rPr>
                    <w:rStyle w:val="Hipercze"/>
                    <w:noProof/>
                  </w:rPr>
                  <w:t>4.6.</w:t>
                </w:r>
                <w:r>
                  <w:rPr>
                    <w:rFonts w:eastAsiaTheme="minorEastAsia"/>
                    <w:noProof/>
                    <w:sz w:val="22"/>
                    <w:lang w:eastAsia="pl-PL"/>
                  </w:rPr>
                  <w:tab/>
                </w:r>
                <w:r w:rsidRPr="00F254AE">
                  <w:rPr>
                    <w:rStyle w:val="Hipercze"/>
                    <w:noProof/>
                  </w:rPr>
                  <w:t xml:space="preserve">Metodyka odpowiedzi na pytania badawcze </w:t>
                </w:r>
                <w:r w:rsidRPr="00F254AE">
                  <w:rPr>
                    <w:rStyle w:val="Hipercze"/>
                    <w:i/>
                    <w:noProof/>
                  </w:rPr>
                  <w:t>ex post</w:t>
                </w:r>
                <w:r>
                  <w:rPr>
                    <w:noProof/>
                    <w:webHidden/>
                  </w:rPr>
                  <w:tab/>
                </w:r>
                <w:r>
                  <w:rPr>
                    <w:noProof/>
                    <w:webHidden/>
                  </w:rPr>
                  <w:fldChar w:fldCharType="begin"/>
                </w:r>
                <w:r>
                  <w:rPr>
                    <w:noProof/>
                    <w:webHidden/>
                  </w:rPr>
                  <w:instrText xml:space="preserve"> PAGEREF _Toc27125356 \h </w:instrText>
                </w:r>
                <w:r>
                  <w:rPr>
                    <w:noProof/>
                    <w:webHidden/>
                  </w:rPr>
                </w:r>
                <w:r>
                  <w:rPr>
                    <w:noProof/>
                    <w:webHidden/>
                  </w:rPr>
                  <w:fldChar w:fldCharType="separate"/>
                </w:r>
                <w:r>
                  <w:rPr>
                    <w:noProof/>
                    <w:webHidden/>
                  </w:rPr>
                  <w:t>100</w:t>
                </w:r>
                <w:r>
                  <w:rPr>
                    <w:noProof/>
                    <w:webHidden/>
                  </w:rPr>
                  <w:fldChar w:fldCharType="end"/>
                </w:r>
              </w:hyperlink>
            </w:p>
            <w:p w14:paraId="7AF8A021" w14:textId="4FD973A8" w:rsidR="00C93FD7" w:rsidRDefault="00C93FD7">
              <w:pPr>
                <w:pStyle w:val="Spistreci1"/>
                <w:tabs>
                  <w:tab w:val="left" w:pos="440"/>
                  <w:tab w:val="right" w:leader="dot" w:pos="9061"/>
                </w:tabs>
                <w:rPr>
                  <w:rFonts w:eastAsiaTheme="minorEastAsia"/>
                  <w:noProof/>
                  <w:sz w:val="22"/>
                  <w:lang w:eastAsia="pl-PL"/>
                </w:rPr>
              </w:pPr>
              <w:hyperlink w:anchor="_Toc27125357" w:history="1">
                <w:r w:rsidRPr="00F254AE">
                  <w:rPr>
                    <w:rStyle w:val="Hipercze"/>
                    <w:noProof/>
                  </w:rPr>
                  <w:t>5.</w:t>
                </w:r>
                <w:r>
                  <w:rPr>
                    <w:rFonts w:eastAsiaTheme="minorEastAsia"/>
                    <w:noProof/>
                    <w:sz w:val="22"/>
                    <w:lang w:eastAsia="pl-PL"/>
                  </w:rPr>
                  <w:tab/>
                </w:r>
                <w:r w:rsidRPr="00F254AE">
                  <w:rPr>
                    <w:rStyle w:val="Hipercze"/>
                    <w:noProof/>
                  </w:rPr>
                  <w:t>Spis tabel, zdjęć i rysunków</w:t>
                </w:r>
                <w:r>
                  <w:rPr>
                    <w:noProof/>
                    <w:webHidden/>
                  </w:rPr>
                  <w:tab/>
                </w:r>
                <w:r>
                  <w:rPr>
                    <w:noProof/>
                    <w:webHidden/>
                  </w:rPr>
                  <w:fldChar w:fldCharType="begin"/>
                </w:r>
                <w:r>
                  <w:rPr>
                    <w:noProof/>
                    <w:webHidden/>
                  </w:rPr>
                  <w:instrText xml:space="preserve"> PAGEREF _Toc27125357 \h </w:instrText>
                </w:r>
                <w:r>
                  <w:rPr>
                    <w:noProof/>
                    <w:webHidden/>
                  </w:rPr>
                </w:r>
                <w:r>
                  <w:rPr>
                    <w:noProof/>
                    <w:webHidden/>
                  </w:rPr>
                  <w:fldChar w:fldCharType="separate"/>
                </w:r>
                <w:r>
                  <w:rPr>
                    <w:noProof/>
                    <w:webHidden/>
                  </w:rPr>
                  <w:t>105</w:t>
                </w:r>
                <w:r>
                  <w:rPr>
                    <w:noProof/>
                    <w:webHidden/>
                  </w:rPr>
                  <w:fldChar w:fldCharType="end"/>
                </w:r>
              </w:hyperlink>
            </w:p>
            <w:p w14:paraId="2F23F904" w14:textId="7D8889AA" w:rsidR="00C93FD7" w:rsidRDefault="00C93FD7">
              <w:pPr>
                <w:pStyle w:val="Spistreci1"/>
                <w:tabs>
                  <w:tab w:val="left" w:pos="440"/>
                  <w:tab w:val="right" w:leader="dot" w:pos="9061"/>
                </w:tabs>
                <w:rPr>
                  <w:rFonts w:eastAsiaTheme="minorEastAsia"/>
                  <w:noProof/>
                  <w:sz w:val="22"/>
                  <w:lang w:eastAsia="pl-PL"/>
                </w:rPr>
              </w:pPr>
              <w:hyperlink w:anchor="_Toc27125358" w:history="1">
                <w:r w:rsidRPr="00F254AE">
                  <w:rPr>
                    <w:rStyle w:val="Hipercze"/>
                    <w:noProof/>
                  </w:rPr>
                  <w:t>6.</w:t>
                </w:r>
                <w:r>
                  <w:rPr>
                    <w:rFonts w:eastAsiaTheme="minorEastAsia"/>
                    <w:noProof/>
                    <w:sz w:val="22"/>
                    <w:lang w:eastAsia="pl-PL"/>
                  </w:rPr>
                  <w:tab/>
                </w:r>
                <w:r w:rsidRPr="00F254AE">
                  <w:rPr>
                    <w:rStyle w:val="Hipercze"/>
                    <w:noProof/>
                  </w:rPr>
                  <w:t>Załączniki w formie elektronicznej</w:t>
                </w:r>
                <w:r>
                  <w:rPr>
                    <w:noProof/>
                    <w:webHidden/>
                  </w:rPr>
                  <w:tab/>
                </w:r>
                <w:r>
                  <w:rPr>
                    <w:noProof/>
                    <w:webHidden/>
                  </w:rPr>
                  <w:fldChar w:fldCharType="begin"/>
                </w:r>
                <w:r>
                  <w:rPr>
                    <w:noProof/>
                    <w:webHidden/>
                  </w:rPr>
                  <w:instrText xml:space="preserve"> PAGEREF _Toc27125358 \h </w:instrText>
                </w:r>
                <w:r>
                  <w:rPr>
                    <w:noProof/>
                    <w:webHidden/>
                  </w:rPr>
                </w:r>
                <w:r>
                  <w:rPr>
                    <w:noProof/>
                    <w:webHidden/>
                  </w:rPr>
                  <w:fldChar w:fldCharType="separate"/>
                </w:r>
                <w:r>
                  <w:rPr>
                    <w:noProof/>
                    <w:webHidden/>
                  </w:rPr>
                  <w:t>108</w:t>
                </w:r>
                <w:r>
                  <w:rPr>
                    <w:noProof/>
                    <w:webHidden/>
                  </w:rPr>
                  <w:fldChar w:fldCharType="end"/>
                </w:r>
              </w:hyperlink>
            </w:p>
            <w:p w14:paraId="01966991" w14:textId="20AE24D9" w:rsidR="00F24DCD" w:rsidRDefault="00F24DCD" w:rsidP="00AC22F8">
              <w:pPr>
                <w:pStyle w:val="Spistreci1"/>
                <w:tabs>
                  <w:tab w:val="left" w:pos="440"/>
                  <w:tab w:val="right" w:leader="dot" w:pos="9061"/>
                </w:tabs>
              </w:pPr>
              <w:r>
                <w:rPr>
                  <w:b/>
                  <w:bCs/>
                </w:rPr>
                <w:fldChar w:fldCharType="end"/>
              </w:r>
            </w:p>
          </w:sdtContent>
        </w:sdt>
        <w:p w14:paraId="025C8106" w14:textId="77777777" w:rsidR="00A2731B" w:rsidRPr="007F14BF" w:rsidRDefault="00A2731B" w:rsidP="00F06D0A">
          <w:pPr>
            <w:pStyle w:val="Nagwek1"/>
            <w:numPr>
              <w:ilvl w:val="0"/>
              <w:numId w:val="0"/>
            </w:numPr>
          </w:pPr>
          <w:bookmarkStart w:id="4" w:name="_Toc27125314"/>
          <w:r w:rsidRPr="007F14BF">
            <w:lastRenderedPageBreak/>
            <w:t xml:space="preserve">Słownik </w:t>
          </w:r>
          <w:r w:rsidR="00C93597" w:rsidRPr="007F14BF">
            <w:t xml:space="preserve">skrótów i </w:t>
          </w:r>
          <w:r w:rsidRPr="007F14BF">
            <w:t>akronimów</w:t>
          </w:r>
          <w:bookmarkEnd w:id="4"/>
        </w:p>
        <w:tbl>
          <w:tblPr>
            <w:tblStyle w:val="Tabela-Siatka"/>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6377"/>
          </w:tblGrid>
          <w:tr w:rsidR="003235FE" w:rsidRPr="007F14BF" w14:paraId="778D336C" w14:textId="77777777" w:rsidTr="000810CF">
            <w:trPr>
              <w:trHeight w:val="300"/>
            </w:trPr>
            <w:tc>
              <w:tcPr>
                <w:tcW w:w="2127" w:type="dxa"/>
                <w:noWrap/>
                <w:tcMar>
                  <w:left w:w="0" w:type="dxa"/>
                  <w:right w:w="0" w:type="dxa"/>
                </w:tcMar>
              </w:tcPr>
              <w:p w14:paraId="37059706" w14:textId="72BF22E2" w:rsidR="003235FE" w:rsidRPr="007F14BF" w:rsidRDefault="003235FE" w:rsidP="000810CF">
                <w:pPr>
                  <w:jc w:val="left"/>
                </w:pPr>
                <w:r w:rsidRPr="007F14BF">
                  <w:t>AKK</w:t>
                </w:r>
              </w:p>
            </w:tc>
            <w:tc>
              <w:tcPr>
                <w:tcW w:w="6377" w:type="dxa"/>
                <w:noWrap/>
                <w:tcMar>
                  <w:left w:w="0" w:type="dxa"/>
                  <w:right w:w="0" w:type="dxa"/>
                </w:tcMar>
              </w:tcPr>
              <w:p w14:paraId="6C7FA296" w14:textId="6E02258C" w:rsidR="003235FE" w:rsidRPr="007F14BF" w:rsidRDefault="003235FE">
                <w:r w:rsidRPr="007F14BF">
                  <w:t>Analiza Kosztów i Korzyści</w:t>
                </w:r>
              </w:p>
            </w:tc>
          </w:tr>
          <w:tr w:rsidR="00D8585F" w:rsidRPr="007F14BF" w14:paraId="67812438" w14:textId="77777777" w:rsidTr="000810CF">
            <w:trPr>
              <w:trHeight w:val="300"/>
            </w:trPr>
            <w:tc>
              <w:tcPr>
                <w:tcW w:w="2127" w:type="dxa"/>
                <w:noWrap/>
                <w:tcMar>
                  <w:left w:w="0" w:type="dxa"/>
                  <w:right w:w="0" w:type="dxa"/>
                </w:tcMar>
              </w:tcPr>
              <w:p w14:paraId="3BA3577A" w14:textId="5A9AF2E3" w:rsidR="00D8585F" w:rsidRPr="007F14BF" w:rsidRDefault="00D8585F" w:rsidP="000810CF">
                <w:pPr>
                  <w:jc w:val="left"/>
                </w:pPr>
                <w:r w:rsidRPr="007F14BF">
                  <w:t>API</w:t>
                </w:r>
              </w:p>
            </w:tc>
            <w:tc>
              <w:tcPr>
                <w:tcW w:w="6377" w:type="dxa"/>
                <w:noWrap/>
                <w:tcMar>
                  <w:left w:w="0" w:type="dxa"/>
                  <w:right w:w="0" w:type="dxa"/>
                </w:tcMar>
              </w:tcPr>
              <w:p w14:paraId="045FBA77" w14:textId="757315B1" w:rsidR="00D8585F" w:rsidRPr="007F14BF" w:rsidRDefault="00D8585F">
                <w:r w:rsidRPr="007F14BF">
                  <w:t xml:space="preserve">interfejs programowania aplikacji (z ang. </w:t>
                </w:r>
                <w:proofErr w:type="spellStart"/>
                <w:r w:rsidRPr="00310D6A">
                  <w:rPr>
                    <w:i/>
                    <w:iCs/>
                  </w:rPr>
                  <w:t>application</w:t>
                </w:r>
                <w:proofErr w:type="spellEnd"/>
                <w:r w:rsidRPr="00310D6A">
                  <w:rPr>
                    <w:i/>
                    <w:iCs/>
                  </w:rPr>
                  <w:t xml:space="preserve"> </w:t>
                </w:r>
                <w:proofErr w:type="spellStart"/>
                <w:r w:rsidRPr="00310D6A">
                  <w:rPr>
                    <w:i/>
                    <w:iCs/>
                  </w:rPr>
                  <w:t>programming</w:t>
                </w:r>
                <w:proofErr w:type="spellEnd"/>
                <w:r w:rsidRPr="00310D6A">
                  <w:rPr>
                    <w:i/>
                    <w:iCs/>
                  </w:rPr>
                  <w:t xml:space="preserve"> </w:t>
                </w:r>
                <w:proofErr w:type="spellStart"/>
                <w:r w:rsidRPr="00310D6A">
                  <w:rPr>
                    <w:i/>
                    <w:iCs/>
                  </w:rPr>
                  <w:t>interface</w:t>
                </w:r>
                <w:proofErr w:type="spellEnd"/>
                <w:r w:rsidRPr="007F14BF">
                  <w:t>)</w:t>
                </w:r>
              </w:p>
            </w:tc>
          </w:tr>
          <w:tr w:rsidR="001F3093" w:rsidRPr="007F14BF" w14:paraId="35ACE770" w14:textId="77777777" w:rsidTr="000810CF">
            <w:trPr>
              <w:trHeight w:val="300"/>
            </w:trPr>
            <w:tc>
              <w:tcPr>
                <w:tcW w:w="2127" w:type="dxa"/>
                <w:noWrap/>
                <w:tcMar>
                  <w:left w:w="0" w:type="dxa"/>
                  <w:right w:w="0" w:type="dxa"/>
                </w:tcMar>
                <w:hideMark/>
              </w:tcPr>
              <w:p w14:paraId="31CE7024" w14:textId="77777777" w:rsidR="00C93597" w:rsidRPr="007F14BF" w:rsidRDefault="00C93597" w:rsidP="000810CF">
                <w:pPr>
                  <w:jc w:val="left"/>
                </w:pPr>
                <w:r w:rsidRPr="007F14BF">
                  <w:t>BDL</w:t>
                </w:r>
              </w:p>
            </w:tc>
            <w:tc>
              <w:tcPr>
                <w:tcW w:w="6377" w:type="dxa"/>
                <w:noWrap/>
                <w:tcMar>
                  <w:left w:w="0" w:type="dxa"/>
                  <w:right w:w="0" w:type="dxa"/>
                </w:tcMar>
                <w:hideMark/>
              </w:tcPr>
              <w:p w14:paraId="57B0D374" w14:textId="77777777" w:rsidR="00C93597" w:rsidRPr="007F14BF" w:rsidRDefault="00C93597">
                <w:r w:rsidRPr="007F14BF">
                  <w:t>Bank Danych Lokalnych</w:t>
                </w:r>
              </w:p>
            </w:tc>
          </w:tr>
          <w:tr w:rsidR="001F3093" w:rsidRPr="007F14BF" w14:paraId="76E41E3F" w14:textId="77777777" w:rsidTr="000810CF">
            <w:trPr>
              <w:trHeight w:val="300"/>
            </w:trPr>
            <w:tc>
              <w:tcPr>
                <w:tcW w:w="2127" w:type="dxa"/>
                <w:noWrap/>
                <w:tcMar>
                  <w:left w:w="0" w:type="dxa"/>
                  <w:right w:w="0" w:type="dxa"/>
                </w:tcMar>
                <w:hideMark/>
              </w:tcPr>
              <w:p w14:paraId="35669888" w14:textId="77777777" w:rsidR="00C93597" w:rsidRPr="007F14BF" w:rsidRDefault="00C93597" w:rsidP="000810CF">
                <w:pPr>
                  <w:jc w:val="left"/>
                </w:pPr>
                <w:r w:rsidRPr="007F14BF">
                  <w:t>DK</w:t>
                </w:r>
              </w:p>
            </w:tc>
            <w:tc>
              <w:tcPr>
                <w:tcW w:w="6377" w:type="dxa"/>
                <w:noWrap/>
                <w:tcMar>
                  <w:left w:w="0" w:type="dxa"/>
                  <w:right w:w="0" w:type="dxa"/>
                </w:tcMar>
                <w:hideMark/>
              </w:tcPr>
              <w:p w14:paraId="3BF66742" w14:textId="77777777" w:rsidR="00C93597" w:rsidRPr="007F14BF" w:rsidRDefault="00C93597">
                <w:r w:rsidRPr="007F14BF">
                  <w:t>droga krajowa</w:t>
                </w:r>
              </w:p>
            </w:tc>
          </w:tr>
          <w:tr w:rsidR="001F3093" w:rsidRPr="007F14BF" w14:paraId="07C302F7" w14:textId="77777777" w:rsidTr="000810CF">
            <w:trPr>
              <w:trHeight w:val="300"/>
            </w:trPr>
            <w:tc>
              <w:tcPr>
                <w:tcW w:w="2127" w:type="dxa"/>
                <w:noWrap/>
                <w:tcMar>
                  <w:left w:w="0" w:type="dxa"/>
                  <w:right w:w="0" w:type="dxa"/>
                </w:tcMar>
                <w:hideMark/>
              </w:tcPr>
              <w:p w14:paraId="28695DD6" w14:textId="77777777" w:rsidR="00C93597" w:rsidRPr="007F14BF" w:rsidRDefault="00C93597" w:rsidP="000810CF">
                <w:pPr>
                  <w:jc w:val="left"/>
                </w:pPr>
                <w:r w:rsidRPr="007F14BF">
                  <w:t>DW</w:t>
                </w:r>
              </w:p>
            </w:tc>
            <w:tc>
              <w:tcPr>
                <w:tcW w:w="6377" w:type="dxa"/>
                <w:noWrap/>
                <w:tcMar>
                  <w:left w:w="0" w:type="dxa"/>
                  <w:right w:w="0" w:type="dxa"/>
                </w:tcMar>
                <w:hideMark/>
              </w:tcPr>
              <w:p w14:paraId="6D419376" w14:textId="77777777" w:rsidR="00C93597" w:rsidRPr="007F14BF" w:rsidRDefault="00C93597">
                <w:r w:rsidRPr="007F14BF">
                  <w:t>droga wojewódzka</w:t>
                </w:r>
              </w:p>
            </w:tc>
          </w:tr>
          <w:tr w:rsidR="0057183B" w:rsidRPr="007F14BF" w14:paraId="312BEF55" w14:textId="77777777" w:rsidTr="000810CF">
            <w:trPr>
              <w:trHeight w:val="300"/>
            </w:trPr>
            <w:tc>
              <w:tcPr>
                <w:tcW w:w="2127" w:type="dxa"/>
                <w:noWrap/>
                <w:tcMar>
                  <w:left w:w="0" w:type="dxa"/>
                  <w:right w:w="0" w:type="dxa"/>
                </w:tcMar>
              </w:tcPr>
              <w:p w14:paraId="2181B686" w14:textId="7E605625" w:rsidR="0057183B" w:rsidRPr="007F14BF" w:rsidRDefault="0057183B" w:rsidP="000810CF">
                <w:pPr>
                  <w:jc w:val="left"/>
                </w:pPr>
                <w:r>
                  <w:t>ENPV</w:t>
                </w:r>
              </w:p>
            </w:tc>
            <w:tc>
              <w:tcPr>
                <w:tcW w:w="6377" w:type="dxa"/>
                <w:noWrap/>
                <w:tcMar>
                  <w:left w:w="0" w:type="dxa"/>
                  <w:right w:w="0" w:type="dxa"/>
                </w:tcMar>
              </w:tcPr>
              <w:p w14:paraId="0843EEC7" w14:textId="41E04D22" w:rsidR="0057183B" w:rsidRPr="007F14BF" w:rsidRDefault="0057183B">
                <w:r w:rsidRPr="0057183B">
                  <w:t>ekonomiczna wartość bieżąca projektu (</w:t>
                </w:r>
                <w:r>
                  <w:t xml:space="preserve">z ang. </w:t>
                </w:r>
                <w:proofErr w:type="spellStart"/>
                <w:r w:rsidRPr="00310D6A">
                  <w:rPr>
                    <w:i/>
                    <w:iCs/>
                  </w:rPr>
                  <w:t>economic</w:t>
                </w:r>
                <w:proofErr w:type="spellEnd"/>
                <w:r w:rsidRPr="00310D6A">
                  <w:rPr>
                    <w:i/>
                    <w:iCs/>
                  </w:rPr>
                  <w:t xml:space="preserve"> net </w:t>
                </w:r>
                <w:proofErr w:type="spellStart"/>
                <w:r w:rsidRPr="00310D6A">
                  <w:rPr>
                    <w:i/>
                    <w:iCs/>
                  </w:rPr>
                  <w:t>present</w:t>
                </w:r>
                <w:proofErr w:type="spellEnd"/>
                <w:r w:rsidRPr="00310D6A">
                  <w:rPr>
                    <w:i/>
                    <w:iCs/>
                  </w:rPr>
                  <w:t xml:space="preserve"> </w:t>
                </w:r>
                <w:proofErr w:type="spellStart"/>
                <w:r w:rsidRPr="00310D6A">
                  <w:rPr>
                    <w:i/>
                    <w:iCs/>
                  </w:rPr>
                  <w:t>value</w:t>
                </w:r>
                <w:proofErr w:type="spellEnd"/>
                <w:r w:rsidRPr="0057183B">
                  <w:t>)</w:t>
                </w:r>
              </w:p>
            </w:tc>
          </w:tr>
          <w:tr w:rsidR="008E2B0C" w:rsidRPr="007F14BF" w14:paraId="4832B42F" w14:textId="77777777" w:rsidTr="000810CF">
            <w:trPr>
              <w:trHeight w:val="300"/>
            </w:trPr>
            <w:tc>
              <w:tcPr>
                <w:tcW w:w="2127" w:type="dxa"/>
                <w:noWrap/>
                <w:tcMar>
                  <w:left w:w="0" w:type="dxa"/>
                  <w:right w:w="0" w:type="dxa"/>
                </w:tcMar>
              </w:tcPr>
              <w:p w14:paraId="544353CF" w14:textId="3EEE5E37" w:rsidR="008E2B0C" w:rsidRPr="007F14BF" w:rsidRDefault="008E2B0C" w:rsidP="000810CF">
                <w:pPr>
                  <w:jc w:val="left"/>
                </w:pPr>
                <w:r w:rsidRPr="007F14BF">
                  <w:t>GITD</w:t>
                </w:r>
              </w:p>
            </w:tc>
            <w:tc>
              <w:tcPr>
                <w:tcW w:w="6377" w:type="dxa"/>
                <w:noWrap/>
                <w:tcMar>
                  <w:left w:w="0" w:type="dxa"/>
                  <w:right w:w="0" w:type="dxa"/>
                </w:tcMar>
              </w:tcPr>
              <w:p w14:paraId="35F30C7C" w14:textId="5CFF6CAC" w:rsidR="008E2B0C" w:rsidRPr="007F14BF" w:rsidRDefault="008E2B0C">
                <w:r w:rsidRPr="007F14BF">
                  <w:t>Główny Inspektorat Transportu Drogowego</w:t>
                </w:r>
              </w:p>
            </w:tc>
          </w:tr>
          <w:tr w:rsidR="001F3093" w:rsidRPr="007F14BF" w14:paraId="60366124" w14:textId="77777777" w:rsidTr="000810CF">
            <w:trPr>
              <w:trHeight w:val="300"/>
            </w:trPr>
            <w:tc>
              <w:tcPr>
                <w:tcW w:w="2127" w:type="dxa"/>
                <w:noWrap/>
                <w:tcMar>
                  <w:left w:w="0" w:type="dxa"/>
                  <w:right w:w="0" w:type="dxa"/>
                </w:tcMar>
              </w:tcPr>
              <w:p w14:paraId="5A6F9BB1" w14:textId="68BEB492" w:rsidR="00C93597" w:rsidRPr="007F14BF" w:rsidRDefault="008F3B82" w:rsidP="000810CF">
                <w:pPr>
                  <w:jc w:val="left"/>
                </w:pPr>
                <w:r w:rsidRPr="007F14BF">
                  <w:t>GPR</w:t>
                </w:r>
              </w:p>
            </w:tc>
            <w:tc>
              <w:tcPr>
                <w:tcW w:w="6377" w:type="dxa"/>
                <w:noWrap/>
                <w:tcMar>
                  <w:left w:w="0" w:type="dxa"/>
                  <w:right w:w="0" w:type="dxa"/>
                </w:tcMar>
              </w:tcPr>
              <w:p w14:paraId="06B4C6AC" w14:textId="5B95348E" w:rsidR="00C93597" w:rsidRPr="007F14BF" w:rsidRDefault="008F3B82">
                <w:r w:rsidRPr="007F14BF">
                  <w:t>Generalny Pomiar Ruchu</w:t>
                </w:r>
              </w:p>
            </w:tc>
          </w:tr>
          <w:tr w:rsidR="001F3093" w:rsidRPr="007F14BF" w14:paraId="4416F0F4" w14:textId="77777777" w:rsidTr="000810CF">
            <w:trPr>
              <w:trHeight w:val="300"/>
            </w:trPr>
            <w:tc>
              <w:tcPr>
                <w:tcW w:w="2127" w:type="dxa"/>
                <w:noWrap/>
                <w:tcMar>
                  <w:left w:w="0" w:type="dxa"/>
                  <w:right w:w="0" w:type="dxa"/>
                </w:tcMar>
                <w:hideMark/>
              </w:tcPr>
              <w:p w14:paraId="213985CF" w14:textId="77777777" w:rsidR="00C93597" w:rsidRPr="007F14BF" w:rsidRDefault="00C93597" w:rsidP="000810CF">
                <w:pPr>
                  <w:jc w:val="left"/>
                </w:pPr>
                <w:r w:rsidRPr="007F14BF">
                  <w:t>GUS</w:t>
                </w:r>
              </w:p>
            </w:tc>
            <w:tc>
              <w:tcPr>
                <w:tcW w:w="6377" w:type="dxa"/>
                <w:noWrap/>
                <w:tcMar>
                  <w:left w:w="0" w:type="dxa"/>
                  <w:right w:w="0" w:type="dxa"/>
                </w:tcMar>
                <w:hideMark/>
              </w:tcPr>
              <w:p w14:paraId="36CF26F9" w14:textId="77777777" w:rsidR="00C93597" w:rsidRPr="007F14BF" w:rsidRDefault="00C93597">
                <w:r w:rsidRPr="007F14BF">
                  <w:t>Główny Urząd Statystyczny</w:t>
                </w:r>
              </w:p>
            </w:tc>
          </w:tr>
          <w:tr w:rsidR="0057183B" w:rsidRPr="007F14BF" w14:paraId="3115E7F1" w14:textId="77777777" w:rsidTr="000810CF">
            <w:trPr>
              <w:trHeight w:val="300"/>
            </w:trPr>
            <w:tc>
              <w:tcPr>
                <w:tcW w:w="2127" w:type="dxa"/>
                <w:noWrap/>
                <w:tcMar>
                  <w:left w:w="0" w:type="dxa"/>
                  <w:right w:w="0" w:type="dxa"/>
                </w:tcMar>
              </w:tcPr>
              <w:p w14:paraId="33120FFF" w14:textId="299C9F21" w:rsidR="0057183B" w:rsidRPr="007F14BF" w:rsidRDefault="0057183B" w:rsidP="000810CF">
                <w:pPr>
                  <w:jc w:val="left"/>
                </w:pPr>
                <w:r>
                  <w:t>GZM</w:t>
                </w:r>
              </w:p>
            </w:tc>
            <w:tc>
              <w:tcPr>
                <w:tcW w:w="6377" w:type="dxa"/>
                <w:noWrap/>
                <w:tcMar>
                  <w:left w:w="0" w:type="dxa"/>
                  <w:right w:w="0" w:type="dxa"/>
                </w:tcMar>
              </w:tcPr>
              <w:p w14:paraId="56FC88B8" w14:textId="7AF2219B" w:rsidR="0057183B" w:rsidRPr="007F14BF" w:rsidRDefault="0057183B">
                <w:r>
                  <w:t>Górnośląsko-Zagłębiowska Metropolia</w:t>
                </w:r>
              </w:p>
            </w:tc>
          </w:tr>
          <w:tr w:rsidR="001F3093" w:rsidRPr="007F14BF" w14:paraId="707F50E7" w14:textId="77777777" w:rsidTr="000810CF">
            <w:trPr>
              <w:trHeight w:val="300"/>
            </w:trPr>
            <w:tc>
              <w:tcPr>
                <w:tcW w:w="2127" w:type="dxa"/>
                <w:noWrap/>
                <w:tcMar>
                  <w:left w:w="0" w:type="dxa"/>
                  <w:right w:w="0" w:type="dxa"/>
                </w:tcMar>
              </w:tcPr>
              <w:p w14:paraId="21059033" w14:textId="05A267F1" w:rsidR="000D639B" w:rsidRPr="007F14BF" w:rsidRDefault="00744BB2" w:rsidP="000810CF">
                <w:pPr>
                  <w:jc w:val="left"/>
                </w:pPr>
                <w:r w:rsidRPr="007F14BF">
                  <w:t>ITS</w:t>
                </w:r>
              </w:p>
            </w:tc>
            <w:tc>
              <w:tcPr>
                <w:tcW w:w="6377" w:type="dxa"/>
                <w:noWrap/>
                <w:tcMar>
                  <w:left w:w="0" w:type="dxa"/>
                  <w:right w:w="0" w:type="dxa"/>
                </w:tcMar>
              </w:tcPr>
              <w:p w14:paraId="6D79B0C4" w14:textId="47CF68B3" w:rsidR="000D639B" w:rsidRPr="007F14BF" w:rsidRDefault="00744BB2">
                <w:r w:rsidRPr="007F14BF">
                  <w:t xml:space="preserve">inteligentne systemy transportowe (z ang. </w:t>
                </w:r>
                <w:proofErr w:type="spellStart"/>
                <w:r w:rsidRPr="00310D6A">
                  <w:rPr>
                    <w:i/>
                    <w:iCs/>
                  </w:rPr>
                  <w:t>Intelligent</w:t>
                </w:r>
                <w:proofErr w:type="spellEnd"/>
                <w:r w:rsidRPr="00310D6A">
                  <w:rPr>
                    <w:i/>
                    <w:iCs/>
                  </w:rPr>
                  <w:t xml:space="preserve"> Transport Systems</w:t>
                </w:r>
                <w:r w:rsidRPr="007F14BF">
                  <w:t>)</w:t>
                </w:r>
              </w:p>
            </w:tc>
          </w:tr>
          <w:tr w:rsidR="00D8585F" w:rsidRPr="007F14BF" w14:paraId="4B3A3F3E" w14:textId="77777777" w:rsidTr="000810CF">
            <w:trPr>
              <w:trHeight w:val="300"/>
            </w:trPr>
            <w:tc>
              <w:tcPr>
                <w:tcW w:w="2127" w:type="dxa"/>
                <w:noWrap/>
                <w:tcMar>
                  <w:left w:w="0" w:type="dxa"/>
                  <w:right w:w="0" w:type="dxa"/>
                </w:tcMar>
              </w:tcPr>
              <w:p w14:paraId="268AF93B" w14:textId="78C39E6E" w:rsidR="00D8585F" w:rsidRPr="007F14BF" w:rsidRDefault="00D8585F" w:rsidP="000810CF">
                <w:pPr>
                  <w:jc w:val="left"/>
                </w:pPr>
                <w:r w:rsidRPr="007F14BF">
                  <w:t>KBR</w:t>
                </w:r>
              </w:p>
            </w:tc>
            <w:tc>
              <w:tcPr>
                <w:tcW w:w="6377" w:type="dxa"/>
                <w:noWrap/>
                <w:tcMar>
                  <w:left w:w="0" w:type="dxa"/>
                  <w:right w:w="0" w:type="dxa"/>
                </w:tcMar>
              </w:tcPr>
              <w:p w14:paraId="3C88127E" w14:textId="52D15435" w:rsidR="00D8585F" w:rsidRPr="007F14BF" w:rsidRDefault="00D8585F">
                <w:r w:rsidRPr="007F14BF">
                  <w:t>Kompleksowe Badanie Ruchu</w:t>
                </w:r>
              </w:p>
            </w:tc>
          </w:tr>
          <w:tr w:rsidR="001F3093" w:rsidRPr="007F14BF" w14:paraId="6C2D3881" w14:textId="77777777" w:rsidTr="000810CF">
            <w:trPr>
              <w:trHeight w:val="300"/>
            </w:trPr>
            <w:tc>
              <w:tcPr>
                <w:tcW w:w="2127" w:type="dxa"/>
                <w:noWrap/>
                <w:tcMar>
                  <w:left w:w="0" w:type="dxa"/>
                  <w:right w:w="0" w:type="dxa"/>
                </w:tcMar>
              </w:tcPr>
              <w:p w14:paraId="5988ECCD" w14:textId="56CBC18D" w:rsidR="00B547DD" w:rsidRPr="007F14BF" w:rsidRDefault="00F06D0A" w:rsidP="000810CF">
                <w:pPr>
                  <w:jc w:val="left"/>
                </w:pPr>
                <w:r w:rsidRPr="007F14BF">
                  <w:t>POIiŚ</w:t>
                </w:r>
                <w:r w:rsidR="000810CF" w:rsidRPr="007F14BF">
                  <w:br/>
                </w:r>
                <w:r w:rsidR="00B547DD" w:rsidRPr="007F14BF">
                  <w:t>(Program, POI</w:t>
                </w:r>
                <w:r w:rsidR="000810CF" w:rsidRPr="007F14BF">
                  <w:t>i</w:t>
                </w:r>
                <w:r w:rsidR="00B547DD" w:rsidRPr="007F14BF">
                  <w:t>Ś</w:t>
                </w:r>
                <w:r w:rsidR="00B547DD" w:rsidRPr="007F14BF">
                  <w:br/>
                  <w:t>2014-2020)</w:t>
                </w:r>
              </w:p>
            </w:tc>
            <w:tc>
              <w:tcPr>
                <w:tcW w:w="6377" w:type="dxa"/>
                <w:noWrap/>
                <w:tcMar>
                  <w:left w:w="0" w:type="dxa"/>
                  <w:right w:w="0" w:type="dxa"/>
                </w:tcMar>
              </w:tcPr>
              <w:p w14:paraId="74F167EF" w14:textId="012E70E0" w:rsidR="00F06D0A" w:rsidRPr="007F14BF" w:rsidRDefault="00F06D0A">
                <w:r w:rsidRPr="007F14BF">
                  <w:t>Program Operacyjny Infrastruktura i Środowisko</w:t>
                </w:r>
                <w:r w:rsidR="00B547DD" w:rsidRPr="007F14BF">
                  <w:t xml:space="preserve"> 2014-2020</w:t>
                </w:r>
              </w:p>
            </w:tc>
          </w:tr>
          <w:tr w:rsidR="001F3093" w:rsidRPr="007F14BF" w14:paraId="66EB2557" w14:textId="77777777" w:rsidTr="000810CF">
            <w:trPr>
              <w:trHeight w:val="300"/>
            </w:trPr>
            <w:tc>
              <w:tcPr>
                <w:tcW w:w="2127" w:type="dxa"/>
                <w:noWrap/>
                <w:tcMar>
                  <w:left w:w="0" w:type="dxa"/>
                  <w:right w:w="0" w:type="dxa"/>
                </w:tcMar>
              </w:tcPr>
              <w:p w14:paraId="13B3EDDC" w14:textId="58A4ED07" w:rsidR="00B547DD" w:rsidRPr="007F14BF" w:rsidRDefault="00B547DD" w:rsidP="000810CF">
                <w:pPr>
                  <w:jc w:val="left"/>
                </w:pPr>
                <w:r w:rsidRPr="007F14BF">
                  <w:t>POIiŚ</w:t>
                </w:r>
                <w:r w:rsidRPr="007F14BF">
                  <w:br/>
                  <w:t>2007-2013</w:t>
                </w:r>
              </w:p>
            </w:tc>
            <w:tc>
              <w:tcPr>
                <w:tcW w:w="6377" w:type="dxa"/>
                <w:noWrap/>
                <w:tcMar>
                  <w:left w:w="0" w:type="dxa"/>
                  <w:right w:w="0" w:type="dxa"/>
                </w:tcMar>
              </w:tcPr>
              <w:p w14:paraId="78B8DC5F" w14:textId="1AAF2189" w:rsidR="00B547DD" w:rsidRPr="007F14BF" w:rsidRDefault="00B547DD" w:rsidP="00F43F6D">
                <w:r w:rsidRPr="007F14BF">
                  <w:t>Program Operacyjny Infrastruktura i Środowisko 2007-2013</w:t>
                </w:r>
              </w:p>
            </w:tc>
          </w:tr>
          <w:tr w:rsidR="00D8585F" w:rsidRPr="007F14BF" w14:paraId="39460BA9" w14:textId="77777777" w:rsidTr="000810CF">
            <w:trPr>
              <w:trHeight w:val="300"/>
            </w:trPr>
            <w:tc>
              <w:tcPr>
                <w:tcW w:w="2127" w:type="dxa"/>
                <w:noWrap/>
                <w:tcMar>
                  <w:left w:w="0" w:type="dxa"/>
                  <w:right w:w="0" w:type="dxa"/>
                </w:tcMar>
              </w:tcPr>
              <w:p w14:paraId="7F547DEA" w14:textId="1E651E7F" w:rsidR="00D8585F" w:rsidRPr="007F14BF" w:rsidRDefault="00D8585F" w:rsidP="000810CF">
                <w:pPr>
                  <w:jc w:val="left"/>
                </w:pPr>
                <w:r w:rsidRPr="007F14BF">
                  <w:t>PRM</w:t>
                </w:r>
              </w:p>
            </w:tc>
            <w:tc>
              <w:tcPr>
                <w:tcW w:w="6377" w:type="dxa"/>
                <w:noWrap/>
                <w:tcMar>
                  <w:left w:w="0" w:type="dxa"/>
                  <w:right w:w="0" w:type="dxa"/>
                </w:tcMar>
              </w:tcPr>
              <w:p w14:paraId="676F70C4" w14:textId="03D34C97" w:rsidR="00D8585F" w:rsidRPr="007F14BF" w:rsidRDefault="00BC3D69" w:rsidP="00F43F6D">
                <w:r>
                  <w:t>o</w:t>
                </w:r>
                <w:r w:rsidR="00D8585F" w:rsidRPr="007F14BF">
                  <w:t xml:space="preserve">soba o ograniczonej możliwości poruszania się (z ang. </w:t>
                </w:r>
                <w:r w:rsidR="00D8585F" w:rsidRPr="00310D6A">
                  <w:rPr>
                    <w:i/>
                    <w:iCs/>
                  </w:rPr>
                  <w:t xml:space="preserve">person with </w:t>
                </w:r>
                <w:proofErr w:type="spellStart"/>
                <w:r w:rsidR="00D8585F" w:rsidRPr="00310D6A">
                  <w:rPr>
                    <w:i/>
                    <w:iCs/>
                  </w:rPr>
                  <w:t>reduced</w:t>
                </w:r>
                <w:proofErr w:type="spellEnd"/>
                <w:r w:rsidR="00D8585F" w:rsidRPr="00310D6A">
                  <w:rPr>
                    <w:i/>
                    <w:iCs/>
                  </w:rPr>
                  <w:t xml:space="preserve"> </w:t>
                </w:r>
                <w:proofErr w:type="spellStart"/>
                <w:r w:rsidR="00D8585F" w:rsidRPr="00310D6A">
                  <w:rPr>
                    <w:i/>
                    <w:iCs/>
                  </w:rPr>
                  <w:t>mobility</w:t>
                </w:r>
                <w:proofErr w:type="spellEnd"/>
                <w:r w:rsidR="00D8585F" w:rsidRPr="007F14BF">
                  <w:t>)</w:t>
                </w:r>
              </w:p>
            </w:tc>
          </w:tr>
          <w:tr w:rsidR="00FF19C0" w:rsidRPr="00391608" w14:paraId="5C0DF152" w14:textId="77777777" w:rsidTr="000810CF">
            <w:trPr>
              <w:trHeight w:val="300"/>
            </w:trPr>
            <w:tc>
              <w:tcPr>
                <w:tcW w:w="2127" w:type="dxa"/>
                <w:noWrap/>
                <w:tcMar>
                  <w:left w:w="0" w:type="dxa"/>
                  <w:right w:w="0" w:type="dxa"/>
                </w:tcMar>
              </w:tcPr>
              <w:p w14:paraId="25E9BFFD" w14:textId="4C62A01D" w:rsidR="00FF19C0" w:rsidRPr="007F14BF" w:rsidRDefault="00FF19C0" w:rsidP="000810CF">
                <w:pPr>
                  <w:jc w:val="left"/>
                </w:pPr>
                <w:r w:rsidRPr="007F14BF">
                  <w:t>P&amp;R (P+R)</w:t>
                </w:r>
              </w:p>
            </w:tc>
            <w:tc>
              <w:tcPr>
                <w:tcW w:w="6377" w:type="dxa"/>
                <w:noWrap/>
                <w:tcMar>
                  <w:left w:w="0" w:type="dxa"/>
                  <w:right w:w="0" w:type="dxa"/>
                </w:tcMar>
              </w:tcPr>
              <w:p w14:paraId="13771FDC" w14:textId="3750FEF9" w:rsidR="00FF19C0" w:rsidRPr="00391608" w:rsidRDefault="008E2B0C" w:rsidP="00F43F6D">
                <w:pPr>
                  <w:rPr>
                    <w:lang w:val="en-US"/>
                  </w:rPr>
                </w:pPr>
                <w:r w:rsidRPr="007F14BF">
                  <w:t>p</w:t>
                </w:r>
                <w:r w:rsidR="00AF2E09" w:rsidRPr="007F14BF">
                  <w:t xml:space="preserve">arking Parkuj i Jedź (z ang. </w:t>
                </w:r>
                <w:r w:rsidR="00AF2E09" w:rsidRPr="00307E9E">
                  <w:rPr>
                    <w:i/>
                    <w:lang w:val="en-US"/>
                  </w:rPr>
                  <w:t>Park &amp; Ride</w:t>
                </w:r>
                <w:r w:rsidR="00AF2E09" w:rsidRPr="00391608">
                  <w:rPr>
                    <w:lang w:val="en-US"/>
                  </w:rPr>
                  <w:t>)</w:t>
                </w:r>
              </w:p>
            </w:tc>
          </w:tr>
          <w:tr w:rsidR="00D8585F" w:rsidRPr="007F14BF" w14:paraId="437EB6EB" w14:textId="77777777" w:rsidTr="000810CF">
            <w:trPr>
              <w:trHeight w:val="300"/>
            </w:trPr>
            <w:tc>
              <w:tcPr>
                <w:tcW w:w="2127" w:type="dxa"/>
                <w:noWrap/>
                <w:tcMar>
                  <w:left w:w="0" w:type="dxa"/>
                  <w:right w:w="0" w:type="dxa"/>
                </w:tcMar>
              </w:tcPr>
              <w:p w14:paraId="396993E9" w14:textId="527881DE" w:rsidR="00D8585F" w:rsidRPr="007F14BF" w:rsidRDefault="00D8585F" w:rsidP="000810CF">
                <w:pPr>
                  <w:jc w:val="left"/>
                </w:pPr>
                <w:r w:rsidRPr="007F14BF">
                  <w:t>SEWIK</w:t>
                </w:r>
              </w:p>
            </w:tc>
            <w:tc>
              <w:tcPr>
                <w:tcW w:w="6377" w:type="dxa"/>
                <w:noWrap/>
                <w:tcMar>
                  <w:left w:w="0" w:type="dxa"/>
                  <w:right w:w="0" w:type="dxa"/>
                </w:tcMar>
              </w:tcPr>
              <w:p w14:paraId="225C2185" w14:textId="062F58CE" w:rsidR="00D8585F" w:rsidRPr="007F14BF" w:rsidRDefault="00D8585F" w:rsidP="00F43F6D">
                <w:r w:rsidRPr="007F14BF">
                  <w:t>System Ewidencji Wypadków i Kolizji</w:t>
                </w:r>
              </w:p>
            </w:tc>
          </w:tr>
          <w:tr w:rsidR="0057183B" w:rsidRPr="007F14BF" w14:paraId="29BB7010" w14:textId="77777777" w:rsidTr="000810CF">
            <w:trPr>
              <w:trHeight w:val="300"/>
            </w:trPr>
            <w:tc>
              <w:tcPr>
                <w:tcW w:w="2127" w:type="dxa"/>
                <w:noWrap/>
                <w:tcMar>
                  <w:left w:w="0" w:type="dxa"/>
                  <w:right w:w="0" w:type="dxa"/>
                </w:tcMar>
              </w:tcPr>
              <w:p w14:paraId="7C2C04AB" w14:textId="6368595E" w:rsidR="0057183B" w:rsidRPr="007F14BF" w:rsidRDefault="0057183B" w:rsidP="000810CF">
                <w:pPr>
                  <w:jc w:val="left"/>
                </w:pPr>
                <w:r>
                  <w:t>SIP</w:t>
                </w:r>
              </w:p>
            </w:tc>
            <w:tc>
              <w:tcPr>
                <w:tcW w:w="6377" w:type="dxa"/>
                <w:noWrap/>
                <w:tcMar>
                  <w:left w:w="0" w:type="dxa"/>
                  <w:right w:w="0" w:type="dxa"/>
                </w:tcMar>
              </w:tcPr>
              <w:p w14:paraId="3FBBFBE6" w14:textId="7AA6EF59" w:rsidR="0057183B" w:rsidRPr="007F14BF" w:rsidRDefault="0057183B" w:rsidP="00F43F6D">
                <w:r>
                  <w:t>System Informacji Pasażerskiej</w:t>
                </w:r>
              </w:p>
            </w:tc>
          </w:tr>
          <w:tr w:rsidR="0057183B" w:rsidRPr="007F14BF" w14:paraId="3409FDC1" w14:textId="77777777" w:rsidTr="000810CF">
            <w:trPr>
              <w:trHeight w:val="300"/>
            </w:trPr>
            <w:tc>
              <w:tcPr>
                <w:tcW w:w="2127" w:type="dxa"/>
                <w:noWrap/>
                <w:tcMar>
                  <w:left w:w="0" w:type="dxa"/>
                  <w:right w:w="0" w:type="dxa"/>
                </w:tcMar>
              </w:tcPr>
              <w:p w14:paraId="292BC659" w14:textId="3A8196CF" w:rsidR="0057183B" w:rsidRDefault="0057183B" w:rsidP="000810CF">
                <w:pPr>
                  <w:jc w:val="left"/>
                </w:pPr>
                <w:r>
                  <w:t>SUMP</w:t>
                </w:r>
              </w:p>
            </w:tc>
            <w:tc>
              <w:tcPr>
                <w:tcW w:w="6377" w:type="dxa"/>
                <w:noWrap/>
                <w:tcMar>
                  <w:left w:w="0" w:type="dxa"/>
                  <w:right w:w="0" w:type="dxa"/>
                </w:tcMar>
              </w:tcPr>
              <w:p w14:paraId="0F651602" w14:textId="1EE2B8B0" w:rsidR="0057183B" w:rsidRDefault="0057183B" w:rsidP="00F43F6D">
                <w:r>
                  <w:t xml:space="preserve">Zrównoważony plan mobilności miejskiej (z ang. </w:t>
                </w:r>
                <w:proofErr w:type="spellStart"/>
                <w:r w:rsidRPr="00310D6A">
                  <w:rPr>
                    <w:i/>
                    <w:iCs/>
                  </w:rPr>
                  <w:t>Sustainable</w:t>
                </w:r>
                <w:proofErr w:type="spellEnd"/>
                <w:r w:rsidRPr="00310D6A">
                  <w:rPr>
                    <w:i/>
                    <w:iCs/>
                  </w:rPr>
                  <w:t xml:space="preserve"> Urban </w:t>
                </w:r>
                <w:proofErr w:type="spellStart"/>
                <w:r w:rsidRPr="00310D6A">
                  <w:rPr>
                    <w:i/>
                    <w:iCs/>
                  </w:rPr>
                  <w:t>Mobility</w:t>
                </w:r>
                <w:proofErr w:type="spellEnd"/>
                <w:r w:rsidRPr="00310D6A">
                  <w:rPr>
                    <w:i/>
                    <w:iCs/>
                  </w:rPr>
                  <w:t xml:space="preserve"> Plan</w:t>
                </w:r>
                <w:r>
                  <w:t>)</w:t>
                </w:r>
              </w:p>
            </w:tc>
          </w:tr>
          <w:tr w:rsidR="001F3093" w:rsidRPr="007F14BF" w14:paraId="1008C137" w14:textId="77777777" w:rsidTr="000810CF">
            <w:trPr>
              <w:trHeight w:val="300"/>
            </w:trPr>
            <w:tc>
              <w:tcPr>
                <w:tcW w:w="2127" w:type="dxa"/>
                <w:noWrap/>
                <w:tcMar>
                  <w:left w:w="0" w:type="dxa"/>
                  <w:right w:w="0" w:type="dxa"/>
                </w:tcMar>
              </w:tcPr>
              <w:p w14:paraId="3F2699F5" w14:textId="7A980CE0" w:rsidR="00C93597" w:rsidRPr="007F14BF" w:rsidRDefault="000D639B" w:rsidP="000810CF">
                <w:pPr>
                  <w:jc w:val="left"/>
                </w:pPr>
                <w:r w:rsidRPr="007F14BF">
                  <w:t>VI OP</w:t>
                </w:r>
              </w:p>
            </w:tc>
            <w:tc>
              <w:tcPr>
                <w:tcW w:w="6377" w:type="dxa"/>
                <w:noWrap/>
                <w:tcMar>
                  <w:left w:w="0" w:type="dxa"/>
                  <w:right w:w="0" w:type="dxa"/>
                </w:tcMar>
              </w:tcPr>
              <w:p w14:paraId="46ED1343" w14:textId="637F0511" w:rsidR="00C93597" w:rsidRPr="007F14BF" w:rsidRDefault="000D639B">
                <w:r w:rsidRPr="007F14BF">
                  <w:t>VI oś priorytetowa Programu Operacyjnego Infrastruktura i</w:t>
                </w:r>
                <w:r w:rsidR="003235FE" w:rsidRPr="007F14BF">
                  <w:t> </w:t>
                </w:r>
                <w:r w:rsidRPr="007F14BF">
                  <w:t>Środowisko</w:t>
                </w:r>
              </w:p>
            </w:tc>
          </w:tr>
          <w:tr w:rsidR="003235FE" w:rsidRPr="007F14BF" w14:paraId="5543BCE1" w14:textId="77777777" w:rsidTr="000810CF">
            <w:trPr>
              <w:trHeight w:val="300"/>
            </w:trPr>
            <w:tc>
              <w:tcPr>
                <w:tcW w:w="2127" w:type="dxa"/>
                <w:noWrap/>
                <w:tcMar>
                  <w:left w:w="0" w:type="dxa"/>
                  <w:right w:w="0" w:type="dxa"/>
                </w:tcMar>
              </w:tcPr>
              <w:p w14:paraId="03D9771D" w14:textId="4C665105" w:rsidR="003235FE" w:rsidRPr="007F14BF" w:rsidRDefault="003235FE" w:rsidP="000810CF">
                <w:pPr>
                  <w:jc w:val="left"/>
                </w:pPr>
                <w:r w:rsidRPr="007F14BF">
                  <w:t>WOF</w:t>
                </w:r>
              </w:p>
            </w:tc>
            <w:tc>
              <w:tcPr>
                <w:tcW w:w="6377" w:type="dxa"/>
                <w:noWrap/>
                <w:tcMar>
                  <w:left w:w="0" w:type="dxa"/>
                  <w:right w:w="0" w:type="dxa"/>
                </w:tcMar>
              </w:tcPr>
              <w:p w14:paraId="48BB51F3" w14:textId="7D34D3F8" w:rsidR="003235FE" w:rsidRPr="007F14BF" w:rsidRDefault="003235FE">
                <w:r w:rsidRPr="007F14BF">
                  <w:t>Warszawski Obszar Funkcjonalny</w:t>
                </w:r>
              </w:p>
            </w:tc>
          </w:tr>
          <w:tr w:rsidR="008E2B0C" w:rsidRPr="007F14BF" w14:paraId="76674A2C" w14:textId="77777777" w:rsidTr="000810CF">
            <w:trPr>
              <w:trHeight w:val="300"/>
            </w:trPr>
            <w:tc>
              <w:tcPr>
                <w:tcW w:w="2127" w:type="dxa"/>
                <w:noWrap/>
                <w:tcMar>
                  <w:left w:w="0" w:type="dxa"/>
                  <w:right w:w="0" w:type="dxa"/>
                </w:tcMar>
              </w:tcPr>
              <w:p w14:paraId="47E8ECFA" w14:textId="71A94BCC" w:rsidR="008E2B0C" w:rsidRPr="007F14BF" w:rsidRDefault="008E2B0C" w:rsidP="000810CF">
                <w:pPr>
                  <w:jc w:val="left"/>
                </w:pPr>
                <w:r w:rsidRPr="007F14BF">
                  <w:t>WTP</w:t>
                </w:r>
              </w:p>
            </w:tc>
            <w:tc>
              <w:tcPr>
                <w:tcW w:w="6377" w:type="dxa"/>
                <w:noWrap/>
                <w:tcMar>
                  <w:left w:w="0" w:type="dxa"/>
                  <w:right w:w="0" w:type="dxa"/>
                </w:tcMar>
              </w:tcPr>
              <w:p w14:paraId="4DD819EC" w14:textId="390CDEF2" w:rsidR="008E2B0C" w:rsidRPr="007F14BF" w:rsidRDefault="008E2B0C">
                <w:r w:rsidRPr="007F14BF">
                  <w:t>Warszawski Transport Publiczny</w:t>
                </w:r>
              </w:p>
            </w:tc>
          </w:tr>
          <w:tr w:rsidR="003235FE" w:rsidRPr="007F14BF" w14:paraId="43948CF8" w14:textId="77777777" w:rsidTr="000810CF">
            <w:trPr>
              <w:trHeight w:val="300"/>
            </w:trPr>
            <w:tc>
              <w:tcPr>
                <w:tcW w:w="2127" w:type="dxa"/>
                <w:noWrap/>
                <w:tcMar>
                  <w:left w:w="0" w:type="dxa"/>
                  <w:right w:w="0" w:type="dxa"/>
                </w:tcMar>
              </w:tcPr>
              <w:p w14:paraId="7C706BC3" w14:textId="0DDBF562" w:rsidR="003235FE" w:rsidRPr="007F14BF" w:rsidRDefault="003235FE" w:rsidP="000810CF">
                <w:pPr>
                  <w:jc w:val="left"/>
                </w:pPr>
                <w:r w:rsidRPr="007F14BF">
                  <w:t>ZIT</w:t>
                </w:r>
              </w:p>
            </w:tc>
            <w:tc>
              <w:tcPr>
                <w:tcW w:w="6377" w:type="dxa"/>
                <w:noWrap/>
                <w:tcMar>
                  <w:left w:w="0" w:type="dxa"/>
                  <w:right w:w="0" w:type="dxa"/>
                </w:tcMar>
              </w:tcPr>
              <w:p w14:paraId="7FE3071B" w14:textId="102E17FD" w:rsidR="003235FE" w:rsidRPr="007F14BF" w:rsidRDefault="003235FE">
                <w:r w:rsidRPr="007F14BF">
                  <w:t>Zintegrowane Inwestycje Terytorialne</w:t>
                </w:r>
              </w:p>
            </w:tc>
          </w:tr>
        </w:tbl>
        <w:p w14:paraId="71E5999C" w14:textId="3D5F129F" w:rsidR="000D6277" w:rsidRPr="00E43DB0" w:rsidRDefault="00F06D0A" w:rsidP="000D6277">
          <w:pPr>
            <w:pStyle w:val="Nagwek1"/>
            <w:numPr>
              <w:ilvl w:val="0"/>
              <w:numId w:val="0"/>
            </w:numPr>
            <w:rPr>
              <w:color w:val="000000" w:themeColor="text1"/>
            </w:rPr>
          </w:pPr>
          <w:bookmarkStart w:id="5" w:name="_Toc522273233"/>
          <w:bookmarkStart w:id="6" w:name="_Toc27125315"/>
          <w:r w:rsidRPr="00E43DB0">
            <w:rPr>
              <w:color w:val="000000" w:themeColor="text1"/>
            </w:rPr>
            <w:lastRenderedPageBreak/>
            <w:t>Streszczenie</w:t>
          </w:r>
          <w:bookmarkEnd w:id="6"/>
        </w:p>
        <w:tbl>
          <w:tblPr>
            <w:tblW w:w="9072" w:type="dxa"/>
            <w:tblBorders>
              <w:top w:val="single" w:sz="12" w:space="0" w:color="FFC800" w:themeColor="accent2"/>
              <w:bottom w:val="single" w:sz="12" w:space="0" w:color="FFC800" w:themeColor="accent2"/>
            </w:tblBorders>
            <w:tblLook w:val="04A0" w:firstRow="1" w:lastRow="0" w:firstColumn="1" w:lastColumn="0" w:noHBand="0" w:noVBand="1"/>
          </w:tblPr>
          <w:tblGrid>
            <w:gridCol w:w="8931"/>
            <w:gridCol w:w="141"/>
          </w:tblGrid>
          <w:tr w:rsidR="00E43DB0" w:rsidRPr="00E43DB0" w14:paraId="428D665C" w14:textId="77777777" w:rsidTr="00345896">
            <w:trPr>
              <w:gridAfter w:val="1"/>
              <w:wAfter w:w="141" w:type="dxa"/>
            </w:trPr>
            <w:tc>
              <w:tcPr>
                <w:tcW w:w="8931" w:type="dxa"/>
                <w:tcBorders>
                  <w:top w:val="single" w:sz="12" w:space="0" w:color="FFC800" w:themeColor="accent2"/>
                  <w:bottom w:val="single" w:sz="12" w:space="0" w:color="FFC800" w:themeColor="accent2"/>
                </w:tcBorders>
                <w:tcMar>
                  <w:top w:w="0" w:type="dxa"/>
                  <w:left w:w="0" w:type="dxa"/>
                  <w:bottom w:w="0" w:type="dxa"/>
                  <w:right w:w="227" w:type="dxa"/>
                </w:tcMar>
              </w:tcPr>
              <w:p w14:paraId="3F311450" w14:textId="206E9C47" w:rsidR="000D6277" w:rsidRPr="00E43DB0" w:rsidRDefault="000D6277" w:rsidP="002752BB">
                <w:pPr>
                  <w:pStyle w:val="Cytat"/>
                  <w:rPr>
                    <w:color w:val="000000" w:themeColor="text1"/>
                    <w:szCs w:val="20"/>
                  </w:rPr>
                </w:pPr>
                <w:r w:rsidRPr="00E43DB0">
                  <w:rPr>
                    <w:color w:val="000000" w:themeColor="text1"/>
                    <w:szCs w:val="20"/>
                  </w:rPr>
                  <w:t xml:space="preserve">Główne wnioski </w:t>
                </w:r>
                <w:r w:rsidR="00320E6A">
                  <w:rPr>
                    <w:color w:val="000000" w:themeColor="text1"/>
                    <w:szCs w:val="20"/>
                  </w:rPr>
                  <w:t>dla ewaluacji VI OP POIiŚ</w:t>
                </w:r>
                <w:r w:rsidR="00F43F6D" w:rsidRPr="00E43DB0">
                  <w:rPr>
                    <w:color w:val="000000" w:themeColor="text1"/>
                    <w:szCs w:val="20"/>
                  </w:rPr>
                  <w:t>:</w:t>
                </w:r>
              </w:p>
              <w:p w14:paraId="30D3ADEB" w14:textId="4229B653" w:rsidR="00067877" w:rsidRPr="00067877" w:rsidRDefault="00067877" w:rsidP="00067877">
                <w:pPr>
                  <w:pStyle w:val="Akapitzlist"/>
                  <w:numPr>
                    <w:ilvl w:val="0"/>
                    <w:numId w:val="35"/>
                  </w:numPr>
                  <w:rPr>
                    <w:rFonts w:asciiTheme="majorHAnsi" w:hAnsiTheme="majorHAnsi"/>
                    <w:color w:val="000000" w:themeColor="text1"/>
                  </w:rPr>
                </w:pPr>
                <w:r w:rsidRPr="00067877">
                  <w:rPr>
                    <w:rFonts w:asciiTheme="majorHAnsi" w:hAnsiTheme="majorHAnsi"/>
                    <w:color w:val="000000" w:themeColor="text1"/>
                  </w:rPr>
                  <w:t xml:space="preserve">Inwestycje </w:t>
                </w:r>
                <w:r w:rsidR="00173344">
                  <w:rPr>
                    <w:rFonts w:asciiTheme="majorHAnsi" w:hAnsiTheme="majorHAnsi"/>
                    <w:color w:val="000000" w:themeColor="text1"/>
                  </w:rPr>
                  <w:t>w</w:t>
                </w:r>
                <w:r w:rsidRPr="00067877">
                  <w:rPr>
                    <w:rFonts w:asciiTheme="majorHAnsi" w:hAnsiTheme="majorHAnsi"/>
                    <w:color w:val="000000" w:themeColor="text1"/>
                  </w:rPr>
                  <w:t xml:space="preserve"> transport publiczny oddziałują nie tylko na korytarz poddawany interwencji, ale na ruch w całej sieci, w tym podział użytkowników między transport publiczny i indywidualny. Istotna przy badaniu wpływu jest globalna zmiana zachowań komunikacyjnych mieszkańców danego obszaru.</w:t>
                </w:r>
              </w:p>
              <w:p w14:paraId="124AA175" w14:textId="0BF15211" w:rsidR="00E43DB0" w:rsidRPr="00E43DB0" w:rsidRDefault="00E43DB0" w:rsidP="001B2A4E">
                <w:pPr>
                  <w:pStyle w:val="Akapitzlist"/>
                  <w:numPr>
                    <w:ilvl w:val="0"/>
                    <w:numId w:val="35"/>
                  </w:numPr>
                  <w:rPr>
                    <w:rFonts w:asciiTheme="majorHAnsi" w:hAnsiTheme="majorHAnsi"/>
                    <w:color w:val="000000" w:themeColor="text1"/>
                  </w:rPr>
                </w:pPr>
                <w:r w:rsidRPr="00E43DB0">
                  <w:rPr>
                    <w:rFonts w:asciiTheme="majorHAnsi" w:hAnsiTheme="majorHAnsi"/>
                    <w:color w:val="000000" w:themeColor="text1"/>
                  </w:rPr>
                  <w:t>W ramach niniejszego badania zebrano dan</w:t>
                </w:r>
                <w:r w:rsidR="00DC0486">
                  <w:rPr>
                    <w:rFonts w:asciiTheme="majorHAnsi" w:hAnsiTheme="majorHAnsi"/>
                    <w:color w:val="000000" w:themeColor="text1"/>
                  </w:rPr>
                  <w:t>e</w:t>
                </w:r>
                <w:r w:rsidRPr="00E43DB0">
                  <w:rPr>
                    <w:rFonts w:asciiTheme="majorHAnsi" w:hAnsiTheme="majorHAnsi"/>
                    <w:color w:val="000000" w:themeColor="text1"/>
                  </w:rPr>
                  <w:t xml:space="preserve"> dotycząc</w:t>
                </w:r>
                <w:r w:rsidR="00DC0486">
                  <w:rPr>
                    <w:rFonts w:asciiTheme="majorHAnsi" w:hAnsiTheme="majorHAnsi"/>
                    <w:color w:val="000000" w:themeColor="text1"/>
                  </w:rPr>
                  <w:t>e</w:t>
                </w:r>
                <w:r w:rsidRPr="00E43DB0">
                  <w:rPr>
                    <w:rFonts w:asciiTheme="majorHAnsi" w:hAnsiTheme="majorHAnsi"/>
                    <w:color w:val="000000" w:themeColor="text1"/>
                  </w:rPr>
                  <w:t xml:space="preserve"> prędkości podróży samochodem w wybranych relacjach przy wykorzystaniu </w:t>
                </w:r>
                <w:r w:rsidRPr="00AE21D2">
                  <w:rPr>
                    <w:rFonts w:asciiTheme="majorHAnsi" w:hAnsiTheme="majorHAnsi"/>
                    <w:i/>
                    <w:color w:val="000000" w:themeColor="text1"/>
                  </w:rPr>
                  <w:t>big data</w:t>
                </w:r>
                <w:r w:rsidRPr="00E43DB0">
                  <w:rPr>
                    <w:rFonts w:asciiTheme="majorHAnsi" w:hAnsiTheme="majorHAnsi"/>
                    <w:color w:val="000000" w:themeColor="text1"/>
                  </w:rPr>
                  <w:t xml:space="preserve"> (Google </w:t>
                </w:r>
                <w:proofErr w:type="spellStart"/>
                <w:r w:rsidRPr="00E43DB0">
                  <w:rPr>
                    <w:rFonts w:asciiTheme="majorHAnsi" w:hAnsiTheme="majorHAnsi"/>
                    <w:color w:val="000000" w:themeColor="text1"/>
                  </w:rPr>
                  <w:t>Maps</w:t>
                </w:r>
                <w:proofErr w:type="spellEnd"/>
                <w:r w:rsidRPr="00E43DB0">
                  <w:rPr>
                    <w:rFonts w:asciiTheme="majorHAnsi" w:hAnsiTheme="majorHAnsi"/>
                    <w:color w:val="000000" w:themeColor="text1"/>
                  </w:rPr>
                  <w:t xml:space="preserve">). </w:t>
                </w:r>
              </w:p>
              <w:p w14:paraId="75E6F4A3" w14:textId="30745A3A" w:rsidR="00F17E60" w:rsidRDefault="00F17E60" w:rsidP="001B2A4E">
                <w:pPr>
                  <w:pStyle w:val="Akapitzlist"/>
                  <w:numPr>
                    <w:ilvl w:val="0"/>
                    <w:numId w:val="35"/>
                  </w:numPr>
                  <w:rPr>
                    <w:rFonts w:asciiTheme="majorHAnsi" w:hAnsiTheme="majorHAnsi"/>
                    <w:color w:val="000000" w:themeColor="text1"/>
                  </w:rPr>
                </w:pPr>
                <w:r w:rsidRPr="00F17E60">
                  <w:rPr>
                    <w:rFonts w:asciiTheme="majorHAnsi" w:hAnsiTheme="majorHAnsi"/>
                    <w:color w:val="000000" w:themeColor="text1"/>
                  </w:rPr>
                  <w:t>Na podstawie uzupełnionej bazy danych udało się zoptymalizować próbę miast dla analizy efektu netto metodą kontrfaktyczną</w:t>
                </w:r>
                <w:r w:rsidR="00011A88">
                  <w:rPr>
                    <w:rFonts w:asciiTheme="majorHAnsi" w:hAnsiTheme="majorHAnsi"/>
                    <w:color w:val="000000" w:themeColor="text1"/>
                  </w:rPr>
                  <w:t xml:space="preserve"> SPSM</w:t>
                </w:r>
                <w:r w:rsidRPr="00F17E60">
                  <w:rPr>
                    <w:rFonts w:asciiTheme="majorHAnsi" w:hAnsiTheme="majorHAnsi"/>
                    <w:color w:val="000000" w:themeColor="text1"/>
                  </w:rPr>
                  <w:t xml:space="preserve">. </w:t>
                </w:r>
                <w:r w:rsidR="00067877">
                  <w:rPr>
                    <w:rFonts w:asciiTheme="majorHAnsi" w:hAnsiTheme="majorHAnsi"/>
                    <w:color w:val="000000" w:themeColor="text1"/>
                  </w:rPr>
                  <w:t>Zap</w:t>
                </w:r>
                <w:r w:rsidRPr="00F17E60">
                  <w:rPr>
                    <w:rFonts w:asciiTheme="majorHAnsi" w:hAnsiTheme="majorHAnsi"/>
                    <w:color w:val="000000" w:themeColor="text1"/>
                  </w:rPr>
                  <w:t>lanowano również zebra</w:t>
                </w:r>
                <w:r w:rsidR="00067877">
                  <w:rPr>
                    <w:rFonts w:asciiTheme="majorHAnsi" w:hAnsiTheme="majorHAnsi"/>
                    <w:color w:val="000000" w:themeColor="text1"/>
                  </w:rPr>
                  <w:t>nie</w:t>
                </w:r>
                <w:r w:rsidRPr="00F17E60">
                  <w:rPr>
                    <w:rFonts w:asciiTheme="majorHAnsi" w:hAnsiTheme="majorHAnsi"/>
                    <w:color w:val="000000" w:themeColor="text1"/>
                  </w:rPr>
                  <w:t xml:space="preserve"> dodatkow</w:t>
                </w:r>
                <w:r w:rsidR="00067877">
                  <w:rPr>
                    <w:rFonts w:asciiTheme="majorHAnsi" w:hAnsiTheme="majorHAnsi"/>
                    <w:color w:val="000000" w:themeColor="text1"/>
                  </w:rPr>
                  <w:t>ych</w:t>
                </w:r>
                <w:r w:rsidRPr="00F17E60">
                  <w:rPr>
                    <w:rFonts w:asciiTheme="majorHAnsi" w:hAnsiTheme="majorHAnsi"/>
                    <w:color w:val="000000" w:themeColor="text1"/>
                  </w:rPr>
                  <w:t xml:space="preserve"> zmienn</w:t>
                </w:r>
                <w:r w:rsidR="00067877">
                  <w:rPr>
                    <w:rFonts w:asciiTheme="majorHAnsi" w:hAnsiTheme="majorHAnsi"/>
                    <w:color w:val="000000" w:themeColor="text1"/>
                  </w:rPr>
                  <w:t>ych</w:t>
                </w:r>
                <w:r w:rsidRPr="00F17E60">
                  <w:rPr>
                    <w:rFonts w:asciiTheme="majorHAnsi" w:hAnsiTheme="majorHAnsi"/>
                    <w:color w:val="000000" w:themeColor="text1"/>
                  </w:rPr>
                  <w:t xml:space="preserve"> dla oszacowania efektu netto za pomocą panelu CAWI</w:t>
                </w:r>
                <w:r w:rsidR="00067877">
                  <w:rPr>
                    <w:rFonts w:asciiTheme="majorHAnsi" w:hAnsiTheme="majorHAnsi"/>
                    <w:color w:val="000000" w:themeColor="text1"/>
                  </w:rPr>
                  <w:t>.</w:t>
                </w:r>
                <w:r w:rsidRPr="00F17E60">
                  <w:rPr>
                    <w:rFonts w:asciiTheme="majorHAnsi" w:hAnsiTheme="majorHAnsi"/>
                    <w:color w:val="000000" w:themeColor="text1"/>
                  </w:rPr>
                  <w:t xml:space="preserve"> </w:t>
                </w:r>
              </w:p>
              <w:p w14:paraId="5420D2C1" w14:textId="14A5DDEA" w:rsidR="00E43DB0" w:rsidRPr="00E43DB0" w:rsidRDefault="00E43DB0" w:rsidP="001B2A4E">
                <w:pPr>
                  <w:pStyle w:val="Akapitzlist"/>
                  <w:numPr>
                    <w:ilvl w:val="0"/>
                    <w:numId w:val="35"/>
                  </w:numPr>
                  <w:rPr>
                    <w:rFonts w:asciiTheme="majorHAnsi" w:hAnsiTheme="majorHAnsi"/>
                    <w:color w:val="000000" w:themeColor="text1"/>
                  </w:rPr>
                </w:pPr>
                <w:r w:rsidRPr="00E43DB0">
                  <w:rPr>
                    <w:rFonts w:asciiTheme="majorHAnsi" w:hAnsiTheme="majorHAnsi"/>
                    <w:color w:val="000000" w:themeColor="text1"/>
                  </w:rPr>
                  <w:t xml:space="preserve">Przeprowadzono parowanie odcinków sieci komunikacyjnej metodą kontrfaktyczną </w:t>
                </w:r>
                <w:proofErr w:type="spellStart"/>
                <w:r w:rsidRPr="001A6C9D">
                  <w:rPr>
                    <w:rFonts w:asciiTheme="majorHAnsi" w:hAnsiTheme="majorHAnsi"/>
                    <w:i/>
                    <w:color w:val="000000" w:themeColor="text1"/>
                  </w:rPr>
                  <w:t>Propensity</w:t>
                </w:r>
                <w:proofErr w:type="spellEnd"/>
                <w:r w:rsidRPr="001A6C9D">
                  <w:rPr>
                    <w:rFonts w:asciiTheme="majorHAnsi" w:hAnsiTheme="majorHAnsi"/>
                    <w:i/>
                    <w:color w:val="000000" w:themeColor="text1"/>
                  </w:rPr>
                  <w:t xml:space="preserve"> </w:t>
                </w:r>
                <w:proofErr w:type="spellStart"/>
                <w:r w:rsidRPr="001A6C9D">
                  <w:rPr>
                    <w:rFonts w:asciiTheme="majorHAnsi" w:hAnsiTheme="majorHAnsi"/>
                    <w:i/>
                    <w:color w:val="000000" w:themeColor="text1"/>
                  </w:rPr>
                  <w:t>Score</w:t>
                </w:r>
                <w:proofErr w:type="spellEnd"/>
                <w:r w:rsidRPr="001A6C9D">
                  <w:rPr>
                    <w:rFonts w:asciiTheme="majorHAnsi" w:hAnsiTheme="majorHAnsi"/>
                    <w:i/>
                    <w:color w:val="000000" w:themeColor="text1"/>
                  </w:rPr>
                  <w:t xml:space="preserve"> </w:t>
                </w:r>
                <w:proofErr w:type="spellStart"/>
                <w:r w:rsidRPr="001A6C9D">
                  <w:rPr>
                    <w:rFonts w:asciiTheme="majorHAnsi" w:hAnsiTheme="majorHAnsi"/>
                    <w:i/>
                    <w:color w:val="000000" w:themeColor="text1"/>
                  </w:rPr>
                  <w:t>Matching</w:t>
                </w:r>
                <w:proofErr w:type="spellEnd"/>
                <w:r w:rsidRPr="00E43DB0">
                  <w:rPr>
                    <w:rFonts w:asciiTheme="majorHAnsi" w:hAnsiTheme="majorHAnsi"/>
                    <w:color w:val="000000" w:themeColor="text1"/>
                  </w:rPr>
                  <w:t xml:space="preserve"> (PSM) dla 10 wybranych inwestycji infrastrukturalnych. </w:t>
                </w:r>
              </w:p>
              <w:p w14:paraId="0A421A5F" w14:textId="1609F4C4" w:rsidR="00E43DB0" w:rsidRPr="00E43DB0" w:rsidRDefault="00A32051" w:rsidP="001B2A4E">
                <w:pPr>
                  <w:pStyle w:val="Akapitzlist"/>
                  <w:numPr>
                    <w:ilvl w:val="0"/>
                    <w:numId w:val="35"/>
                  </w:numPr>
                  <w:rPr>
                    <w:rFonts w:asciiTheme="majorHAnsi" w:hAnsiTheme="majorHAnsi"/>
                    <w:color w:val="000000" w:themeColor="text1"/>
                  </w:rPr>
                </w:pPr>
                <w:r w:rsidRPr="00A32051">
                  <w:rPr>
                    <w:rFonts w:asciiTheme="majorHAnsi" w:hAnsiTheme="majorHAnsi"/>
                    <w:color w:val="000000" w:themeColor="text1"/>
                  </w:rPr>
                  <w:t xml:space="preserve">Przeprowadzona AKK </w:t>
                </w:r>
                <w:r w:rsidRPr="00A32051">
                  <w:rPr>
                    <w:rFonts w:asciiTheme="majorHAnsi" w:hAnsiTheme="majorHAnsi"/>
                    <w:i/>
                    <w:color w:val="000000" w:themeColor="text1"/>
                  </w:rPr>
                  <w:t>ex post</w:t>
                </w:r>
                <w:r w:rsidRPr="00A32051">
                  <w:rPr>
                    <w:rFonts w:asciiTheme="majorHAnsi" w:hAnsiTheme="majorHAnsi"/>
                    <w:color w:val="000000" w:themeColor="text1"/>
                  </w:rPr>
                  <w:t xml:space="preserve"> </w:t>
                </w:r>
                <w:r>
                  <w:rPr>
                    <w:rFonts w:asciiTheme="majorHAnsi" w:hAnsiTheme="majorHAnsi"/>
                    <w:color w:val="000000" w:themeColor="text1"/>
                  </w:rPr>
                  <w:t xml:space="preserve">dla projektów w ramach WOF </w:t>
                </w:r>
                <w:r w:rsidR="00173344">
                  <w:rPr>
                    <w:rFonts w:asciiTheme="majorHAnsi" w:hAnsiTheme="majorHAnsi"/>
                    <w:color w:val="000000" w:themeColor="text1"/>
                  </w:rPr>
                  <w:t xml:space="preserve">(2007-2013) </w:t>
                </w:r>
                <w:r w:rsidRPr="00A32051">
                  <w:rPr>
                    <w:rFonts w:asciiTheme="majorHAnsi" w:hAnsiTheme="majorHAnsi"/>
                    <w:color w:val="000000" w:themeColor="text1"/>
                  </w:rPr>
                  <w:t xml:space="preserve">oparta </w:t>
                </w:r>
                <w:r w:rsidR="00173344">
                  <w:rPr>
                    <w:rFonts w:asciiTheme="majorHAnsi" w:hAnsiTheme="majorHAnsi"/>
                    <w:color w:val="000000" w:themeColor="text1"/>
                  </w:rPr>
                  <w:t xml:space="preserve">była </w:t>
                </w:r>
                <w:r w:rsidRPr="00A32051">
                  <w:rPr>
                    <w:rFonts w:asciiTheme="majorHAnsi" w:hAnsiTheme="majorHAnsi"/>
                    <w:color w:val="000000" w:themeColor="text1"/>
                  </w:rPr>
                  <w:t xml:space="preserve">na proporcjonalnym skorygowaniu w AKK </w:t>
                </w:r>
                <w:r w:rsidRPr="00A32051">
                  <w:rPr>
                    <w:rFonts w:asciiTheme="majorHAnsi" w:hAnsiTheme="majorHAnsi"/>
                    <w:i/>
                    <w:color w:val="000000" w:themeColor="text1"/>
                  </w:rPr>
                  <w:t xml:space="preserve">ex </w:t>
                </w:r>
                <w:proofErr w:type="spellStart"/>
                <w:r w:rsidRPr="00A32051">
                  <w:rPr>
                    <w:rFonts w:asciiTheme="majorHAnsi" w:hAnsiTheme="majorHAnsi"/>
                    <w:i/>
                    <w:color w:val="000000" w:themeColor="text1"/>
                  </w:rPr>
                  <w:t>ante</w:t>
                </w:r>
                <w:proofErr w:type="spellEnd"/>
                <w:r w:rsidRPr="00A32051">
                  <w:rPr>
                    <w:rFonts w:asciiTheme="majorHAnsi" w:hAnsiTheme="majorHAnsi"/>
                    <w:color w:val="000000" w:themeColor="text1"/>
                  </w:rPr>
                  <w:t xml:space="preserve"> dwóch kluczowych zmiennych: korzyści ekonomicznych i nakładów finansowych. Pełna weryfikacja wymaga przeprowadzenia modelowania ruchu</w:t>
                </w:r>
                <w:r>
                  <w:rPr>
                    <w:rFonts w:asciiTheme="majorHAnsi" w:hAnsiTheme="majorHAnsi"/>
                    <w:color w:val="000000" w:themeColor="text1"/>
                  </w:rPr>
                  <w:t xml:space="preserve">, </w:t>
                </w:r>
                <w:r w:rsidR="00E43DB0" w:rsidRPr="00E43DB0">
                  <w:rPr>
                    <w:rFonts w:asciiTheme="majorHAnsi" w:hAnsiTheme="majorHAnsi"/>
                    <w:color w:val="000000" w:themeColor="text1"/>
                  </w:rPr>
                  <w:t xml:space="preserve">gdyż wejściowymi wskaźnikami </w:t>
                </w:r>
                <w:r w:rsidR="00067877">
                  <w:rPr>
                    <w:rFonts w:asciiTheme="majorHAnsi" w:hAnsiTheme="majorHAnsi"/>
                    <w:color w:val="000000" w:themeColor="text1"/>
                  </w:rPr>
                  <w:t>s</w:t>
                </w:r>
                <w:r w:rsidR="00E43DB0" w:rsidRPr="00E43DB0">
                  <w:rPr>
                    <w:rFonts w:asciiTheme="majorHAnsi" w:hAnsiTheme="majorHAnsi"/>
                    <w:color w:val="000000" w:themeColor="text1"/>
                  </w:rPr>
                  <w:t xml:space="preserve">ą dane </w:t>
                </w:r>
                <w:r w:rsidR="00067877">
                  <w:rPr>
                    <w:rFonts w:asciiTheme="majorHAnsi" w:hAnsiTheme="majorHAnsi"/>
                    <w:color w:val="000000" w:themeColor="text1"/>
                  </w:rPr>
                  <w:t>ogólnosieciowe,</w:t>
                </w:r>
                <w:r w:rsidR="00E43DB0" w:rsidRPr="00E43DB0">
                  <w:rPr>
                    <w:rFonts w:asciiTheme="majorHAnsi" w:hAnsiTheme="majorHAnsi"/>
                    <w:color w:val="000000" w:themeColor="text1"/>
                  </w:rPr>
                  <w:t xml:space="preserve"> wynikające z przejść pasażerów pomiędzy środkami transportu.</w:t>
                </w:r>
              </w:p>
              <w:p w14:paraId="7D4FE42A" w14:textId="105D9F6C" w:rsidR="009012F5" w:rsidRPr="00E43DB0" w:rsidRDefault="00E43DB0" w:rsidP="001B2A4E">
                <w:pPr>
                  <w:pStyle w:val="Akapitzlist"/>
                  <w:numPr>
                    <w:ilvl w:val="0"/>
                    <w:numId w:val="35"/>
                  </w:numPr>
                  <w:rPr>
                    <w:rFonts w:asciiTheme="majorHAnsi" w:hAnsiTheme="majorHAnsi"/>
                    <w:color w:val="000000" w:themeColor="text1"/>
                  </w:rPr>
                </w:pPr>
                <w:r w:rsidRPr="00E43DB0">
                  <w:rPr>
                    <w:rFonts w:asciiTheme="majorHAnsi" w:hAnsiTheme="majorHAnsi"/>
                    <w:color w:val="000000" w:themeColor="text1"/>
                  </w:rPr>
                  <w:t>Proces ponow</w:t>
                </w:r>
                <w:r w:rsidR="00C9710D">
                  <w:rPr>
                    <w:rFonts w:asciiTheme="majorHAnsi" w:hAnsiTheme="majorHAnsi"/>
                    <w:color w:val="000000" w:themeColor="text1"/>
                  </w:rPr>
                  <w:t>ionych</w:t>
                </w:r>
                <w:r w:rsidRPr="00E43DB0">
                  <w:rPr>
                    <w:rFonts w:asciiTheme="majorHAnsi" w:hAnsiTheme="majorHAnsi"/>
                    <w:color w:val="000000" w:themeColor="text1"/>
                  </w:rPr>
                  <w:t xml:space="preserve"> zapytań ankietowych do miast </w:t>
                </w:r>
                <w:r w:rsidR="00C9710D">
                  <w:rPr>
                    <w:rFonts w:asciiTheme="majorHAnsi" w:hAnsiTheme="majorHAnsi"/>
                    <w:color w:val="000000" w:themeColor="text1"/>
                  </w:rPr>
                  <w:t xml:space="preserve">z badania pilotażowego </w:t>
                </w:r>
                <w:r w:rsidRPr="00E43DB0">
                  <w:rPr>
                    <w:rFonts w:asciiTheme="majorHAnsi" w:hAnsiTheme="majorHAnsi"/>
                    <w:color w:val="000000" w:themeColor="text1"/>
                  </w:rPr>
                  <w:t>pozwolił na uzupełnienie kluczowych braków danych (zmiennych objaśnianych i</w:t>
                </w:r>
                <w:r w:rsidR="00C9710D">
                  <w:rPr>
                    <w:rFonts w:ascii="Calibri" w:hAnsi="Calibri" w:cs="Calibri"/>
                    <w:color w:val="000000" w:themeColor="text1"/>
                  </w:rPr>
                  <w:t> </w:t>
                </w:r>
                <w:r w:rsidRPr="00E43DB0">
                  <w:rPr>
                    <w:rFonts w:asciiTheme="majorHAnsi" w:hAnsiTheme="majorHAnsi"/>
                    <w:color w:val="000000" w:themeColor="text1"/>
                  </w:rPr>
                  <w:t>objaśniających dla metody SPSM). Wciąż jednak niski jest zwrot w zakresie danych m.in. o polityce parkingowej</w:t>
                </w:r>
                <w:r w:rsidR="00C9710D">
                  <w:rPr>
                    <w:rFonts w:asciiTheme="majorHAnsi" w:hAnsiTheme="majorHAnsi"/>
                    <w:color w:val="000000" w:themeColor="text1"/>
                  </w:rPr>
                  <w:t>,</w:t>
                </w:r>
                <w:r w:rsidRPr="00E43DB0">
                  <w:rPr>
                    <w:rFonts w:asciiTheme="majorHAnsi" w:hAnsiTheme="majorHAnsi"/>
                    <w:color w:val="000000" w:themeColor="text1"/>
                  </w:rPr>
                  <w:t xml:space="preserve"> ruchu pieszym</w:t>
                </w:r>
                <w:r w:rsidR="00C15087">
                  <w:rPr>
                    <w:rFonts w:asciiTheme="majorHAnsi" w:hAnsiTheme="majorHAnsi"/>
                    <w:color w:val="000000" w:themeColor="text1"/>
                  </w:rPr>
                  <w:t>,</w:t>
                </w:r>
                <w:r w:rsidRPr="00E43DB0">
                  <w:rPr>
                    <w:rFonts w:asciiTheme="majorHAnsi" w:hAnsiTheme="majorHAnsi"/>
                    <w:color w:val="000000" w:themeColor="text1"/>
                  </w:rPr>
                  <w:t xml:space="preserve"> </w:t>
                </w:r>
                <w:r w:rsidR="00C15087">
                  <w:rPr>
                    <w:rFonts w:asciiTheme="majorHAnsi" w:hAnsiTheme="majorHAnsi"/>
                    <w:color w:val="000000" w:themeColor="text1"/>
                  </w:rPr>
                  <w:t>sytuacjach awaryjnych i bezpieczeństwie.</w:t>
                </w:r>
              </w:p>
              <w:p w14:paraId="07EEB1ED" w14:textId="661A7C0A" w:rsidR="00F43F6D" w:rsidRPr="00E43DB0" w:rsidRDefault="00F43F6D" w:rsidP="00F43F6D">
                <w:pPr>
                  <w:pStyle w:val="Cytat"/>
                  <w:rPr>
                    <w:color w:val="000000" w:themeColor="text1"/>
                    <w:szCs w:val="20"/>
                  </w:rPr>
                </w:pPr>
                <w:r w:rsidRPr="00E43DB0">
                  <w:rPr>
                    <w:color w:val="000000" w:themeColor="text1"/>
                    <w:szCs w:val="20"/>
                  </w:rPr>
                  <w:t xml:space="preserve">Główne wnioski </w:t>
                </w:r>
                <w:r w:rsidR="0028672F">
                  <w:rPr>
                    <w:color w:val="000000" w:themeColor="text1"/>
                    <w:szCs w:val="20"/>
                  </w:rPr>
                  <w:t>systemowe</w:t>
                </w:r>
                <w:r w:rsidRPr="00E43DB0">
                  <w:rPr>
                    <w:color w:val="000000" w:themeColor="text1"/>
                    <w:szCs w:val="20"/>
                  </w:rPr>
                  <w:t>:</w:t>
                </w:r>
              </w:p>
              <w:p w14:paraId="1425D367" w14:textId="283984D4" w:rsidR="00E43DB0" w:rsidRPr="005F7FCB" w:rsidRDefault="00DC61AC" w:rsidP="00101AF0">
                <w:pPr>
                  <w:pStyle w:val="Akapitzlist"/>
                  <w:numPr>
                    <w:ilvl w:val="0"/>
                    <w:numId w:val="2"/>
                  </w:numPr>
                  <w:rPr>
                    <w:rFonts w:asciiTheme="majorHAnsi" w:hAnsiTheme="majorHAnsi"/>
                    <w:color w:val="000000" w:themeColor="text1"/>
                    <w:szCs w:val="20"/>
                  </w:rPr>
                </w:pPr>
                <w:r w:rsidRPr="00DC61AC">
                  <w:rPr>
                    <w:rFonts w:asciiTheme="majorHAnsi" w:hAnsiTheme="majorHAnsi"/>
                    <w:color w:val="000000" w:themeColor="text1"/>
                    <w:szCs w:val="20"/>
                  </w:rPr>
                  <w:t xml:space="preserve">W celu </w:t>
                </w:r>
                <w:r w:rsidR="00FA38DF">
                  <w:rPr>
                    <w:rFonts w:asciiTheme="majorHAnsi" w:hAnsiTheme="majorHAnsi"/>
                    <w:color w:val="000000" w:themeColor="text1"/>
                    <w:szCs w:val="20"/>
                  </w:rPr>
                  <w:t xml:space="preserve">znacznego </w:t>
                </w:r>
                <w:r w:rsidRPr="00DC61AC">
                  <w:rPr>
                    <w:rFonts w:asciiTheme="majorHAnsi" w:hAnsiTheme="majorHAnsi"/>
                    <w:color w:val="000000" w:themeColor="text1"/>
                    <w:szCs w:val="20"/>
                  </w:rPr>
                  <w:t>zwiększenia liczby użytkowników transportu publicznego w</w:t>
                </w:r>
                <w:r w:rsidR="001D2242">
                  <w:rPr>
                    <w:rFonts w:ascii="Calibri" w:hAnsi="Calibri" w:cs="Calibri"/>
                    <w:color w:val="000000" w:themeColor="text1"/>
                    <w:szCs w:val="20"/>
                  </w:rPr>
                  <w:t> </w:t>
                </w:r>
                <w:r w:rsidRPr="00DC61AC">
                  <w:rPr>
                    <w:rFonts w:asciiTheme="majorHAnsi" w:hAnsiTheme="majorHAnsi"/>
                    <w:color w:val="000000" w:themeColor="text1"/>
                    <w:szCs w:val="20"/>
                  </w:rPr>
                  <w:t xml:space="preserve">miastach, inwestycje nie powinny się skupiać wyłącznie na infrastrukturze i taborze, a obejmować także inne elementy składające się na </w:t>
                </w:r>
                <w:r w:rsidR="001D2242" w:rsidRPr="00DC61AC">
                  <w:rPr>
                    <w:rFonts w:asciiTheme="majorHAnsi" w:hAnsiTheme="majorHAnsi"/>
                    <w:color w:val="000000" w:themeColor="text1"/>
                    <w:szCs w:val="20"/>
                  </w:rPr>
                  <w:t>całościową</w:t>
                </w:r>
                <w:r w:rsidRPr="00DC61AC">
                  <w:rPr>
                    <w:rFonts w:asciiTheme="majorHAnsi" w:hAnsiTheme="majorHAnsi"/>
                    <w:color w:val="000000" w:themeColor="text1"/>
                    <w:szCs w:val="20"/>
                  </w:rPr>
                  <w:t xml:space="preserve"> ofertę dla klienta</w:t>
                </w:r>
                <w:r w:rsidR="003B47EF">
                  <w:rPr>
                    <w:rFonts w:asciiTheme="majorHAnsi" w:hAnsiTheme="majorHAnsi"/>
                    <w:color w:val="000000" w:themeColor="text1"/>
                    <w:szCs w:val="20"/>
                  </w:rPr>
                  <w:t xml:space="preserve"> (m.in. </w:t>
                </w:r>
                <w:r w:rsidR="003B47EF" w:rsidRPr="003B47EF">
                  <w:rPr>
                    <w:rFonts w:asciiTheme="majorHAnsi" w:hAnsiTheme="majorHAnsi"/>
                    <w:color w:val="000000" w:themeColor="text1"/>
                    <w:szCs w:val="20"/>
                  </w:rPr>
                  <w:t>wysoka przepustowość i zasięg, dobra informacja w razie zakłóceń)</w:t>
                </w:r>
                <w:r w:rsidRPr="00DC61AC">
                  <w:rPr>
                    <w:rFonts w:asciiTheme="majorHAnsi" w:hAnsiTheme="majorHAnsi"/>
                    <w:color w:val="000000" w:themeColor="text1"/>
                    <w:szCs w:val="20"/>
                  </w:rPr>
                  <w:t>.</w:t>
                </w:r>
              </w:p>
              <w:p w14:paraId="0A2BE58C" w14:textId="2CD1E5E8" w:rsidR="00E43DB0" w:rsidRPr="00E43DB0" w:rsidRDefault="00E43DB0" w:rsidP="001B2A4E">
                <w:pPr>
                  <w:pStyle w:val="Akapitzlist"/>
                  <w:numPr>
                    <w:ilvl w:val="0"/>
                    <w:numId w:val="2"/>
                  </w:numPr>
                  <w:rPr>
                    <w:rFonts w:asciiTheme="majorHAnsi" w:hAnsiTheme="majorHAnsi"/>
                    <w:color w:val="000000" w:themeColor="text1"/>
                    <w:szCs w:val="20"/>
                  </w:rPr>
                </w:pPr>
                <w:r w:rsidRPr="00E43DB0">
                  <w:rPr>
                    <w:rFonts w:asciiTheme="majorHAnsi" w:hAnsiTheme="majorHAnsi"/>
                    <w:color w:val="000000" w:themeColor="text1"/>
                    <w:szCs w:val="20"/>
                  </w:rPr>
                  <w:t>W studiach przypadku dla węzłów przesiadkowych zaobserwowano liczne bariery architektoniczne, wpływające na mobilność osób z niepełnosprawnością i</w:t>
                </w:r>
                <w:r>
                  <w:rPr>
                    <w:rFonts w:ascii="Calibri" w:hAnsi="Calibri" w:cs="Calibri"/>
                    <w:color w:val="000000" w:themeColor="text1"/>
                    <w:szCs w:val="20"/>
                  </w:rPr>
                  <w:t> </w:t>
                </w:r>
                <w:r w:rsidRPr="00E43DB0">
                  <w:rPr>
                    <w:rFonts w:asciiTheme="majorHAnsi" w:hAnsiTheme="majorHAnsi"/>
                    <w:color w:val="000000" w:themeColor="text1"/>
                    <w:szCs w:val="20"/>
                  </w:rPr>
                  <w:t>z</w:t>
                </w:r>
                <w:r>
                  <w:rPr>
                    <w:rFonts w:ascii="Calibri" w:hAnsi="Calibri" w:cs="Calibri"/>
                    <w:color w:val="000000" w:themeColor="text1"/>
                    <w:szCs w:val="20"/>
                  </w:rPr>
                  <w:t> </w:t>
                </w:r>
                <w:r w:rsidRPr="00E43DB0">
                  <w:rPr>
                    <w:rFonts w:asciiTheme="majorHAnsi" w:hAnsiTheme="majorHAnsi"/>
                    <w:color w:val="000000" w:themeColor="text1"/>
                    <w:szCs w:val="20"/>
                  </w:rPr>
                  <w:t xml:space="preserve">ograniczonymi możliwościami poruszania się. Bariery </w:t>
                </w:r>
                <w:r w:rsidR="00C9710D">
                  <w:rPr>
                    <w:rFonts w:asciiTheme="majorHAnsi" w:hAnsiTheme="majorHAnsi"/>
                    <w:color w:val="000000" w:themeColor="text1"/>
                    <w:szCs w:val="20"/>
                  </w:rPr>
                  <w:t>są szczególnie zauważalne</w:t>
                </w:r>
                <w:r w:rsidRPr="00E43DB0">
                  <w:rPr>
                    <w:rFonts w:asciiTheme="majorHAnsi" w:hAnsiTheme="majorHAnsi"/>
                    <w:color w:val="000000" w:themeColor="text1"/>
                    <w:szCs w:val="20"/>
                  </w:rPr>
                  <w:t xml:space="preserve"> w</w:t>
                </w:r>
                <w:r w:rsidR="00813B5D">
                  <w:rPr>
                    <w:rFonts w:ascii="Calibri" w:hAnsi="Calibri" w:cs="Calibri"/>
                    <w:color w:val="000000" w:themeColor="text1"/>
                    <w:szCs w:val="20"/>
                  </w:rPr>
                  <w:t> </w:t>
                </w:r>
                <w:r w:rsidRPr="00E43DB0">
                  <w:rPr>
                    <w:rFonts w:asciiTheme="majorHAnsi" w:hAnsiTheme="majorHAnsi"/>
                    <w:color w:val="000000" w:themeColor="text1"/>
                    <w:szCs w:val="20"/>
                  </w:rPr>
                  <w:t xml:space="preserve">kontekście wysokiej dostępności pojazdów </w:t>
                </w:r>
                <w:r w:rsidR="00C9710D">
                  <w:rPr>
                    <w:rFonts w:asciiTheme="majorHAnsi" w:hAnsiTheme="majorHAnsi"/>
                    <w:color w:val="000000" w:themeColor="text1"/>
                    <w:szCs w:val="20"/>
                  </w:rPr>
                  <w:t>niskopodłogowych</w:t>
                </w:r>
                <w:r w:rsidR="00DC0486">
                  <w:rPr>
                    <w:rFonts w:asciiTheme="majorHAnsi" w:hAnsiTheme="majorHAnsi"/>
                    <w:color w:val="000000" w:themeColor="text1"/>
                    <w:szCs w:val="20"/>
                  </w:rPr>
                  <w:t xml:space="preserve">. </w:t>
                </w:r>
              </w:p>
              <w:p w14:paraId="5111D824" w14:textId="2A472893" w:rsidR="00E43DB0" w:rsidRPr="00E43DB0" w:rsidRDefault="00E43DB0" w:rsidP="001B2A4E">
                <w:pPr>
                  <w:pStyle w:val="Akapitzlist"/>
                  <w:numPr>
                    <w:ilvl w:val="0"/>
                    <w:numId w:val="2"/>
                  </w:numPr>
                  <w:rPr>
                    <w:rFonts w:asciiTheme="majorHAnsi" w:hAnsiTheme="majorHAnsi"/>
                    <w:color w:val="000000" w:themeColor="text1"/>
                    <w:szCs w:val="20"/>
                  </w:rPr>
                </w:pPr>
                <w:r w:rsidRPr="00E43DB0">
                  <w:rPr>
                    <w:rFonts w:asciiTheme="majorHAnsi" w:hAnsiTheme="majorHAnsi"/>
                    <w:color w:val="000000" w:themeColor="text1"/>
                    <w:szCs w:val="20"/>
                  </w:rPr>
                  <w:t xml:space="preserve">W analizie kosztów i korzyści dla parkingów </w:t>
                </w:r>
                <w:r w:rsidRPr="00E43DB0">
                  <w:rPr>
                    <w:rFonts w:asciiTheme="majorHAnsi" w:hAnsiTheme="majorHAnsi"/>
                    <w:i/>
                    <w:color w:val="000000" w:themeColor="text1"/>
                    <w:szCs w:val="20"/>
                  </w:rPr>
                  <w:t xml:space="preserve">Park &amp; </w:t>
                </w:r>
                <w:proofErr w:type="spellStart"/>
                <w:r w:rsidRPr="00E43DB0">
                  <w:rPr>
                    <w:rFonts w:asciiTheme="majorHAnsi" w:hAnsiTheme="majorHAnsi"/>
                    <w:i/>
                    <w:color w:val="000000" w:themeColor="text1"/>
                    <w:szCs w:val="20"/>
                  </w:rPr>
                  <w:t>Ride</w:t>
                </w:r>
                <w:proofErr w:type="spellEnd"/>
                <w:r w:rsidRPr="00E43DB0">
                  <w:rPr>
                    <w:rFonts w:asciiTheme="majorHAnsi" w:hAnsiTheme="majorHAnsi"/>
                    <w:color w:val="000000" w:themeColor="text1"/>
                    <w:szCs w:val="20"/>
                  </w:rPr>
                  <w:t xml:space="preserve"> zgodnie z Niebieską Księgą korzyści prywatne dla kierowców (oszczędności zużycia samochodów) dominują nad korzyściami dla ogółu społeczeństwa miejskiego (hałas, wypadki, zanieczyszczenia). </w:t>
                </w:r>
              </w:p>
              <w:p w14:paraId="4145B4D1" w14:textId="4046D2AC" w:rsidR="00E43DB0" w:rsidRPr="00E43DB0" w:rsidRDefault="00E43DB0" w:rsidP="001B2A4E">
                <w:pPr>
                  <w:pStyle w:val="Akapitzlist"/>
                  <w:numPr>
                    <w:ilvl w:val="0"/>
                    <w:numId w:val="2"/>
                  </w:numPr>
                  <w:rPr>
                    <w:rFonts w:asciiTheme="majorHAnsi" w:hAnsiTheme="majorHAnsi"/>
                    <w:color w:val="000000" w:themeColor="text1"/>
                    <w:szCs w:val="20"/>
                  </w:rPr>
                </w:pPr>
                <w:r w:rsidRPr="00E43DB0">
                  <w:rPr>
                    <w:rFonts w:asciiTheme="majorHAnsi" w:hAnsiTheme="majorHAnsi"/>
                    <w:color w:val="000000" w:themeColor="text1"/>
                    <w:szCs w:val="20"/>
                  </w:rPr>
                  <w:t xml:space="preserve">Organizatorom brakuje narzędzi </w:t>
                </w:r>
                <w:r w:rsidR="00DE598F">
                  <w:rPr>
                    <w:rFonts w:asciiTheme="majorHAnsi" w:hAnsiTheme="majorHAnsi"/>
                    <w:color w:val="000000" w:themeColor="text1"/>
                    <w:szCs w:val="20"/>
                  </w:rPr>
                  <w:t xml:space="preserve">do analizy i </w:t>
                </w:r>
                <w:r w:rsidRPr="00E43DB0">
                  <w:rPr>
                    <w:rFonts w:asciiTheme="majorHAnsi" w:hAnsiTheme="majorHAnsi"/>
                    <w:color w:val="000000" w:themeColor="text1"/>
                    <w:szCs w:val="20"/>
                  </w:rPr>
                  <w:t>zarządzania sytuacjami awaryjnymi. Brak też automatyczn</w:t>
                </w:r>
                <w:r w:rsidR="00DC0486">
                  <w:rPr>
                    <w:rFonts w:asciiTheme="majorHAnsi" w:hAnsiTheme="majorHAnsi"/>
                    <w:color w:val="000000" w:themeColor="text1"/>
                    <w:szCs w:val="20"/>
                  </w:rPr>
                  <w:t xml:space="preserve">ego </w:t>
                </w:r>
                <w:r w:rsidRPr="00E43DB0">
                  <w:rPr>
                    <w:rFonts w:asciiTheme="majorHAnsi" w:hAnsiTheme="majorHAnsi"/>
                    <w:color w:val="000000" w:themeColor="text1"/>
                    <w:szCs w:val="20"/>
                  </w:rPr>
                  <w:t xml:space="preserve">powiadamiania pasażerów </w:t>
                </w:r>
                <w:r w:rsidR="00DE598F">
                  <w:rPr>
                    <w:rFonts w:asciiTheme="majorHAnsi" w:hAnsiTheme="majorHAnsi"/>
                    <w:color w:val="000000" w:themeColor="text1"/>
                    <w:szCs w:val="20"/>
                  </w:rPr>
                  <w:t>–</w:t>
                </w:r>
                <w:r w:rsidRPr="00E43DB0">
                  <w:rPr>
                    <w:rFonts w:asciiTheme="majorHAnsi" w:hAnsiTheme="majorHAnsi"/>
                    <w:color w:val="000000" w:themeColor="text1"/>
                    <w:szCs w:val="20"/>
                  </w:rPr>
                  <w:t xml:space="preserve"> </w:t>
                </w:r>
                <w:r w:rsidR="00DE598F">
                  <w:rPr>
                    <w:rFonts w:asciiTheme="majorHAnsi" w:hAnsiTheme="majorHAnsi"/>
                    <w:color w:val="000000" w:themeColor="text1"/>
                    <w:szCs w:val="20"/>
                  </w:rPr>
                  <w:t xml:space="preserve">ponad </w:t>
                </w:r>
                <w:r w:rsidRPr="00E43DB0">
                  <w:rPr>
                    <w:rFonts w:asciiTheme="majorHAnsi" w:hAnsiTheme="majorHAnsi"/>
                    <w:color w:val="000000" w:themeColor="text1"/>
                    <w:szCs w:val="20"/>
                  </w:rPr>
                  <w:t>20% respondentów panelu CAWI oceniło dostępność informacji o awariach jako złą lub bardzo złą</w:t>
                </w:r>
                <w:r>
                  <w:rPr>
                    <w:rFonts w:asciiTheme="majorHAnsi" w:hAnsiTheme="majorHAnsi"/>
                    <w:color w:val="000000" w:themeColor="text1"/>
                    <w:szCs w:val="20"/>
                  </w:rPr>
                  <w:t>.</w:t>
                </w:r>
              </w:p>
              <w:p w14:paraId="4C325901" w14:textId="4F04F7DF" w:rsidR="00314686" w:rsidRPr="00E43DB0" w:rsidRDefault="00E43DB0" w:rsidP="001B2A4E">
                <w:pPr>
                  <w:pStyle w:val="Akapitzlist"/>
                  <w:numPr>
                    <w:ilvl w:val="0"/>
                    <w:numId w:val="2"/>
                  </w:numPr>
                  <w:rPr>
                    <w:rFonts w:asciiTheme="majorHAnsi" w:hAnsiTheme="majorHAnsi"/>
                    <w:color w:val="000000" w:themeColor="text1"/>
                    <w:szCs w:val="20"/>
                  </w:rPr>
                </w:pPr>
                <w:r w:rsidRPr="00E43DB0">
                  <w:rPr>
                    <w:rFonts w:asciiTheme="majorHAnsi" w:hAnsiTheme="majorHAnsi"/>
                    <w:color w:val="000000" w:themeColor="text1"/>
                    <w:szCs w:val="20"/>
                  </w:rPr>
                  <w:t xml:space="preserve">Inwestycje </w:t>
                </w:r>
                <w:r w:rsidR="00A32051">
                  <w:rPr>
                    <w:rFonts w:asciiTheme="majorHAnsi" w:hAnsiTheme="majorHAnsi"/>
                    <w:color w:val="000000" w:themeColor="text1"/>
                    <w:szCs w:val="20"/>
                  </w:rPr>
                  <w:t xml:space="preserve">w </w:t>
                </w:r>
                <w:r w:rsidRPr="00E43DB0">
                  <w:rPr>
                    <w:rFonts w:asciiTheme="majorHAnsi" w:hAnsiTheme="majorHAnsi"/>
                    <w:color w:val="000000" w:themeColor="text1"/>
                    <w:szCs w:val="20"/>
                  </w:rPr>
                  <w:t>infrastruktur</w:t>
                </w:r>
                <w:r w:rsidR="00A32051">
                  <w:rPr>
                    <w:rFonts w:asciiTheme="majorHAnsi" w:hAnsiTheme="majorHAnsi"/>
                    <w:color w:val="000000" w:themeColor="text1"/>
                    <w:szCs w:val="20"/>
                  </w:rPr>
                  <w:t>ę</w:t>
                </w:r>
                <w:r w:rsidRPr="00E43DB0">
                  <w:rPr>
                    <w:rFonts w:asciiTheme="majorHAnsi" w:hAnsiTheme="majorHAnsi"/>
                    <w:color w:val="000000" w:themeColor="text1"/>
                    <w:szCs w:val="20"/>
                  </w:rPr>
                  <w:t xml:space="preserve"> transport</w:t>
                </w:r>
                <w:r w:rsidR="00A32051">
                  <w:rPr>
                    <w:rFonts w:asciiTheme="majorHAnsi" w:hAnsiTheme="majorHAnsi"/>
                    <w:color w:val="000000" w:themeColor="text1"/>
                    <w:szCs w:val="20"/>
                  </w:rPr>
                  <w:t>u</w:t>
                </w:r>
                <w:r w:rsidRPr="00E43DB0">
                  <w:rPr>
                    <w:rFonts w:asciiTheme="majorHAnsi" w:hAnsiTheme="majorHAnsi"/>
                    <w:color w:val="000000" w:themeColor="text1"/>
                    <w:szCs w:val="20"/>
                  </w:rPr>
                  <w:t xml:space="preserve"> miejski</w:t>
                </w:r>
                <w:r w:rsidR="00A32051">
                  <w:rPr>
                    <w:rFonts w:asciiTheme="majorHAnsi" w:hAnsiTheme="majorHAnsi"/>
                    <w:color w:val="000000" w:themeColor="text1"/>
                    <w:szCs w:val="20"/>
                  </w:rPr>
                  <w:t>ego</w:t>
                </w:r>
                <w:r w:rsidRPr="00E43DB0">
                  <w:rPr>
                    <w:rFonts w:asciiTheme="majorHAnsi" w:hAnsiTheme="majorHAnsi"/>
                    <w:color w:val="000000" w:themeColor="text1"/>
                    <w:szCs w:val="20"/>
                  </w:rPr>
                  <w:t xml:space="preserve"> napotykają na szereg utrudnień </w:t>
                </w:r>
                <w:r w:rsidR="00A32051">
                  <w:rPr>
                    <w:rFonts w:asciiTheme="majorHAnsi" w:hAnsiTheme="majorHAnsi"/>
                    <w:color w:val="000000" w:themeColor="text1"/>
                    <w:szCs w:val="20"/>
                  </w:rPr>
                  <w:t>w</w:t>
                </w:r>
                <w:r w:rsidR="00173344">
                  <w:rPr>
                    <w:rFonts w:ascii="Calibri" w:hAnsi="Calibri" w:cs="Calibri"/>
                    <w:color w:val="000000" w:themeColor="text1"/>
                    <w:szCs w:val="20"/>
                  </w:rPr>
                  <w:t> </w:t>
                </w:r>
                <w:r w:rsidR="00A32051">
                  <w:rPr>
                    <w:rFonts w:asciiTheme="majorHAnsi" w:hAnsiTheme="majorHAnsi"/>
                    <w:color w:val="000000" w:themeColor="text1"/>
                    <w:szCs w:val="20"/>
                  </w:rPr>
                  <w:t xml:space="preserve">procesie przygotowawczym. </w:t>
                </w:r>
                <w:r w:rsidRPr="00E43DB0">
                  <w:rPr>
                    <w:rFonts w:asciiTheme="majorHAnsi" w:hAnsiTheme="majorHAnsi"/>
                    <w:color w:val="000000" w:themeColor="text1"/>
                    <w:szCs w:val="20"/>
                  </w:rPr>
                  <w:t xml:space="preserve">Często </w:t>
                </w:r>
                <w:r w:rsidR="00173344">
                  <w:rPr>
                    <w:rFonts w:asciiTheme="majorHAnsi" w:hAnsiTheme="majorHAnsi"/>
                    <w:color w:val="000000" w:themeColor="text1"/>
                    <w:szCs w:val="20"/>
                  </w:rPr>
                  <w:t xml:space="preserve">łączy się je z </w:t>
                </w:r>
                <w:r w:rsidRPr="00E43DB0">
                  <w:rPr>
                    <w:rFonts w:asciiTheme="majorHAnsi" w:hAnsiTheme="majorHAnsi"/>
                    <w:color w:val="000000" w:themeColor="text1"/>
                    <w:szCs w:val="20"/>
                  </w:rPr>
                  <w:t xml:space="preserve">rozwojem </w:t>
                </w:r>
                <w:r w:rsidR="00A32051">
                  <w:rPr>
                    <w:rFonts w:asciiTheme="majorHAnsi" w:hAnsiTheme="majorHAnsi"/>
                    <w:color w:val="000000" w:themeColor="text1"/>
                    <w:szCs w:val="20"/>
                  </w:rPr>
                  <w:t>dróg</w:t>
                </w:r>
                <w:r w:rsidRPr="00E43DB0">
                  <w:rPr>
                    <w:rFonts w:asciiTheme="majorHAnsi" w:hAnsiTheme="majorHAnsi"/>
                    <w:color w:val="000000" w:themeColor="text1"/>
                    <w:szCs w:val="20"/>
                  </w:rPr>
                  <w:t xml:space="preserve">, by </w:t>
                </w:r>
                <w:r w:rsidR="00173344">
                  <w:rPr>
                    <w:rFonts w:asciiTheme="majorHAnsi" w:hAnsiTheme="majorHAnsi"/>
                    <w:color w:val="000000" w:themeColor="text1"/>
                    <w:szCs w:val="20"/>
                  </w:rPr>
                  <w:t xml:space="preserve">szybciej </w:t>
                </w:r>
                <w:r w:rsidRPr="00E43DB0">
                  <w:rPr>
                    <w:rFonts w:asciiTheme="majorHAnsi" w:hAnsiTheme="majorHAnsi"/>
                    <w:color w:val="000000" w:themeColor="text1"/>
                    <w:szCs w:val="20"/>
                  </w:rPr>
                  <w:t>przystąpić do realizacji</w:t>
                </w:r>
                <w:r w:rsidR="00434439">
                  <w:rPr>
                    <w:rFonts w:asciiTheme="majorHAnsi" w:hAnsiTheme="majorHAnsi"/>
                    <w:color w:val="000000" w:themeColor="text1"/>
                    <w:szCs w:val="20"/>
                  </w:rPr>
                  <w:t xml:space="preserve"> inwestycji</w:t>
                </w:r>
                <w:r w:rsidRPr="00E43DB0">
                  <w:rPr>
                    <w:rFonts w:asciiTheme="majorHAnsi" w:hAnsiTheme="majorHAnsi"/>
                    <w:color w:val="000000" w:themeColor="text1"/>
                    <w:szCs w:val="20"/>
                  </w:rPr>
                  <w:t>.</w:t>
                </w:r>
              </w:p>
            </w:tc>
          </w:tr>
          <w:tr w:rsidR="001F3093" w:rsidRPr="001F3093" w14:paraId="4E6E7DB2" w14:textId="77777777" w:rsidTr="00345896">
            <w:tc>
              <w:tcPr>
                <w:tcW w:w="9072" w:type="dxa"/>
                <w:gridSpan w:val="2"/>
                <w:tcBorders>
                  <w:top w:val="single" w:sz="12" w:space="0" w:color="FFC800" w:themeColor="accent2"/>
                </w:tcBorders>
                <w:tcMar>
                  <w:top w:w="0" w:type="dxa"/>
                  <w:left w:w="0" w:type="dxa"/>
                  <w:bottom w:w="0" w:type="dxa"/>
                  <w:right w:w="227" w:type="dxa"/>
                </w:tcMar>
              </w:tcPr>
              <w:p w14:paraId="459CBFF2" w14:textId="19DEB562" w:rsidR="000D6277" w:rsidRPr="00103C73" w:rsidRDefault="000D6277" w:rsidP="00F43F6D">
                <w:pPr>
                  <w:pStyle w:val="Cytat"/>
                  <w:rPr>
                    <w:color w:val="000000" w:themeColor="text1"/>
                    <w:szCs w:val="20"/>
                  </w:rPr>
                </w:pPr>
                <w:r w:rsidRPr="00103C73">
                  <w:rPr>
                    <w:color w:val="000000" w:themeColor="text1"/>
                    <w:szCs w:val="20"/>
                  </w:rPr>
                  <w:lastRenderedPageBreak/>
                  <w:t>Główne rekomendacje</w:t>
                </w:r>
                <w:r w:rsidR="00620323" w:rsidRPr="00103C73">
                  <w:rPr>
                    <w:color w:val="000000" w:themeColor="text1"/>
                    <w:szCs w:val="20"/>
                  </w:rPr>
                  <w:t xml:space="preserve"> </w:t>
                </w:r>
                <w:r w:rsidR="00FA38DF">
                  <w:rPr>
                    <w:color w:val="000000" w:themeColor="text1"/>
                    <w:szCs w:val="20"/>
                  </w:rPr>
                  <w:t>dla ewaluacji VI OP POIiŚ</w:t>
                </w:r>
                <w:r w:rsidR="00620323" w:rsidRPr="00103C73">
                  <w:rPr>
                    <w:color w:val="000000" w:themeColor="text1"/>
                    <w:szCs w:val="20"/>
                  </w:rPr>
                  <w:t>:</w:t>
                </w:r>
              </w:p>
              <w:p w14:paraId="705449D3" w14:textId="77777777" w:rsidR="005F7FCB" w:rsidRPr="005F7FCB" w:rsidRDefault="005F7FCB" w:rsidP="005F7FCB">
                <w:pPr>
                  <w:pStyle w:val="Akapitzlist"/>
                  <w:numPr>
                    <w:ilvl w:val="0"/>
                    <w:numId w:val="36"/>
                  </w:numPr>
                  <w:rPr>
                    <w:rFonts w:asciiTheme="majorHAnsi" w:hAnsiTheme="majorHAnsi"/>
                    <w:color w:val="000000" w:themeColor="text1"/>
                  </w:rPr>
                </w:pPr>
                <w:r w:rsidRPr="005F7FCB">
                  <w:rPr>
                    <w:rFonts w:asciiTheme="majorHAnsi" w:hAnsiTheme="majorHAnsi"/>
                    <w:color w:val="000000" w:themeColor="text1"/>
                  </w:rPr>
                  <w:t>Weryfikacja wpływu inwestycji (np. na liczbę pasażerów) powinna polegać nie na badaniu zmian dotyczących stricte rozważanej inwestycji, a na badaniu zmian sieciowych – wyznaczenie efektu netto przy pomocy metody SPSM lub modelu ruchu.</w:t>
                </w:r>
              </w:p>
              <w:p w14:paraId="364A004B" w14:textId="59B4D559" w:rsidR="005F7FCB" w:rsidRDefault="005C2D5A" w:rsidP="00101AF0">
                <w:pPr>
                  <w:pStyle w:val="Akapitzlist"/>
                  <w:numPr>
                    <w:ilvl w:val="0"/>
                    <w:numId w:val="36"/>
                  </w:numPr>
                  <w:rPr>
                    <w:rFonts w:asciiTheme="majorHAnsi" w:hAnsiTheme="majorHAnsi"/>
                    <w:color w:val="000000" w:themeColor="text1"/>
                  </w:rPr>
                </w:pPr>
                <w:r w:rsidRPr="005F7FCB">
                  <w:rPr>
                    <w:rFonts w:asciiTheme="majorHAnsi" w:hAnsiTheme="majorHAnsi"/>
                    <w:color w:val="000000" w:themeColor="text1"/>
                  </w:rPr>
                  <w:t xml:space="preserve">W ramach badania </w:t>
                </w:r>
                <w:r w:rsidRPr="005F7FCB">
                  <w:rPr>
                    <w:rFonts w:asciiTheme="majorHAnsi" w:hAnsiTheme="majorHAnsi"/>
                    <w:i/>
                    <w:color w:val="000000" w:themeColor="text1"/>
                  </w:rPr>
                  <w:t>ex</w:t>
                </w:r>
                <w:r w:rsidR="00760E00">
                  <w:rPr>
                    <w:rFonts w:asciiTheme="majorHAnsi" w:hAnsiTheme="majorHAnsi"/>
                    <w:i/>
                    <w:color w:val="000000" w:themeColor="text1"/>
                  </w:rPr>
                  <w:t xml:space="preserve"> </w:t>
                </w:r>
                <w:r w:rsidRPr="005F7FCB">
                  <w:rPr>
                    <w:rFonts w:asciiTheme="majorHAnsi" w:hAnsiTheme="majorHAnsi"/>
                    <w:i/>
                    <w:color w:val="000000" w:themeColor="text1"/>
                  </w:rPr>
                  <w:t>post</w:t>
                </w:r>
                <w:r w:rsidRPr="005F7FCB">
                  <w:rPr>
                    <w:rFonts w:asciiTheme="majorHAnsi" w:hAnsiTheme="majorHAnsi"/>
                    <w:color w:val="000000" w:themeColor="text1"/>
                  </w:rPr>
                  <w:t xml:space="preserve"> należy wykonać analizę SPSM dla zoptymalizowanej próby miast. Biorąc jednak pod uwagę ograniczenia zaistniałe w trakcie przeprowadzania panelu CAWI, tj. brak ankietowanych dla poszczególnych miast, proponuje się odrębne oszacowanie efektu netto dla zmiennych pochodzących z panelu CAWI</w:t>
                </w:r>
                <w:r w:rsidR="005F7FCB">
                  <w:rPr>
                    <w:rFonts w:asciiTheme="majorHAnsi" w:hAnsiTheme="majorHAnsi"/>
                    <w:color w:val="000000" w:themeColor="text1"/>
                  </w:rPr>
                  <w:t>.</w:t>
                </w:r>
              </w:p>
              <w:p w14:paraId="09698A22" w14:textId="4968204E" w:rsidR="001052D3" w:rsidRDefault="001052D3" w:rsidP="00101AF0">
                <w:pPr>
                  <w:pStyle w:val="Akapitzlist"/>
                  <w:numPr>
                    <w:ilvl w:val="0"/>
                    <w:numId w:val="36"/>
                  </w:numPr>
                  <w:rPr>
                    <w:rFonts w:asciiTheme="majorHAnsi" w:hAnsiTheme="majorHAnsi"/>
                    <w:color w:val="000000" w:themeColor="text1"/>
                  </w:rPr>
                </w:pPr>
                <w:r w:rsidRPr="001052D3">
                  <w:rPr>
                    <w:rFonts w:asciiTheme="majorHAnsi" w:hAnsiTheme="majorHAnsi"/>
                    <w:color w:val="000000" w:themeColor="text1"/>
                  </w:rPr>
                  <w:t xml:space="preserve">W ramach badania </w:t>
                </w:r>
                <w:r w:rsidRPr="001052D3">
                  <w:rPr>
                    <w:rFonts w:asciiTheme="majorHAnsi" w:hAnsiTheme="majorHAnsi"/>
                    <w:i/>
                    <w:color w:val="000000" w:themeColor="text1"/>
                  </w:rPr>
                  <w:t>ex post</w:t>
                </w:r>
                <w:r w:rsidRPr="001052D3">
                  <w:rPr>
                    <w:rFonts w:asciiTheme="majorHAnsi" w:hAnsiTheme="majorHAnsi"/>
                    <w:color w:val="000000" w:themeColor="text1"/>
                  </w:rPr>
                  <w:t xml:space="preserve"> należy powtórzyć zebranie danych big data do obliczenia prędkości podróży samochodem. Badanie należy przeprowadzić w październiku celem zachowania spójności z niniejszym badaniem.</w:t>
                </w:r>
              </w:p>
              <w:p w14:paraId="4319AB28" w14:textId="4917EF74" w:rsidR="00C81E73" w:rsidRPr="005F7FCB" w:rsidRDefault="00C81E73" w:rsidP="00101AF0">
                <w:pPr>
                  <w:pStyle w:val="Akapitzlist"/>
                  <w:numPr>
                    <w:ilvl w:val="0"/>
                    <w:numId w:val="36"/>
                  </w:numPr>
                  <w:rPr>
                    <w:rFonts w:asciiTheme="majorHAnsi" w:hAnsiTheme="majorHAnsi"/>
                    <w:color w:val="000000" w:themeColor="text1"/>
                  </w:rPr>
                </w:pPr>
                <w:r w:rsidRPr="005F7FCB">
                  <w:rPr>
                    <w:rFonts w:asciiTheme="majorHAnsi" w:hAnsiTheme="majorHAnsi"/>
                    <w:color w:val="000000" w:themeColor="text1"/>
                  </w:rPr>
                  <w:t>W przypadku generalnego osiągnięcia przez projekty w ramach Warszawskiego Obszaru Funkcjonalnego wskaźników monitoringu,</w:t>
                </w:r>
                <w:r w:rsidR="00103C73" w:rsidRPr="005F7FCB">
                  <w:rPr>
                    <w:rFonts w:asciiTheme="majorHAnsi" w:hAnsiTheme="majorHAnsi"/>
                    <w:color w:val="000000" w:themeColor="text1"/>
                  </w:rPr>
                  <w:t xml:space="preserve"> w analizie kosztów i korzyści</w:t>
                </w:r>
                <w:r w:rsidRPr="005F7FCB">
                  <w:rPr>
                    <w:rFonts w:asciiTheme="majorHAnsi" w:hAnsiTheme="majorHAnsi"/>
                    <w:color w:val="000000" w:themeColor="text1"/>
                  </w:rPr>
                  <w:t xml:space="preserve"> wystarczającym elementem badania </w:t>
                </w:r>
                <w:r w:rsidRPr="005F7FCB">
                  <w:rPr>
                    <w:rFonts w:asciiTheme="majorHAnsi" w:hAnsiTheme="majorHAnsi"/>
                    <w:i/>
                    <w:color w:val="000000" w:themeColor="text1"/>
                  </w:rPr>
                  <w:t>ex post</w:t>
                </w:r>
                <w:r w:rsidRPr="005F7FCB">
                  <w:rPr>
                    <w:rFonts w:asciiTheme="majorHAnsi" w:hAnsiTheme="majorHAnsi"/>
                    <w:color w:val="000000" w:themeColor="text1"/>
                  </w:rPr>
                  <w:t xml:space="preserve"> jest analiza danych monitoringowych.</w:t>
                </w:r>
              </w:p>
              <w:p w14:paraId="6B7C007E" w14:textId="24CDEAF9" w:rsidR="005F7FCB" w:rsidRPr="005F7FCB" w:rsidRDefault="005F7FCB" w:rsidP="005F7FCB">
                <w:pPr>
                  <w:pStyle w:val="Akapitzlist"/>
                  <w:numPr>
                    <w:ilvl w:val="0"/>
                    <w:numId w:val="36"/>
                  </w:numPr>
                  <w:rPr>
                    <w:rFonts w:asciiTheme="majorHAnsi" w:hAnsiTheme="majorHAnsi"/>
                    <w:color w:val="000000" w:themeColor="text1"/>
                  </w:rPr>
                </w:pPr>
                <w:r w:rsidRPr="005F7FCB">
                  <w:rPr>
                    <w:rFonts w:asciiTheme="majorHAnsi" w:hAnsiTheme="majorHAnsi"/>
                    <w:color w:val="000000" w:themeColor="text1"/>
                  </w:rPr>
                  <w:t xml:space="preserve">W przypadku uzasadnionych wątpliwości, co do efektywności projektów WOF, w tym znacznego nieosiągnięcia wskaźników monitoringu, konieczne jest rozszerzenie metodyki badania </w:t>
                </w:r>
                <w:r w:rsidRPr="00760E00">
                  <w:rPr>
                    <w:rFonts w:asciiTheme="majorHAnsi" w:hAnsiTheme="majorHAnsi"/>
                    <w:i/>
                    <w:color w:val="000000" w:themeColor="text1"/>
                  </w:rPr>
                  <w:t>ex</w:t>
                </w:r>
                <w:r w:rsidR="00760E00" w:rsidRPr="00760E00">
                  <w:rPr>
                    <w:rFonts w:asciiTheme="majorHAnsi" w:hAnsiTheme="majorHAnsi"/>
                    <w:i/>
                    <w:color w:val="000000" w:themeColor="text1"/>
                  </w:rPr>
                  <w:t xml:space="preserve"> </w:t>
                </w:r>
                <w:r w:rsidRPr="00760E00">
                  <w:rPr>
                    <w:rFonts w:asciiTheme="majorHAnsi" w:hAnsiTheme="majorHAnsi"/>
                    <w:i/>
                    <w:color w:val="000000" w:themeColor="text1"/>
                  </w:rPr>
                  <w:t>post</w:t>
                </w:r>
                <w:r w:rsidRPr="005F7FCB">
                  <w:rPr>
                    <w:rFonts w:asciiTheme="majorHAnsi" w:hAnsiTheme="majorHAnsi"/>
                    <w:color w:val="000000" w:themeColor="text1"/>
                  </w:rPr>
                  <w:t xml:space="preserve"> o modelowanie ruchu i powtórzenie pełnej AKK.</w:t>
                </w:r>
              </w:p>
              <w:p w14:paraId="73E58F21" w14:textId="6C76F0D0" w:rsidR="00C81E73" w:rsidRPr="00103C73" w:rsidRDefault="00C81E73" w:rsidP="001B2A4E">
                <w:pPr>
                  <w:pStyle w:val="Akapitzlist"/>
                  <w:numPr>
                    <w:ilvl w:val="0"/>
                    <w:numId w:val="36"/>
                  </w:numPr>
                  <w:rPr>
                    <w:rFonts w:asciiTheme="majorHAnsi" w:hAnsiTheme="majorHAnsi"/>
                    <w:color w:val="000000" w:themeColor="text1"/>
                  </w:rPr>
                </w:pPr>
                <w:r w:rsidRPr="00103C73">
                  <w:rPr>
                    <w:rFonts w:asciiTheme="majorHAnsi" w:hAnsiTheme="majorHAnsi"/>
                    <w:color w:val="000000" w:themeColor="text1"/>
                  </w:rPr>
                  <w:t xml:space="preserve">W ramach badania </w:t>
                </w:r>
                <w:r w:rsidRPr="00781C79">
                  <w:rPr>
                    <w:rFonts w:asciiTheme="majorHAnsi" w:hAnsiTheme="majorHAnsi"/>
                    <w:i/>
                    <w:color w:val="000000" w:themeColor="text1"/>
                  </w:rPr>
                  <w:t>ex post</w:t>
                </w:r>
                <w:r w:rsidRPr="00103C73">
                  <w:rPr>
                    <w:rFonts w:asciiTheme="majorHAnsi" w:hAnsiTheme="majorHAnsi"/>
                    <w:color w:val="000000" w:themeColor="text1"/>
                  </w:rPr>
                  <w:t xml:space="preserve"> konieczne będzie bazowanie na ogólnodostępnych danych </w:t>
                </w:r>
                <w:proofErr w:type="spellStart"/>
                <w:r w:rsidRPr="00103C73">
                  <w:rPr>
                    <w:rFonts w:asciiTheme="majorHAnsi" w:hAnsiTheme="majorHAnsi"/>
                    <w:color w:val="000000" w:themeColor="text1"/>
                  </w:rPr>
                  <w:t>SEWiK</w:t>
                </w:r>
                <w:proofErr w:type="spellEnd"/>
                <w:r w:rsidRPr="00103C73">
                  <w:rPr>
                    <w:rFonts w:asciiTheme="majorHAnsi" w:hAnsiTheme="majorHAnsi"/>
                    <w:color w:val="000000" w:themeColor="text1"/>
                  </w:rPr>
                  <w:t xml:space="preserve"> oraz GITD w odniesieniu do bezpieczeństwa ruchu drogowego.</w:t>
                </w:r>
              </w:p>
              <w:p w14:paraId="53897E93" w14:textId="48B0E27E" w:rsidR="00C81E73" w:rsidRPr="00103C73" w:rsidRDefault="00C81E73" w:rsidP="001B2A4E">
                <w:pPr>
                  <w:pStyle w:val="Akapitzlist"/>
                  <w:numPr>
                    <w:ilvl w:val="0"/>
                    <w:numId w:val="36"/>
                  </w:numPr>
                  <w:rPr>
                    <w:rFonts w:asciiTheme="majorHAnsi" w:hAnsiTheme="majorHAnsi"/>
                    <w:color w:val="000000" w:themeColor="text1"/>
                  </w:rPr>
                </w:pPr>
                <w:r w:rsidRPr="00103C73">
                  <w:rPr>
                    <w:rFonts w:asciiTheme="majorHAnsi" w:hAnsiTheme="majorHAnsi"/>
                    <w:color w:val="000000" w:themeColor="text1"/>
                  </w:rPr>
                  <w:t>Rekomenduje się przeprowadzanie zapytań do miast o wartości wejściowe wskaźników bezpieczeństwa i płynności ruchu przy okazji kolejnych naborów.</w:t>
                </w:r>
              </w:p>
              <w:p w14:paraId="58B15EA2" w14:textId="6C6006CC" w:rsidR="00620323" w:rsidRPr="00103C73" w:rsidRDefault="00620323" w:rsidP="00620323">
                <w:pPr>
                  <w:pStyle w:val="Cytat"/>
                  <w:rPr>
                    <w:color w:val="000000" w:themeColor="text1"/>
                    <w:szCs w:val="20"/>
                  </w:rPr>
                </w:pPr>
                <w:r w:rsidRPr="00103C73">
                  <w:rPr>
                    <w:color w:val="000000" w:themeColor="text1"/>
                    <w:szCs w:val="20"/>
                  </w:rPr>
                  <w:t xml:space="preserve">Główne rekomendacje </w:t>
                </w:r>
                <w:r w:rsidR="0028672F">
                  <w:rPr>
                    <w:color w:val="000000" w:themeColor="text1"/>
                    <w:szCs w:val="20"/>
                  </w:rPr>
                  <w:t>systemowe</w:t>
                </w:r>
                <w:r w:rsidRPr="00103C73">
                  <w:rPr>
                    <w:color w:val="000000" w:themeColor="text1"/>
                    <w:szCs w:val="20"/>
                  </w:rPr>
                  <w:t>:</w:t>
                </w:r>
              </w:p>
              <w:p w14:paraId="60DA4251" w14:textId="7B9A909E" w:rsidR="00103C73" w:rsidRPr="00103C73" w:rsidRDefault="00103C73" w:rsidP="001B2A4E">
                <w:pPr>
                  <w:pStyle w:val="Akapitzlist"/>
                  <w:numPr>
                    <w:ilvl w:val="0"/>
                    <w:numId w:val="3"/>
                  </w:numPr>
                  <w:rPr>
                    <w:rFonts w:asciiTheme="majorHAnsi" w:hAnsiTheme="majorHAnsi"/>
                    <w:color w:val="000000" w:themeColor="text1"/>
                    <w:szCs w:val="20"/>
                  </w:rPr>
                </w:pPr>
                <w:r w:rsidRPr="00103C73">
                  <w:rPr>
                    <w:rFonts w:asciiTheme="majorHAnsi" w:hAnsiTheme="majorHAnsi"/>
                    <w:color w:val="000000" w:themeColor="text1"/>
                    <w:szCs w:val="20"/>
                  </w:rPr>
                  <w:t xml:space="preserve">Interwencja musi obejmować zwiększanie przepustowości i zasięgu transportu publicznego (a zwłaszcza pracy eksploatacyjnej w godzinach szczytu), a nie dróg. </w:t>
                </w:r>
              </w:p>
              <w:p w14:paraId="302F1516" w14:textId="21C4D835" w:rsidR="00103C73" w:rsidRPr="00103C73" w:rsidRDefault="00103C73" w:rsidP="001B2A4E">
                <w:pPr>
                  <w:pStyle w:val="Akapitzlist"/>
                  <w:numPr>
                    <w:ilvl w:val="0"/>
                    <w:numId w:val="3"/>
                  </w:numPr>
                  <w:rPr>
                    <w:rFonts w:asciiTheme="majorHAnsi" w:hAnsiTheme="majorHAnsi"/>
                    <w:color w:val="000000" w:themeColor="text1"/>
                    <w:szCs w:val="20"/>
                  </w:rPr>
                </w:pPr>
                <w:r w:rsidRPr="00103C73">
                  <w:rPr>
                    <w:rFonts w:asciiTheme="majorHAnsi" w:hAnsiTheme="majorHAnsi"/>
                    <w:color w:val="000000" w:themeColor="text1"/>
                    <w:szCs w:val="20"/>
                  </w:rPr>
                  <w:t>Inwestycje powinny skupiać się na rozwiązaniach energooszczędnych, obniżających bieżący koszt eksploatacji systemu transportowego (ITS</w:t>
                </w:r>
                <w:r w:rsidR="00DE598F">
                  <w:rPr>
                    <w:rFonts w:asciiTheme="majorHAnsi" w:hAnsiTheme="majorHAnsi"/>
                    <w:color w:val="000000" w:themeColor="text1"/>
                    <w:szCs w:val="20"/>
                  </w:rPr>
                  <w:t xml:space="preserve"> i</w:t>
                </w:r>
                <w:r w:rsidRPr="00103C73">
                  <w:rPr>
                    <w:rFonts w:asciiTheme="majorHAnsi" w:hAnsiTheme="majorHAnsi"/>
                    <w:color w:val="000000" w:themeColor="text1"/>
                    <w:szCs w:val="20"/>
                  </w:rPr>
                  <w:t xml:space="preserve"> napędy alternatywne).</w:t>
                </w:r>
              </w:p>
              <w:p w14:paraId="187685C0" w14:textId="77777777" w:rsidR="00103C73" w:rsidRPr="00103C73" w:rsidRDefault="00103C73" w:rsidP="001B2A4E">
                <w:pPr>
                  <w:pStyle w:val="Akapitzlist"/>
                  <w:numPr>
                    <w:ilvl w:val="0"/>
                    <w:numId w:val="3"/>
                  </w:numPr>
                  <w:rPr>
                    <w:rFonts w:asciiTheme="majorHAnsi" w:hAnsiTheme="majorHAnsi"/>
                    <w:color w:val="000000" w:themeColor="text1"/>
                    <w:szCs w:val="20"/>
                  </w:rPr>
                </w:pPr>
                <w:r w:rsidRPr="00103C73">
                  <w:rPr>
                    <w:rFonts w:asciiTheme="majorHAnsi" w:hAnsiTheme="majorHAnsi"/>
                    <w:color w:val="000000" w:themeColor="text1"/>
                    <w:szCs w:val="20"/>
                  </w:rPr>
                  <w:t>Uzasadnione jest utrzymanie przewagi inwestycji infrastrukturalnych nad taborowymi, ze względu na większe zapóźnienie w dostosowaniu tych elementów do obsługi wszystkich użytkowników transportu publicznego.</w:t>
                </w:r>
              </w:p>
              <w:p w14:paraId="15F5E0A2" w14:textId="005DA437" w:rsidR="00103C73" w:rsidRPr="00103C73" w:rsidRDefault="00103C73" w:rsidP="001B2A4E">
                <w:pPr>
                  <w:pStyle w:val="Akapitzlist"/>
                  <w:numPr>
                    <w:ilvl w:val="0"/>
                    <w:numId w:val="3"/>
                  </w:numPr>
                  <w:rPr>
                    <w:rFonts w:asciiTheme="majorHAnsi" w:hAnsiTheme="majorHAnsi"/>
                    <w:color w:val="000000" w:themeColor="text1"/>
                    <w:szCs w:val="20"/>
                  </w:rPr>
                </w:pPr>
                <w:r w:rsidRPr="00103C73">
                  <w:rPr>
                    <w:rFonts w:asciiTheme="majorHAnsi" w:hAnsiTheme="majorHAnsi"/>
                    <w:color w:val="000000" w:themeColor="text1"/>
                    <w:szCs w:val="20"/>
                  </w:rPr>
                  <w:t>Inwestycje powinny obejmować całość infrastruktury drogowej, skupiając się na jej funkcji dla pasażerów transportu publicznego i niezmotoryzowan</w:t>
                </w:r>
                <w:r w:rsidR="00DE598F">
                  <w:rPr>
                    <w:rFonts w:asciiTheme="majorHAnsi" w:hAnsiTheme="majorHAnsi"/>
                    <w:color w:val="000000" w:themeColor="text1"/>
                    <w:szCs w:val="20"/>
                  </w:rPr>
                  <w:t>ych użytkowników</w:t>
                </w:r>
                <w:r w:rsidRPr="00103C73">
                  <w:rPr>
                    <w:rFonts w:asciiTheme="majorHAnsi" w:hAnsiTheme="majorHAnsi"/>
                    <w:color w:val="000000" w:themeColor="text1"/>
                    <w:szCs w:val="20"/>
                  </w:rPr>
                  <w:t>.</w:t>
                </w:r>
              </w:p>
              <w:p w14:paraId="09E72B5D" w14:textId="03FB3F9B" w:rsidR="00103C73" w:rsidRPr="00CC545D" w:rsidRDefault="00103C73" w:rsidP="001B2A4E">
                <w:pPr>
                  <w:pStyle w:val="Akapitzlist"/>
                  <w:numPr>
                    <w:ilvl w:val="0"/>
                    <w:numId w:val="3"/>
                  </w:numPr>
                  <w:rPr>
                    <w:rFonts w:asciiTheme="majorHAnsi" w:hAnsiTheme="majorHAnsi"/>
                    <w:color w:val="000000" w:themeColor="text1"/>
                    <w:szCs w:val="20"/>
                  </w:rPr>
                </w:pPr>
                <w:r w:rsidRPr="00103C73">
                  <w:rPr>
                    <w:rFonts w:asciiTheme="majorHAnsi" w:hAnsiTheme="majorHAnsi"/>
                    <w:color w:val="000000" w:themeColor="text1"/>
                    <w:szCs w:val="20"/>
                  </w:rPr>
                  <w:t xml:space="preserve">Należy zmodyfikować zapisy Niebieskiej Księgi i w AKK w przypadku użytkowników systemów </w:t>
                </w:r>
                <w:r w:rsidRPr="005D1783">
                  <w:rPr>
                    <w:rFonts w:asciiTheme="majorHAnsi" w:hAnsiTheme="majorHAnsi"/>
                    <w:i/>
                    <w:color w:val="000000" w:themeColor="text1"/>
                    <w:szCs w:val="20"/>
                  </w:rPr>
                  <w:t xml:space="preserve">Park &amp; </w:t>
                </w:r>
                <w:proofErr w:type="spellStart"/>
                <w:r w:rsidRPr="005D1783">
                  <w:rPr>
                    <w:rFonts w:asciiTheme="majorHAnsi" w:hAnsiTheme="majorHAnsi"/>
                    <w:i/>
                    <w:color w:val="000000" w:themeColor="text1"/>
                    <w:szCs w:val="20"/>
                  </w:rPr>
                  <w:t>Ride</w:t>
                </w:r>
                <w:proofErr w:type="spellEnd"/>
                <w:r w:rsidRPr="00103C73">
                  <w:rPr>
                    <w:rFonts w:asciiTheme="majorHAnsi" w:hAnsiTheme="majorHAnsi"/>
                    <w:color w:val="000000" w:themeColor="text1"/>
                    <w:szCs w:val="20"/>
                  </w:rPr>
                  <w:t xml:space="preserve"> uwzględniać wyłącznie krańcowy koszt zużycia samochodu w</w:t>
                </w:r>
                <w:r w:rsidR="00DE598F">
                  <w:rPr>
                    <w:rFonts w:ascii="Calibri" w:hAnsi="Calibri" w:cs="Calibri"/>
                    <w:color w:val="000000" w:themeColor="text1"/>
                    <w:szCs w:val="20"/>
                  </w:rPr>
                  <w:t> </w:t>
                </w:r>
                <w:r w:rsidRPr="00CC545D">
                  <w:rPr>
                    <w:rFonts w:asciiTheme="majorHAnsi" w:hAnsiTheme="majorHAnsi"/>
                    <w:color w:val="000000" w:themeColor="text1"/>
                    <w:szCs w:val="20"/>
                  </w:rPr>
                  <w:t>przeliczeniu na kilometr.</w:t>
                </w:r>
              </w:p>
              <w:p w14:paraId="785E4AF1" w14:textId="77777777" w:rsidR="005F7FCB" w:rsidRPr="005F7FCB" w:rsidRDefault="00103C73" w:rsidP="005F7FCB">
                <w:pPr>
                  <w:pStyle w:val="Akapitzlist"/>
                  <w:numPr>
                    <w:ilvl w:val="0"/>
                    <w:numId w:val="3"/>
                  </w:numPr>
                  <w:rPr>
                    <w:rFonts w:asciiTheme="majorHAnsi" w:hAnsiTheme="majorHAnsi"/>
                    <w:color w:val="000000" w:themeColor="text1"/>
                    <w:szCs w:val="20"/>
                  </w:rPr>
                </w:pPr>
                <w:r w:rsidRPr="005F7FCB">
                  <w:rPr>
                    <w:rFonts w:asciiTheme="majorHAnsi" w:hAnsiTheme="majorHAnsi"/>
                    <w:color w:val="000000" w:themeColor="text1"/>
                    <w:szCs w:val="20"/>
                  </w:rPr>
                  <w:t xml:space="preserve">Organizatorzy powinni zarządzać jakością obsługi sytuacji awaryjnych, przy wsparciu rozwiązań ITS (np. hurtownie danych, bazy analityczne). </w:t>
                </w:r>
                <w:r w:rsidR="005F7FCB" w:rsidRPr="005F7FCB">
                  <w:rPr>
                    <w:rFonts w:asciiTheme="majorHAnsi" w:hAnsiTheme="majorHAnsi"/>
                    <w:color w:val="000000" w:themeColor="text1"/>
                    <w:szCs w:val="20"/>
                  </w:rPr>
                  <w:t>Należy budować systemy informacji awaryjnej, które naprawdę działają.</w:t>
                </w:r>
              </w:p>
              <w:p w14:paraId="2597DFB9" w14:textId="2ED44F5C" w:rsidR="005F7AFF" w:rsidRPr="00CC545D" w:rsidRDefault="00CC545D" w:rsidP="001B2A4E">
                <w:pPr>
                  <w:pStyle w:val="Akapitzlist"/>
                  <w:numPr>
                    <w:ilvl w:val="0"/>
                    <w:numId w:val="3"/>
                  </w:numPr>
                  <w:rPr>
                    <w:rFonts w:asciiTheme="majorHAnsi" w:hAnsiTheme="majorHAnsi"/>
                    <w:color w:val="000000" w:themeColor="text1"/>
                    <w:szCs w:val="20"/>
                  </w:rPr>
                </w:pPr>
                <w:r w:rsidRPr="00CC545D">
                  <w:rPr>
                    <w:rFonts w:asciiTheme="majorHAnsi" w:hAnsiTheme="majorHAnsi"/>
                    <w:color w:val="000000" w:themeColor="text1"/>
                    <w:szCs w:val="20"/>
                  </w:rPr>
                  <w:t>Te same procedury inwestycyjne powinny być stosowane dla infrastruktury dowolnej gałęzi transportu – by móc realizować w odosobnieniu inwestycje tramwajowe, drogowe, rowerowe, a nawet piesze na tych samych zasadach, a nie z</w:t>
                </w:r>
                <w:r w:rsidR="00DE598F">
                  <w:rPr>
                    <w:rFonts w:ascii="Calibri" w:hAnsi="Calibri" w:cs="Calibri"/>
                    <w:color w:val="000000" w:themeColor="text1"/>
                    <w:szCs w:val="20"/>
                  </w:rPr>
                  <w:t> </w:t>
                </w:r>
                <w:r w:rsidRPr="00CC545D">
                  <w:rPr>
                    <w:rFonts w:asciiTheme="majorHAnsi" w:hAnsiTheme="majorHAnsi"/>
                    <w:color w:val="000000" w:themeColor="text1"/>
                    <w:szCs w:val="20"/>
                  </w:rPr>
                  <w:t>korzyścią jednej procedury względem innych.</w:t>
                </w:r>
              </w:p>
            </w:tc>
          </w:tr>
        </w:tbl>
        <w:bookmarkEnd w:id="5"/>
        <w:p w14:paraId="2489801E" w14:textId="6DC83415" w:rsidR="00DE598F" w:rsidRPr="007F14BF" w:rsidRDefault="00DE598F" w:rsidP="00DE598F">
          <w:pPr>
            <w:ind w:right="-1"/>
          </w:pPr>
          <w:r w:rsidRPr="007F14BF">
            <w:lastRenderedPageBreak/>
            <w:t xml:space="preserve">Celem badania </w:t>
          </w:r>
          <w:r>
            <w:t>było</w:t>
          </w:r>
          <w:r w:rsidRPr="007F14BF">
            <w:t xml:space="preserve"> wypracowanie metodyki pomiaru wskaźników oraz stworzenie bazy danych wejściowych, wraz z utrwaleniem i uzupełnieniem bazy danych o transporcie z badania pilotażowego, do oceny wpływu działań podejmowanych w ramach VI osi priorytetowej POIiŚ 2014-2020 na poprawę:</w:t>
          </w:r>
        </w:p>
        <w:p w14:paraId="4A04C974" w14:textId="77777777" w:rsidR="00DE598F" w:rsidRPr="007F14BF" w:rsidRDefault="00DE598F" w:rsidP="001B2A4E">
          <w:pPr>
            <w:pStyle w:val="Akapitzlist"/>
            <w:numPr>
              <w:ilvl w:val="0"/>
              <w:numId w:val="8"/>
            </w:numPr>
            <w:ind w:right="375"/>
          </w:pPr>
          <w:r w:rsidRPr="007F14BF">
            <w:t>płynności ruchu</w:t>
          </w:r>
          <w:r>
            <w:t>.</w:t>
          </w:r>
          <w:r w:rsidRPr="007F14BF">
            <w:t xml:space="preserve"> </w:t>
          </w:r>
        </w:p>
        <w:p w14:paraId="34B136B7" w14:textId="77777777" w:rsidR="00DE598F" w:rsidRPr="007F14BF" w:rsidRDefault="00DE598F" w:rsidP="001B2A4E">
          <w:pPr>
            <w:pStyle w:val="Akapitzlist"/>
            <w:numPr>
              <w:ilvl w:val="0"/>
              <w:numId w:val="8"/>
            </w:numPr>
            <w:ind w:right="375"/>
          </w:pPr>
          <w:r w:rsidRPr="007F14BF">
            <w:t>bezpieczeństwa ruchu</w:t>
          </w:r>
          <w:r>
            <w:t>,</w:t>
          </w:r>
          <w:r w:rsidRPr="007F14BF">
            <w:t xml:space="preserve"> </w:t>
          </w:r>
        </w:p>
        <w:p w14:paraId="0D8CE094" w14:textId="77777777" w:rsidR="00DE598F" w:rsidRPr="007F14BF" w:rsidRDefault="00DE598F" w:rsidP="001B2A4E">
          <w:pPr>
            <w:pStyle w:val="Akapitzlist"/>
            <w:numPr>
              <w:ilvl w:val="0"/>
              <w:numId w:val="8"/>
            </w:numPr>
            <w:ind w:right="375"/>
          </w:pPr>
          <w:r w:rsidRPr="007F14BF">
            <w:t>integracj</w:t>
          </w:r>
          <w:r>
            <w:t>i</w:t>
          </w:r>
          <w:r w:rsidRPr="007F14BF">
            <w:t xml:space="preserve"> systemów transportowych w miastach</w:t>
          </w:r>
          <w:r>
            <w:t>,</w:t>
          </w:r>
          <w:r w:rsidRPr="007F14BF">
            <w:t xml:space="preserve"> </w:t>
          </w:r>
        </w:p>
        <w:p w14:paraId="709035ED" w14:textId="6771ACB9" w:rsidR="00DE598F" w:rsidRDefault="00DE598F" w:rsidP="001B2A4E">
          <w:pPr>
            <w:pStyle w:val="Akapitzlist"/>
            <w:numPr>
              <w:ilvl w:val="0"/>
              <w:numId w:val="8"/>
            </w:numPr>
            <w:ind w:right="375"/>
          </w:pPr>
          <w:r w:rsidRPr="007F14BF">
            <w:t>wykorzystania transportu miejskiego (podział zadań przewozowych).</w:t>
          </w:r>
        </w:p>
        <w:p w14:paraId="0EFC1724" w14:textId="51A43D61" w:rsidR="00DE598F" w:rsidRDefault="00DE598F" w:rsidP="00DE598F">
          <w:pPr>
            <w:ind w:right="375"/>
          </w:pPr>
          <w:bookmarkStart w:id="7" w:name="_Hlk25242895"/>
          <w:r>
            <w:t>Metodyka badania obejmowała m.in.:</w:t>
          </w:r>
        </w:p>
        <w:bookmarkEnd w:id="7"/>
        <w:p w14:paraId="6E4A99C2" w14:textId="77777777" w:rsidR="0059034B" w:rsidRDefault="0059034B" w:rsidP="001B2A4E">
          <w:pPr>
            <w:pStyle w:val="Akapitzlist"/>
            <w:numPr>
              <w:ilvl w:val="0"/>
              <w:numId w:val="37"/>
            </w:numPr>
            <w:ind w:right="-1"/>
          </w:pPr>
          <w:r>
            <w:t>13 wywiadów wśród organizatorów lub operatorów komunikacji miejskiej w miastach wojewódzkich POIiŚ 2014-2020,</w:t>
          </w:r>
        </w:p>
        <w:p w14:paraId="6B70E608" w14:textId="77777777" w:rsidR="0059034B" w:rsidRDefault="0059034B" w:rsidP="001B2A4E">
          <w:pPr>
            <w:pStyle w:val="Akapitzlist"/>
            <w:numPr>
              <w:ilvl w:val="0"/>
              <w:numId w:val="37"/>
            </w:numPr>
            <w:ind w:right="-1"/>
          </w:pPr>
          <w:r>
            <w:t>badania ankietowe organizatorów i operatorów publicznego transportu zbiorowego w 50 miastach i ich obszarach funkcjonalnych,</w:t>
          </w:r>
        </w:p>
        <w:p w14:paraId="172516C4" w14:textId="534EAA8A" w:rsidR="0059034B" w:rsidRDefault="0059034B" w:rsidP="001B2A4E">
          <w:pPr>
            <w:pStyle w:val="Akapitzlist"/>
            <w:numPr>
              <w:ilvl w:val="0"/>
              <w:numId w:val="37"/>
            </w:numPr>
            <w:ind w:right="-1"/>
          </w:pPr>
          <w:r>
            <w:t xml:space="preserve">analizę </w:t>
          </w:r>
          <w:r w:rsidR="00AE21D2" w:rsidRPr="00AE21D2">
            <w:rPr>
              <w:i/>
            </w:rPr>
            <w:t>b</w:t>
          </w:r>
          <w:r w:rsidRPr="00AE21D2">
            <w:rPr>
              <w:i/>
            </w:rPr>
            <w:t xml:space="preserve">ig </w:t>
          </w:r>
          <w:r w:rsidR="00AE21D2" w:rsidRPr="00AE21D2">
            <w:rPr>
              <w:i/>
            </w:rPr>
            <w:t>d</w:t>
          </w:r>
          <w:r w:rsidRPr="00AE21D2">
            <w:rPr>
              <w:i/>
            </w:rPr>
            <w:t>ata</w:t>
          </w:r>
          <w:r>
            <w:t xml:space="preserve"> czasów przejazdu transportem indywidualnym i publicznym dla 155 relacji w</w:t>
          </w:r>
          <w:r w:rsidR="00BC3D69">
            <w:t> </w:t>
          </w:r>
          <w:r>
            <w:t>13</w:t>
          </w:r>
          <w:r w:rsidR="00BC3D69">
            <w:t> </w:t>
          </w:r>
          <w:r>
            <w:t>miastach wojewódzkich i ich obszarach funkcjonalnych</w:t>
          </w:r>
          <w:r w:rsidR="00173344">
            <w:t xml:space="preserve"> – pomiar w październiku 2019,</w:t>
          </w:r>
        </w:p>
        <w:p w14:paraId="71D2E34B" w14:textId="77777777" w:rsidR="0059034B" w:rsidRDefault="0059034B" w:rsidP="001B2A4E">
          <w:pPr>
            <w:pStyle w:val="Akapitzlist"/>
            <w:numPr>
              <w:ilvl w:val="0"/>
              <w:numId w:val="37"/>
            </w:numPr>
            <w:ind w:right="-1"/>
          </w:pPr>
          <w:r>
            <w:t>8 wizji lokalnych węzłów przesiadkowych: 6 poddawanych interwencji POIiŚ i 2 niepoddanych interwencji,</w:t>
          </w:r>
        </w:p>
        <w:p w14:paraId="14D35FE1" w14:textId="77777777" w:rsidR="0059034B" w:rsidRDefault="0059034B" w:rsidP="001B2A4E">
          <w:pPr>
            <w:pStyle w:val="Akapitzlist"/>
            <w:numPr>
              <w:ilvl w:val="0"/>
              <w:numId w:val="37"/>
            </w:numPr>
            <w:ind w:right="-1"/>
          </w:pPr>
          <w:r>
            <w:t>panel CAWI na próbie 4001 mieszkańców 20 miast POIiŚ oraz kontrfaktycznych,</w:t>
          </w:r>
        </w:p>
        <w:p w14:paraId="5D1AC92B" w14:textId="4F47C762" w:rsidR="0059034B" w:rsidRDefault="0059034B" w:rsidP="001B2A4E">
          <w:pPr>
            <w:pStyle w:val="Akapitzlist"/>
            <w:numPr>
              <w:ilvl w:val="0"/>
              <w:numId w:val="37"/>
            </w:numPr>
            <w:ind w:right="-1"/>
          </w:pPr>
          <w:r>
            <w:t>analizę efektu netto oddziaływania transportowego i społecznego inwestycji w transport zbiorowy na próbie 23 miast wojewódzkich i subregionalnych metodą SPSM (</w:t>
          </w:r>
          <w:proofErr w:type="spellStart"/>
          <w:r w:rsidRPr="000A2215">
            <w:rPr>
              <w:i/>
            </w:rPr>
            <w:t>Stratified</w:t>
          </w:r>
          <w:proofErr w:type="spellEnd"/>
          <w:r w:rsidRPr="000A2215">
            <w:rPr>
              <w:i/>
            </w:rPr>
            <w:t xml:space="preserve"> </w:t>
          </w:r>
          <w:proofErr w:type="spellStart"/>
          <w:r w:rsidRPr="000A2215">
            <w:rPr>
              <w:i/>
            </w:rPr>
            <w:t>Propensity</w:t>
          </w:r>
          <w:proofErr w:type="spellEnd"/>
          <w:r w:rsidRPr="000A2215">
            <w:rPr>
              <w:i/>
            </w:rPr>
            <w:t xml:space="preserve"> </w:t>
          </w:r>
          <w:proofErr w:type="spellStart"/>
          <w:r w:rsidRPr="000A2215">
            <w:rPr>
              <w:i/>
            </w:rPr>
            <w:t>Score</w:t>
          </w:r>
          <w:proofErr w:type="spellEnd"/>
          <w:r w:rsidRPr="000A2215">
            <w:rPr>
              <w:i/>
            </w:rPr>
            <w:t xml:space="preserve"> </w:t>
          </w:r>
          <w:proofErr w:type="spellStart"/>
          <w:r w:rsidRPr="000A2215">
            <w:rPr>
              <w:i/>
            </w:rPr>
            <w:t>Matching</w:t>
          </w:r>
          <w:proofErr w:type="spellEnd"/>
          <w:r>
            <w:t>),</w:t>
          </w:r>
        </w:p>
        <w:p w14:paraId="24D39F43" w14:textId="67A46031" w:rsidR="00DE598F" w:rsidRDefault="0059034B" w:rsidP="001B2A4E">
          <w:pPr>
            <w:pStyle w:val="Akapitzlist"/>
            <w:numPr>
              <w:ilvl w:val="0"/>
              <w:numId w:val="37"/>
            </w:numPr>
            <w:ind w:right="-1"/>
          </w:pPr>
          <w:r>
            <w:t xml:space="preserve">weryfikację analizy kosztów i korzyści dla projektów Warszawskiego Obszaru Funkcjonalnego, a w szczególności dla budowy parkingów </w:t>
          </w:r>
          <w:r w:rsidRPr="000A2215">
            <w:rPr>
              <w:i/>
            </w:rPr>
            <w:t xml:space="preserve">Park &amp; </w:t>
          </w:r>
          <w:proofErr w:type="spellStart"/>
          <w:r w:rsidRPr="000A2215">
            <w:rPr>
              <w:i/>
            </w:rPr>
            <w:t>Ride</w:t>
          </w:r>
          <w:proofErr w:type="spellEnd"/>
          <w:r>
            <w:t>.</w:t>
          </w:r>
        </w:p>
        <w:p w14:paraId="280B3562" w14:textId="1DA1E77A" w:rsidR="0059034B" w:rsidRDefault="0059034B" w:rsidP="0059034B">
          <w:pPr>
            <w:ind w:right="-1"/>
          </w:pPr>
          <w:r w:rsidRPr="0059034B">
            <w:t>Produkty badania obejmują:</w:t>
          </w:r>
        </w:p>
        <w:p w14:paraId="1A163716" w14:textId="59A2B119" w:rsidR="0059034B" w:rsidRDefault="0059034B" w:rsidP="001B2A4E">
          <w:pPr>
            <w:pStyle w:val="Akapitzlist"/>
            <w:numPr>
              <w:ilvl w:val="0"/>
              <w:numId w:val="38"/>
            </w:numPr>
            <w:ind w:right="-1"/>
          </w:pPr>
          <w:r>
            <w:t>bazę danych czasów przejazdu transportu indywidualnego i publicznego (czas rozkładowy i</w:t>
          </w:r>
          <w:r w:rsidR="00FA38DF">
            <w:t xml:space="preserve"> częściowo </w:t>
          </w:r>
          <w:r>
            <w:t xml:space="preserve">rzeczywisty z ITS) dla 155 wzorcowych relacji w 13 obszarach funkcjonalnych miast wojewódzkich, wraz ze skryptem odpytywania API Google </w:t>
          </w:r>
          <w:proofErr w:type="spellStart"/>
          <w:r>
            <w:t>Maps</w:t>
          </w:r>
          <w:proofErr w:type="spellEnd"/>
          <w:r>
            <w:t>,</w:t>
          </w:r>
        </w:p>
        <w:p w14:paraId="614C0495" w14:textId="77926DF7" w:rsidR="0059034B" w:rsidRDefault="0059034B" w:rsidP="001B2A4E">
          <w:pPr>
            <w:pStyle w:val="Akapitzlist"/>
            <w:numPr>
              <w:ilvl w:val="0"/>
              <w:numId w:val="38"/>
            </w:numPr>
            <w:ind w:right="-1"/>
          </w:pPr>
          <w:r>
            <w:t>zaktualizowaną bazę danych z badania pilotażowego zawierającą najważniejsze informacje o</w:t>
          </w:r>
          <w:r w:rsidR="00FA38DF">
            <w:t> </w:t>
          </w:r>
          <w:r>
            <w:t>systemach komunikacji miejskiej, infrastrukturze transportowej i inwestycjach w nią oraz wskaźniki opisujące ruch drogowy, sytuację społeczno-gospodarczą i inne istotne z punktu widzenia badania wskaźniki,</w:t>
          </w:r>
        </w:p>
        <w:p w14:paraId="3C58ADCF" w14:textId="77777777" w:rsidR="0059034B" w:rsidRDefault="0059034B" w:rsidP="001B2A4E">
          <w:pPr>
            <w:pStyle w:val="Akapitzlist"/>
            <w:numPr>
              <w:ilvl w:val="0"/>
              <w:numId w:val="38"/>
            </w:numPr>
            <w:ind w:right="-1"/>
          </w:pPr>
          <w:r>
            <w:t>8 studiów przypadku węzłów przesiadkowych wraz z wielokryterialną ich oceną oraz dokumentację fotograficzną,</w:t>
          </w:r>
        </w:p>
        <w:p w14:paraId="3110A455" w14:textId="2CA95161" w:rsidR="0059034B" w:rsidRDefault="0059034B" w:rsidP="001B2A4E">
          <w:pPr>
            <w:pStyle w:val="Akapitzlist"/>
            <w:numPr>
              <w:ilvl w:val="0"/>
              <w:numId w:val="38"/>
            </w:numPr>
            <w:ind w:right="-1"/>
          </w:pPr>
          <w:r>
            <w:t>baza danych panelu CAWI, dotyczących zachowa</w:t>
          </w:r>
          <w:r w:rsidR="006F636E">
            <w:t>ń</w:t>
          </w:r>
          <w:r>
            <w:t xml:space="preserve"> i preferencji transportowych mieszkańców badanych miast oraz kwestionariusz, na podstawie którego została ona utworzona,</w:t>
          </w:r>
        </w:p>
        <w:p w14:paraId="667D2B51" w14:textId="77777777" w:rsidR="0059034B" w:rsidRDefault="0059034B" w:rsidP="001B2A4E">
          <w:pPr>
            <w:pStyle w:val="Akapitzlist"/>
            <w:numPr>
              <w:ilvl w:val="0"/>
              <w:numId w:val="38"/>
            </w:numPr>
            <w:ind w:right="-1"/>
          </w:pPr>
          <w:r>
            <w:t>dane wektorowe lokalizacji inwestycji VI OP POIiŚ oraz niedoborów przepustowości infrastruktury drogowej i transportu publicznego.</w:t>
          </w:r>
        </w:p>
        <w:p w14:paraId="623BCA4E" w14:textId="31FA663C" w:rsidR="00B02093" w:rsidRDefault="00B02093" w:rsidP="00B02093">
          <w:pPr>
            <w:ind w:right="-1"/>
          </w:pPr>
          <w:r>
            <w:t xml:space="preserve">Interwencje POIiŚ 2014-2020 zaplanowano adekwatnie do wielkości ośrodków, w których </w:t>
          </w:r>
          <w:r w:rsidR="00FE3B8F">
            <w:t>są one realizowane</w:t>
          </w:r>
          <w:r>
            <w:t xml:space="preserve">. Pod względem wartości największe projekty </w:t>
          </w:r>
          <w:r w:rsidR="00FE3B8F">
            <w:t>prowadzone</w:t>
          </w:r>
          <w:r>
            <w:t xml:space="preserve"> są w Warszawie (łączna wartość prawie 9 mld zł), a pod względem liczby projektów – na terenie Górnośląsko-Zagłębiowskiej Metropolii (8 projektów + Jaworzno), co odpowiada roli i specyfice tych ośrodków. Sumaryczna wartość wszystkich projektów POIiŚ 2014-2020 wynosi 17,2 mld zł.</w:t>
          </w:r>
        </w:p>
        <w:p w14:paraId="2ACCF6AB" w14:textId="4C5A3C02" w:rsidR="00B02093" w:rsidRDefault="00B02093" w:rsidP="00B02093">
          <w:pPr>
            <w:ind w:right="-1"/>
          </w:pPr>
          <w:r>
            <w:lastRenderedPageBreak/>
            <w:t>Większość miast objętych badaniem dysponuje już systemami teleinformatycznymi (ITS) służącymi do monitoringu ruchu pojazdów transportu publicznego. Kompleksowych rozwiązań brakuje jeszcze w Gorzowie Wielkopolskim, Krakowie i Toruniu (ruch autobusowy), jednak zostaną one wdrożone w tej perspektywie wydatkowania środków unijnych. W niektórych przypadkach (Łódź, Poznań, Wrocław) – systemami nie są jeszcze objęci wszyscy operatorzy komunikacji autobusowej, szczególnie dotyczy to przewoźników obsługujących połączenia podmiejskie.</w:t>
          </w:r>
        </w:p>
        <w:p w14:paraId="394D83DB" w14:textId="3B0DDC89" w:rsidR="00B02093" w:rsidRDefault="00B02093" w:rsidP="00B02093">
          <w:r>
            <w:t xml:space="preserve">Zaktualizowana baza danych dostarcza informacji o 50 miastach, w tym o miastach wojewódzkich i ich obszarach funkcjonalnych, miastach </w:t>
          </w:r>
          <w:r w:rsidR="00412F18">
            <w:t xml:space="preserve">regionalnych </w:t>
          </w:r>
          <w:r>
            <w:t>i ich obszarach funkcjonalnych oraz dodatkowo innych wybranych miastach. Informacje w niej zawarte dotyczą funkcjonowania transportu publicznego, stref parkingowych, dróg rowerowych, stref uspokojonego ruchu, stref pieszych oraz planowanych działań dotyczących wprowadzenia strefy ograniczonej emisji. Zgromadzone dane dotyczą lat 2009, 2016 i 2017.</w:t>
          </w:r>
        </w:p>
        <w:p w14:paraId="141FB9EB" w14:textId="5C9225E3" w:rsidR="00B02093" w:rsidRDefault="00B02093" w:rsidP="00B02093">
          <w:pPr>
            <w:ind w:right="-1"/>
          </w:pPr>
          <w:r>
            <w:t>W panelu CAWI udało się uzyskać obraz dnia codziennego podróży mieszkańców, w którym największ</w:t>
          </w:r>
          <w:r w:rsidR="006F636E">
            <w:t xml:space="preserve">y udział </w:t>
          </w:r>
          <w:r>
            <w:t xml:space="preserve">ma transport indywidualny samochodem (54%) oraz komunikacją miejską (29%). Udział podróży komunikacją miejską rośnie, a samochodem maleje wraz ze wzrostem liczby mieszkańców miasta. Wynik szczególnie istotny jest w grupie mniejszych miast między 100 a 200 tysięcy mieszkańców, ponieważ interwencje podejmowane w transporcie publicznym w tych miastach odbywają się przy bardzo niekorzystnym podziale rynku – w przypadku miast tej wielkości większość, bo 61% ankietowanych, korzysta z samochodu, a zaledwie 23% z komunikacji miejskiej. </w:t>
          </w:r>
        </w:p>
        <w:p w14:paraId="202C1DE7" w14:textId="77777777" w:rsidR="00B02093" w:rsidRDefault="00B02093" w:rsidP="00B02093">
          <w:pPr>
            <w:ind w:right="-1"/>
          </w:pPr>
          <w:r>
            <w:t>Dla metody PSM przeprowadzono pilotaż możliwości analizy zmian płynności ruchu w skali pojedynczych odcinków wraz z wykonaniem próbnego poszukiwania odcinków kontrfaktycznych dla wybranych 10 inwestycji VI OP POIiŚ 2014-2020. Odcinki kontrfaktyczne wybierano z puli ponad 100 odcinków sieci komunikacyjnych miast Polski, którym przypisano najważniejsze cechy mogące determinować płynność oraz bezpieczeństwo ruchu.</w:t>
          </w:r>
        </w:p>
        <w:p w14:paraId="5783DCDD" w14:textId="65548615" w:rsidR="00B02093" w:rsidRDefault="00B02093" w:rsidP="00B02093">
          <w:pPr>
            <w:ind w:right="-1"/>
          </w:pPr>
          <w:r>
            <w:t xml:space="preserve">Szczegółowa analiza przedstawionych arkuszy, zawierających oryginalną analizę kosztów i korzyści (AKK) </w:t>
          </w:r>
          <w:r w:rsidRPr="00B02093">
            <w:rPr>
              <w:i/>
            </w:rPr>
            <w:t xml:space="preserve">ex </w:t>
          </w:r>
          <w:proofErr w:type="spellStart"/>
          <w:r w:rsidRPr="00B02093">
            <w:rPr>
              <w:i/>
            </w:rPr>
            <w:t>ante</w:t>
          </w:r>
          <w:proofErr w:type="spellEnd"/>
          <w:r>
            <w:t xml:space="preserve"> dla projektów warszawskich wskazuje, że wszelkie obliczenia dla tych projektów są dobrze udokumentowane na poziomie edytowalnych arkuszy Excel. Pilotaż wskazał jednak, że w każdym przypadku analizowane było ogólnosieciowe oddziaływanie inwestycji, a zatem daną wejściową do modelu nie jest liczba pasażerów danej inwestycji i czas przejazdu daną inwestycją, lecz ogólnosieciowa liczba godzin spędzana przez pasażerów w środkach transportu w wariancie przed inwestycją i w wariancie po inwestycji.</w:t>
          </w:r>
        </w:p>
        <w:p w14:paraId="6739F64E" w14:textId="1C44BD0A" w:rsidR="0059034B" w:rsidRPr="007F14BF" w:rsidRDefault="00B02093" w:rsidP="00B02093">
          <w:pPr>
            <w:ind w:right="-1"/>
          </w:pPr>
          <w:r>
            <w:t>Celem analizy kosztów i korzyści budowy parkingów</w:t>
          </w:r>
          <w:r w:rsidR="000A2215">
            <w:t xml:space="preserve"> </w:t>
          </w:r>
          <w:r w:rsidRPr="00B02093">
            <w:rPr>
              <w:i/>
            </w:rPr>
            <w:t xml:space="preserve">Park &amp; </w:t>
          </w:r>
          <w:proofErr w:type="spellStart"/>
          <w:r w:rsidRPr="00B02093">
            <w:rPr>
              <w:i/>
            </w:rPr>
            <w:t>Ride</w:t>
          </w:r>
          <w:proofErr w:type="spellEnd"/>
          <w:r>
            <w:t xml:space="preserve"> było określenie efektywności ekonomicznej tego typu komponentu inwestycji poprzez wyznaczanie krytycznej wartości średniego przebiegu unikniętego przez pojedynczy samochód korzystający z takiego parkingu, powyżej którego parking osiąga pozytywną wartość ENPV. Przebieg ten był określany dla różnych wartości kosztu budowy pojedynczego miejsca parkingowego, zawierających się w przedziale od 10 do 90 tys. zł.</w:t>
          </w:r>
          <w:r w:rsidRPr="00B02093">
            <w:t xml:space="preserve"> Poszukiwanie krytycznej wartości właśnie dla średniego przebiegu, wynika z faktu, że koszty zewnętrzne związane z użyciem samochodu (takie jak koszty wypadków i emisji), są co do zasady zależne od unikniętego przebiegu samochodów korzystających z danego parkingu. Budowa parkingu powoduje, że część przebiegu samochodów jest zastąpiona podróżami komunikacji miejskiej i im dłuższe są te podróże – tym wyższe są korzyści zewnętrze.</w:t>
          </w:r>
        </w:p>
        <w:p w14:paraId="215ED76C" w14:textId="3F020CAC" w:rsidR="00F06D0A" w:rsidRPr="00513310" w:rsidRDefault="007D3630" w:rsidP="002752BB">
          <w:pPr>
            <w:pStyle w:val="Nagwek1"/>
            <w:numPr>
              <w:ilvl w:val="0"/>
              <w:numId w:val="0"/>
            </w:numPr>
          </w:pPr>
          <w:bookmarkStart w:id="8" w:name="_Toc27125316"/>
          <w:r>
            <w:lastRenderedPageBreak/>
            <w:t>Summary</w:t>
          </w:r>
          <w:bookmarkEnd w:id="8"/>
        </w:p>
        <w:tbl>
          <w:tblPr>
            <w:tblW w:w="9072" w:type="dxa"/>
            <w:tblBorders>
              <w:top w:val="single" w:sz="12" w:space="0" w:color="FFC800" w:themeColor="accent2"/>
              <w:bottom w:val="single" w:sz="12" w:space="0" w:color="FFC800" w:themeColor="accent2"/>
            </w:tblBorders>
            <w:tblLook w:val="04A0" w:firstRow="1" w:lastRow="0" w:firstColumn="1" w:lastColumn="0" w:noHBand="0" w:noVBand="1"/>
          </w:tblPr>
          <w:tblGrid>
            <w:gridCol w:w="8931"/>
            <w:gridCol w:w="141"/>
          </w:tblGrid>
          <w:tr w:rsidR="00EA607C" w:rsidRPr="0028672F" w14:paraId="59BF7205" w14:textId="77777777" w:rsidTr="00EA607C">
            <w:trPr>
              <w:gridAfter w:val="1"/>
              <w:wAfter w:w="141" w:type="dxa"/>
            </w:trPr>
            <w:tc>
              <w:tcPr>
                <w:tcW w:w="8931" w:type="dxa"/>
                <w:tcBorders>
                  <w:top w:val="single" w:sz="12" w:space="0" w:color="FFC800" w:themeColor="accent2"/>
                  <w:bottom w:val="single" w:sz="12" w:space="0" w:color="FFC800" w:themeColor="accent2"/>
                </w:tcBorders>
                <w:tcMar>
                  <w:top w:w="0" w:type="dxa"/>
                  <w:left w:w="0" w:type="dxa"/>
                  <w:bottom w:w="0" w:type="dxa"/>
                  <w:right w:w="227" w:type="dxa"/>
                </w:tcMar>
              </w:tcPr>
              <w:p w14:paraId="34EDA2F1" w14:textId="474AE3AA" w:rsidR="007B25D8" w:rsidRPr="00207B6F" w:rsidRDefault="007B25D8" w:rsidP="00EA607C">
                <w:pPr>
                  <w:spacing w:before="80" w:after="80"/>
                  <w:rPr>
                    <w:rFonts w:asciiTheme="majorHAnsi" w:hAnsiTheme="majorHAnsi"/>
                    <w:b/>
                    <w:color w:val="000000" w:themeColor="text1"/>
                    <w:szCs w:val="20"/>
                    <w:lang w:val="en-US"/>
                  </w:rPr>
                </w:pPr>
                <w:r w:rsidRPr="00207B6F">
                  <w:rPr>
                    <w:rFonts w:asciiTheme="majorHAnsi" w:hAnsiTheme="majorHAnsi"/>
                    <w:b/>
                    <w:color w:val="000000" w:themeColor="text1"/>
                    <w:szCs w:val="20"/>
                    <w:lang w:val="en-US"/>
                  </w:rPr>
                  <w:t xml:space="preserve">Main conclusions for the evaluation of Priority Axis VI of Operational </w:t>
                </w:r>
                <w:proofErr w:type="spellStart"/>
                <w:r w:rsidRPr="00207B6F">
                  <w:rPr>
                    <w:rFonts w:asciiTheme="majorHAnsi" w:hAnsiTheme="majorHAnsi"/>
                    <w:b/>
                    <w:color w:val="000000" w:themeColor="text1"/>
                    <w:szCs w:val="20"/>
                    <w:lang w:val="en-US"/>
                  </w:rPr>
                  <w:t>Programme</w:t>
                </w:r>
                <w:proofErr w:type="spellEnd"/>
                <w:r w:rsidRPr="00207B6F">
                  <w:rPr>
                    <w:rFonts w:asciiTheme="majorHAnsi" w:hAnsiTheme="majorHAnsi"/>
                    <w:b/>
                    <w:color w:val="000000" w:themeColor="text1"/>
                    <w:szCs w:val="20"/>
                    <w:lang w:val="en-US"/>
                  </w:rPr>
                  <w:t xml:space="preserve"> Infrastructure and Environment (OPI&amp;E) 2014-2020:</w:t>
                </w:r>
              </w:p>
              <w:p w14:paraId="32AC272F" w14:textId="0CFF4495" w:rsidR="007B25D8" w:rsidRPr="007B25D8" w:rsidRDefault="007B25D8" w:rsidP="007B25D8">
                <w:pPr>
                  <w:numPr>
                    <w:ilvl w:val="0"/>
                    <w:numId w:val="35"/>
                  </w:numPr>
                  <w:contextualSpacing/>
                  <w:rPr>
                    <w:rFonts w:asciiTheme="majorHAnsi" w:hAnsiTheme="majorHAnsi"/>
                    <w:color w:val="000000" w:themeColor="text1"/>
                    <w:lang w:val="en-GB"/>
                  </w:rPr>
                </w:pPr>
                <w:r w:rsidRPr="007B25D8">
                  <w:rPr>
                    <w:rFonts w:asciiTheme="majorHAnsi" w:hAnsiTheme="majorHAnsi"/>
                    <w:color w:val="000000" w:themeColor="text1"/>
                    <w:lang w:val="en-GB"/>
                  </w:rPr>
                  <w:t xml:space="preserve">Investments in public transport affect not only the intervened corridor, but traffic across the entire network, including the </w:t>
                </w:r>
                <w:r w:rsidR="00986011">
                  <w:rPr>
                    <w:rFonts w:asciiTheme="majorHAnsi" w:hAnsiTheme="majorHAnsi"/>
                    <w:color w:val="000000" w:themeColor="text1"/>
                    <w:lang w:val="en-GB"/>
                  </w:rPr>
                  <w:t xml:space="preserve">modal split </w:t>
                </w:r>
                <w:r w:rsidRPr="007B25D8">
                  <w:rPr>
                    <w:rFonts w:asciiTheme="majorHAnsi" w:hAnsiTheme="majorHAnsi"/>
                    <w:color w:val="000000" w:themeColor="text1"/>
                    <w:lang w:val="en-GB"/>
                  </w:rPr>
                  <w:t xml:space="preserve">of users between public and individual transport. The global change in the </w:t>
                </w:r>
                <w:r w:rsidR="00986011">
                  <w:rPr>
                    <w:rFonts w:asciiTheme="majorHAnsi" w:hAnsiTheme="majorHAnsi"/>
                    <w:color w:val="000000" w:themeColor="text1"/>
                    <w:lang w:val="en-GB"/>
                  </w:rPr>
                  <w:t>transport</w:t>
                </w:r>
                <w:r w:rsidRPr="007B25D8">
                  <w:rPr>
                    <w:rFonts w:asciiTheme="majorHAnsi" w:hAnsiTheme="majorHAnsi"/>
                    <w:color w:val="000000" w:themeColor="text1"/>
                    <w:lang w:val="en-GB"/>
                  </w:rPr>
                  <w:t xml:space="preserve"> </w:t>
                </w:r>
                <w:r w:rsidR="00986011" w:rsidRPr="007B25D8">
                  <w:rPr>
                    <w:rFonts w:asciiTheme="majorHAnsi" w:hAnsiTheme="majorHAnsi"/>
                    <w:color w:val="000000" w:themeColor="text1"/>
                    <w:lang w:val="en-GB"/>
                  </w:rPr>
                  <w:t>behaviour</w:t>
                </w:r>
                <w:r w:rsidRPr="007B25D8">
                  <w:rPr>
                    <w:rFonts w:asciiTheme="majorHAnsi" w:hAnsiTheme="majorHAnsi"/>
                    <w:color w:val="000000" w:themeColor="text1"/>
                    <w:lang w:val="en-GB"/>
                  </w:rPr>
                  <w:t xml:space="preserve"> of the inhabitants of a given area is important when examining the impact.</w:t>
                </w:r>
              </w:p>
              <w:p w14:paraId="11680C9F" w14:textId="6B3C5B8F" w:rsidR="007B25D8" w:rsidRPr="007B25D8" w:rsidRDefault="007B25D8" w:rsidP="007B25D8">
                <w:pPr>
                  <w:numPr>
                    <w:ilvl w:val="0"/>
                    <w:numId w:val="35"/>
                  </w:numPr>
                  <w:contextualSpacing/>
                  <w:rPr>
                    <w:rFonts w:asciiTheme="majorHAnsi" w:hAnsiTheme="majorHAnsi"/>
                    <w:color w:val="000000" w:themeColor="text1"/>
                    <w:lang w:val="en-GB"/>
                  </w:rPr>
                </w:pPr>
                <w:r w:rsidRPr="007B25D8">
                  <w:rPr>
                    <w:rFonts w:asciiTheme="majorHAnsi" w:hAnsiTheme="majorHAnsi"/>
                    <w:color w:val="000000" w:themeColor="text1"/>
                    <w:lang w:val="en-GB"/>
                  </w:rPr>
                  <w:t>As part of this study, data was collected on car travel speeds in selected relations using big data (Google Maps).</w:t>
                </w:r>
              </w:p>
              <w:p w14:paraId="5FB8DB5E" w14:textId="4435FA70" w:rsidR="007B25D8" w:rsidRPr="007B25D8" w:rsidRDefault="007B25D8" w:rsidP="007B25D8">
                <w:pPr>
                  <w:numPr>
                    <w:ilvl w:val="0"/>
                    <w:numId w:val="35"/>
                  </w:numPr>
                  <w:contextualSpacing/>
                  <w:rPr>
                    <w:rFonts w:asciiTheme="majorHAnsi" w:hAnsiTheme="majorHAnsi"/>
                    <w:color w:val="000000" w:themeColor="text1"/>
                    <w:lang w:val="en-GB"/>
                  </w:rPr>
                </w:pPr>
                <w:r w:rsidRPr="007B25D8">
                  <w:rPr>
                    <w:rFonts w:asciiTheme="majorHAnsi" w:hAnsiTheme="majorHAnsi"/>
                    <w:color w:val="000000" w:themeColor="text1"/>
                    <w:lang w:val="en-GB"/>
                  </w:rPr>
                  <w:t xml:space="preserve">Based on the completed database, it was possible to optimize the sample of cities for the net effect analysis using the SPSM counterfactual method. </w:t>
                </w:r>
                <w:r w:rsidR="006D27B2">
                  <w:rPr>
                    <w:rFonts w:asciiTheme="majorHAnsi" w:hAnsiTheme="majorHAnsi"/>
                    <w:color w:val="000000" w:themeColor="text1"/>
                    <w:lang w:val="en-GB"/>
                  </w:rPr>
                  <w:t xml:space="preserve">An </w:t>
                </w:r>
                <w:r w:rsidRPr="007B25D8">
                  <w:rPr>
                    <w:rFonts w:asciiTheme="majorHAnsi" w:hAnsiTheme="majorHAnsi"/>
                    <w:color w:val="000000" w:themeColor="text1"/>
                    <w:lang w:val="en-GB"/>
                  </w:rPr>
                  <w:t>additional variables for estimating the net effect using the CAWI panel</w:t>
                </w:r>
                <w:r w:rsidR="006D27B2">
                  <w:rPr>
                    <w:rFonts w:asciiTheme="majorHAnsi" w:hAnsiTheme="majorHAnsi"/>
                    <w:color w:val="000000" w:themeColor="text1"/>
                    <w:lang w:val="en-GB"/>
                  </w:rPr>
                  <w:t xml:space="preserve"> were also collected</w:t>
                </w:r>
                <w:r w:rsidRPr="007B25D8">
                  <w:rPr>
                    <w:rFonts w:asciiTheme="majorHAnsi" w:hAnsiTheme="majorHAnsi"/>
                    <w:color w:val="000000" w:themeColor="text1"/>
                    <w:lang w:val="en-GB"/>
                  </w:rPr>
                  <w:t>.</w:t>
                </w:r>
              </w:p>
              <w:p w14:paraId="51C49A69" w14:textId="1F0ABBF0" w:rsidR="007B25D8" w:rsidRPr="007B25D8" w:rsidRDefault="007B25D8" w:rsidP="007B25D8">
                <w:pPr>
                  <w:numPr>
                    <w:ilvl w:val="0"/>
                    <w:numId w:val="35"/>
                  </w:numPr>
                  <w:contextualSpacing/>
                  <w:rPr>
                    <w:rFonts w:asciiTheme="majorHAnsi" w:hAnsiTheme="majorHAnsi"/>
                    <w:color w:val="000000" w:themeColor="text1"/>
                    <w:lang w:val="en-GB"/>
                  </w:rPr>
                </w:pPr>
                <w:r w:rsidRPr="007B25D8">
                  <w:rPr>
                    <w:rFonts w:asciiTheme="majorHAnsi" w:hAnsiTheme="majorHAnsi"/>
                    <w:color w:val="000000" w:themeColor="text1"/>
                    <w:lang w:val="en-GB"/>
                  </w:rPr>
                  <w:t xml:space="preserve">Pairing of sections of the </w:t>
                </w:r>
                <w:r w:rsidR="00986011">
                  <w:rPr>
                    <w:rFonts w:asciiTheme="majorHAnsi" w:hAnsiTheme="majorHAnsi"/>
                    <w:color w:val="000000" w:themeColor="text1"/>
                    <w:lang w:val="en-GB"/>
                  </w:rPr>
                  <w:t xml:space="preserve">transport </w:t>
                </w:r>
                <w:r w:rsidRPr="007B25D8">
                  <w:rPr>
                    <w:rFonts w:asciiTheme="majorHAnsi" w:hAnsiTheme="majorHAnsi"/>
                    <w:color w:val="000000" w:themeColor="text1"/>
                    <w:lang w:val="en-GB"/>
                  </w:rPr>
                  <w:t>network using the counterfactual method of Propensity Score Matching (PSM) for 10 selected infrastructure investments</w:t>
                </w:r>
                <w:r w:rsidR="00986011">
                  <w:rPr>
                    <w:rFonts w:asciiTheme="majorHAnsi" w:hAnsiTheme="majorHAnsi"/>
                    <w:color w:val="000000" w:themeColor="text1"/>
                    <w:lang w:val="en-GB"/>
                  </w:rPr>
                  <w:t xml:space="preserve"> was carried out</w:t>
                </w:r>
                <w:r w:rsidRPr="007B25D8">
                  <w:rPr>
                    <w:rFonts w:asciiTheme="majorHAnsi" w:hAnsiTheme="majorHAnsi"/>
                    <w:color w:val="000000" w:themeColor="text1"/>
                    <w:lang w:val="en-GB"/>
                  </w:rPr>
                  <w:t>.</w:t>
                </w:r>
              </w:p>
              <w:p w14:paraId="7E64923F" w14:textId="054EEEF5" w:rsidR="007B25D8" w:rsidRPr="007B25D8" w:rsidRDefault="007B25D8" w:rsidP="007B25D8">
                <w:pPr>
                  <w:numPr>
                    <w:ilvl w:val="0"/>
                    <w:numId w:val="35"/>
                  </w:numPr>
                  <w:contextualSpacing/>
                  <w:rPr>
                    <w:rFonts w:asciiTheme="majorHAnsi" w:hAnsiTheme="majorHAnsi"/>
                    <w:color w:val="000000" w:themeColor="text1"/>
                    <w:lang w:val="en-GB"/>
                  </w:rPr>
                </w:pPr>
                <w:r w:rsidRPr="007B25D8">
                  <w:rPr>
                    <w:rFonts w:asciiTheme="majorHAnsi" w:hAnsiTheme="majorHAnsi"/>
                    <w:color w:val="000000" w:themeColor="text1"/>
                    <w:lang w:val="en-GB"/>
                  </w:rPr>
                  <w:t xml:space="preserve">The </w:t>
                </w:r>
                <w:r w:rsidRPr="00986011">
                  <w:rPr>
                    <w:rFonts w:asciiTheme="majorHAnsi" w:hAnsiTheme="majorHAnsi"/>
                    <w:i/>
                    <w:color w:val="000000" w:themeColor="text1"/>
                    <w:lang w:val="en-GB"/>
                  </w:rPr>
                  <w:t>ex post</w:t>
                </w:r>
                <w:r w:rsidRPr="007B25D8">
                  <w:rPr>
                    <w:rFonts w:asciiTheme="majorHAnsi" w:hAnsiTheme="majorHAnsi"/>
                    <w:color w:val="000000" w:themeColor="text1"/>
                    <w:lang w:val="en-GB"/>
                  </w:rPr>
                  <w:t xml:space="preserve"> CBA for projects under the WOF (</w:t>
                </w:r>
                <w:r w:rsidR="006D27B2">
                  <w:rPr>
                    <w:rFonts w:asciiTheme="majorHAnsi" w:hAnsiTheme="majorHAnsi"/>
                    <w:color w:val="000000" w:themeColor="text1"/>
                    <w:lang w:val="en-GB"/>
                  </w:rPr>
                  <w:t xml:space="preserve">Warsaw Functional Area </w:t>
                </w:r>
                <w:r w:rsidRPr="007B25D8">
                  <w:rPr>
                    <w:rFonts w:asciiTheme="majorHAnsi" w:hAnsiTheme="majorHAnsi"/>
                    <w:color w:val="000000" w:themeColor="text1"/>
                    <w:lang w:val="en-GB"/>
                  </w:rPr>
                  <w:t>2007-2013) was based on a</w:t>
                </w:r>
                <w:r w:rsidR="00986011">
                  <w:rPr>
                    <w:rFonts w:ascii="Calibri" w:hAnsi="Calibri" w:cs="Calibri"/>
                    <w:color w:val="000000" w:themeColor="text1"/>
                    <w:lang w:val="en-GB"/>
                  </w:rPr>
                  <w:t> </w:t>
                </w:r>
                <w:r w:rsidRPr="007B25D8">
                  <w:rPr>
                    <w:rFonts w:asciiTheme="majorHAnsi" w:hAnsiTheme="majorHAnsi"/>
                    <w:color w:val="000000" w:themeColor="text1"/>
                    <w:lang w:val="en-GB"/>
                  </w:rPr>
                  <w:t xml:space="preserve">proportional adjustment in the CBA </w:t>
                </w:r>
                <w:r w:rsidRPr="00986011">
                  <w:rPr>
                    <w:rFonts w:asciiTheme="majorHAnsi" w:hAnsiTheme="majorHAnsi"/>
                    <w:i/>
                    <w:color w:val="000000" w:themeColor="text1"/>
                    <w:lang w:val="en-GB"/>
                  </w:rPr>
                  <w:t>ex ante</w:t>
                </w:r>
                <w:r w:rsidRPr="007B25D8">
                  <w:rPr>
                    <w:rFonts w:asciiTheme="majorHAnsi" w:hAnsiTheme="majorHAnsi"/>
                    <w:color w:val="000000" w:themeColor="text1"/>
                    <w:lang w:val="en-GB"/>
                  </w:rPr>
                  <w:t xml:space="preserve"> two key variables: economic benefits and financial outlays. Full verification requires carrying out traffic </w:t>
                </w:r>
                <w:r w:rsidR="00986011" w:rsidRPr="007B25D8">
                  <w:rPr>
                    <w:rFonts w:asciiTheme="majorHAnsi" w:hAnsiTheme="majorHAnsi"/>
                    <w:color w:val="000000" w:themeColor="text1"/>
                    <w:lang w:val="en-GB"/>
                  </w:rPr>
                  <w:t>modelling</w:t>
                </w:r>
                <w:r w:rsidRPr="007B25D8">
                  <w:rPr>
                    <w:rFonts w:asciiTheme="majorHAnsi" w:hAnsiTheme="majorHAnsi"/>
                    <w:color w:val="000000" w:themeColor="text1"/>
                    <w:lang w:val="en-GB"/>
                  </w:rPr>
                  <w:t>, as the input indicators are network data resulting from passenger transitions between means of transport.</w:t>
                </w:r>
              </w:p>
              <w:p w14:paraId="6707A790" w14:textId="15C5D877" w:rsidR="00986011" w:rsidRDefault="007B25D8" w:rsidP="00986011">
                <w:pPr>
                  <w:numPr>
                    <w:ilvl w:val="0"/>
                    <w:numId w:val="35"/>
                  </w:numPr>
                  <w:spacing w:after="120"/>
                  <w:contextualSpacing/>
                  <w:rPr>
                    <w:rFonts w:asciiTheme="majorHAnsi" w:hAnsiTheme="majorHAnsi"/>
                    <w:color w:val="000000" w:themeColor="text1"/>
                    <w:lang w:val="en-GB"/>
                  </w:rPr>
                </w:pPr>
                <w:r w:rsidRPr="007B25D8">
                  <w:rPr>
                    <w:rFonts w:asciiTheme="majorHAnsi" w:hAnsiTheme="majorHAnsi"/>
                    <w:color w:val="000000" w:themeColor="text1"/>
                    <w:lang w:val="en-GB"/>
                  </w:rPr>
                  <w:t>The process of repeated survey queries to cities from the pilot study made it possible to fill in the key data gaps (expla</w:t>
                </w:r>
                <w:r w:rsidR="00986011">
                  <w:rPr>
                    <w:rFonts w:asciiTheme="majorHAnsi" w:hAnsiTheme="majorHAnsi"/>
                    <w:color w:val="000000" w:themeColor="text1"/>
                    <w:lang w:val="en-GB"/>
                  </w:rPr>
                  <w:t>ined</w:t>
                </w:r>
                <w:r w:rsidRPr="007B25D8">
                  <w:rPr>
                    <w:rFonts w:asciiTheme="majorHAnsi" w:hAnsiTheme="majorHAnsi"/>
                    <w:color w:val="000000" w:themeColor="text1"/>
                    <w:lang w:val="en-GB"/>
                  </w:rPr>
                  <w:t xml:space="preserve"> and explanatory variables for the SPSM method). However, the return o</w:t>
                </w:r>
                <w:r w:rsidR="00986011">
                  <w:rPr>
                    <w:rFonts w:asciiTheme="majorHAnsi" w:hAnsiTheme="majorHAnsi"/>
                    <w:color w:val="000000" w:themeColor="text1"/>
                    <w:lang w:val="en-GB"/>
                  </w:rPr>
                  <w:t>f</w:t>
                </w:r>
                <w:r w:rsidRPr="007B25D8">
                  <w:rPr>
                    <w:rFonts w:asciiTheme="majorHAnsi" w:hAnsiTheme="majorHAnsi"/>
                    <w:color w:val="000000" w:themeColor="text1"/>
                    <w:lang w:val="en-GB"/>
                  </w:rPr>
                  <w:t xml:space="preserve"> data is still low, including parking policy, pedestrian traffic, emergency situations and safety.</w:t>
                </w:r>
              </w:p>
              <w:p w14:paraId="620E0A12" w14:textId="77777777" w:rsidR="00986011" w:rsidRPr="00986011" w:rsidRDefault="00986011" w:rsidP="00986011">
                <w:pPr>
                  <w:spacing w:after="120"/>
                  <w:contextualSpacing/>
                  <w:rPr>
                    <w:rFonts w:asciiTheme="majorHAnsi" w:hAnsiTheme="majorHAnsi"/>
                    <w:color w:val="000000" w:themeColor="text1"/>
                    <w:sz w:val="10"/>
                    <w:szCs w:val="10"/>
                    <w:lang w:val="en-GB"/>
                  </w:rPr>
                </w:pPr>
              </w:p>
              <w:p w14:paraId="11C57053" w14:textId="4549BC63" w:rsidR="00986011" w:rsidRDefault="00986011" w:rsidP="00986011">
                <w:pPr>
                  <w:spacing w:before="0" w:after="0"/>
                  <w:contextualSpacing/>
                  <w:rPr>
                    <w:rFonts w:asciiTheme="majorHAnsi" w:hAnsiTheme="majorHAnsi"/>
                    <w:b/>
                    <w:color w:val="000000" w:themeColor="text1"/>
                    <w:szCs w:val="20"/>
                    <w:lang w:val="en-GB"/>
                  </w:rPr>
                </w:pPr>
                <w:r w:rsidRPr="00986011">
                  <w:rPr>
                    <w:rFonts w:asciiTheme="majorHAnsi" w:hAnsiTheme="majorHAnsi"/>
                    <w:b/>
                    <w:color w:val="000000" w:themeColor="text1"/>
                    <w:szCs w:val="20"/>
                    <w:lang w:val="en-GB"/>
                  </w:rPr>
                  <w:t xml:space="preserve">Main </w:t>
                </w:r>
                <w:r w:rsidR="0028672F">
                  <w:rPr>
                    <w:rFonts w:asciiTheme="majorHAnsi" w:hAnsiTheme="majorHAnsi"/>
                    <w:b/>
                    <w:color w:val="000000" w:themeColor="text1"/>
                    <w:szCs w:val="20"/>
                    <w:lang w:val="en-GB"/>
                  </w:rPr>
                  <w:t>system</w:t>
                </w:r>
                <w:r w:rsidRPr="00986011">
                  <w:rPr>
                    <w:rFonts w:asciiTheme="majorHAnsi" w:hAnsiTheme="majorHAnsi"/>
                    <w:b/>
                    <w:color w:val="000000" w:themeColor="text1"/>
                    <w:szCs w:val="20"/>
                    <w:lang w:val="en-GB"/>
                  </w:rPr>
                  <w:t xml:space="preserve"> conclusions:</w:t>
                </w:r>
              </w:p>
              <w:p w14:paraId="36CC33E1" w14:textId="75B4DE97" w:rsidR="00986011" w:rsidRPr="00986011" w:rsidRDefault="00986011" w:rsidP="00986011">
                <w:pPr>
                  <w:spacing w:before="0" w:after="0"/>
                  <w:contextualSpacing/>
                  <w:rPr>
                    <w:rFonts w:asciiTheme="majorHAnsi" w:hAnsiTheme="majorHAnsi"/>
                    <w:b/>
                    <w:color w:val="000000" w:themeColor="text1"/>
                    <w:sz w:val="4"/>
                    <w:szCs w:val="4"/>
                    <w:lang w:val="en-GB"/>
                  </w:rPr>
                </w:pPr>
              </w:p>
              <w:p w14:paraId="25AA0650" w14:textId="6B0FE80B" w:rsidR="00986011" w:rsidRPr="00986011" w:rsidRDefault="00986011" w:rsidP="00986011">
                <w:pPr>
                  <w:numPr>
                    <w:ilvl w:val="0"/>
                    <w:numId w:val="2"/>
                  </w:numPr>
                  <w:contextualSpacing/>
                  <w:rPr>
                    <w:rFonts w:asciiTheme="majorHAnsi" w:hAnsiTheme="majorHAnsi"/>
                    <w:color w:val="000000" w:themeColor="text1"/>
                    <w:szCs w:val="20"/>
                    <w:lang w:val="en-GB"/>
                  </w:rPr>
                </w:pPr>
                <w:r w:rsidRPr="00986011">
                  <w:rPr>
                    <w:rFonts w:asciiTheme="majorHAnsi" w:hAnsiTheme="majorHAnsi"/>
                    <w:color w:val="000000" w:themeColor="text1"/>
                    <w:szCs w:val="20"/>
                    <w:lang w:val="en-GB"/>
                  </w:rPr>
                  <w:t>In order to significantly increase the number of public transport users in cities, investments should not focus solely on infrastructure and rolling stock, but also include other elements making up the overall offer for the customer (including high capacity and coverage, good information in the event of disruptions).</w:t>
                </w:r>
              </w:p>
              <w:p w14:paraId="06C0F0C0" w14:textId="4016D338" w:rsidR="00986011" w:rsidRPr="00986011" w:rsidRDefault="00986011" w:rsidP="00986011">
                <w:pPr>
                  <w:numPr>
                    <w:ilvl w:val="0"/>
                    <w:numId w:val="2"/>
                  </w:numPr>
                  <w:contextualSpacing/>
                  <w:rPr>
                    <w:rFonts w:asciiTheme="majorHAnsi" w:hAnsiTheme="majorHAnsi"/>
                    <w:color w:val="000000" w:themeColor="text1"/>
                    <w:szCs w:val="20"/>
                    <w:lang w:val="en-GB"/>
                  </w:rPr>
                </w:pPr>
                <w:r w:rsidRPr="00986011">
                  <w:rPr>
                    <w:rFonts w:asciiTheme="majorHAnsi" w:hAnsiTheme="majorHAnsi"/>
                    <w:color w:val="000000" w:themeColor="text1"/>
                    <w:szCs w:val="20"/>
                    <w:lang w:val="en-GB"/>
                  </w:rPr>
                  <w:t>In the case studies for interchanges, numerous architectural barriers have been observed, affecting the mobility of people with reduced mobility</w:t>
                </w:r>
                <w:r>
                  <w:rPr>
                    <w:rFonts w:asciiTheme="majorHAnsi" w:hAnsiTheme="majorHAnsi"/>
                    <w:color w:val="000000" w:themeColor="text1"/>
                    <w:szCs w:val="20"/>
                    <w:lang w:val="en-GB"/>
                  </w:rPr>
                  <w:t xml:space="preserve"> (PRM)</w:t>
                </w:r>
                <w:r w:rsidRPr="00986011">
                  <w:rPr>
                    <w:rFonts w:asciiTheme="majorHAnsi" w:hAnsiTheme="majorHAnsi"/>
                    <w:color w:val="000000" w:themeColor="text1"/>
                    <w:szCs w:val="20"/>
                    <w:lang w:val="en-GB"/>
                  </w:rPr>
                  <w:t>. Barriers are particularly noticeable in the context of high availability of low-floor vehicles.</w:t>
                </w:r>
              </w:p>
              <w:p w14:paraId="32E0A661" w14:textId="01E4487E" w:rsidR="00986011" w:rsidRPr="00986011" w:rsidRDefault="00986011" w:rsidP="00986011">
                <w:pPr>
                  <w:numPr>
                    <w:ilvl w:val="0"/>
                    <w:numId w:val="2"/>
                  </w:numPr>
                  <w:contextualSpacing/>
                  <w:rPr>
                    <w:rFonts w:asciiTheme="majorHAnsi" w:hAnsiTheme="majorHAnsi"/>
                    <w:color w:val="000000" w:themeColor="text1"/>
                    <w:szCs w:val="20"/>
                    <w:lang w:val="en-GB"/>
                  </w:rPr>
                </w:pPr>
                <w:r w:rsidRPr="00986011">
                  <w:rPr>
                    <w:rFonts w:asciiTheme="majorHAnsi" w:hAnsiTheme="majorHAnsi"/>
                    <w:color w:val="000000" w:themeColor="text1"/>
                    <w:szCs w:val="20"/>
                    <w:lang w:val="en-GB"/>
                  </w:rPr>
                  <w:t xml:space="preserve">In the cost-benefit analysis for Park &amp; </w:t>
                </w:r>
                <w:r w:rsidRPr="00986011">
                  <w:rPr>
                    <w:rFonts w:ascii="Cambria Math" w:hAnsi="Cambria Math" w:cs="Cambria Math"/>
                    <w:color w:val="000000" w:themeColor="text1"/>
                    <w:szCs w:val="20"/>
                    <w:lang w:val="en-GB"/>
                  </w:rPr>
                  <w:t>​​</w:t>
                </w:r>
                <w:r w:rsidRPr="00986011">
                  <w:rPr>
                    <w:rFonts w:asciiTheme="majorHAnsi" w:hAnsiTheme="majorHAnsi"/>
                    <w:color w:val="000000" w:themeColor="text1"/>
                    <w:szCs w:val="20"/>
                    <w:lang w:val="en-GB"/>
                  </w:rPr>
                  <w:t>Ride parking lots in accordance with the Blue Book, private benefits for drivers (car consumption savings) dominate the benefits for the general public (noise, accidents, pollution).</w:t>
                </w:r>
              </w:p>
              <w:p w14:paraId="6F5BACA7" w14:textId="66DEC143" w:rsidR="00986011" w:rsidRPr="00986011" w:rsidRDefault="00986011" w:rsidP="00986011">
                <w:pPr>
                  <w:numPr>
                    <w:ilvl w:val="0"/>
                    <w:numId w:val="2"/>
                  </w:numPr>
                  <w:contextualSpacing/>
                  <w:rPr>
                    <w:rFonts w:asciiTheme="majorHAnsi" w:hAnsiTheme="majorHAnsi"/>
                    <w:color w:val="000000" w:themeColor="text1"/>
                    <w:szCs w:val="20"/>
                    <w:lang w:val="en-GB"/>
                  </w:rPr>
                </w:pPr>
                <w:r w:rsidRPr="00986011">
                  <w:rPr>
                    <w:rFonts w:asciiTheme="majorHAnsi" w:hAnsiTheme="majorHAnsi"/>
                    <w:color w:val="000000" w:themeColor="text1"/>
                    <w:szCs w:val="20"/>
                    <w:lang w:val="en-GB"/>
                  </w:rPr>
                  <w:t xml:space="preserve">Organizers lack tools for analysing and managing emergencies. There is also no automatic notification of passengers - over 20% of CAWI panel respondents rated the availability of information </w:t>
                </w:r>
                <w:r>
                  <w:rPr>
                    <w:rFonts w:asciiTheme="majorHAnsi" w:hAnsiTheme="majorHAnsi"/>
                    <w:color w:val="000000" w:themeColor="text1"/>
                    <w:szCs w:val="20"/>
                    <w:lang w:val="en-GB"/>
                  </w:rPr>
                  <w:t>during</w:t>
                </w:r>
                <w:r w:rsidRPr="00986011">
                  <w:rPr>
                    <w:rFonts w:asciiTheme="majorHAnsi" w:hAnsiTheme="majorHAnsi"/>
                    <w:color w:val="000000" w:themeColor="text1"/>
                    <w:szCs w:val="20"/>
                    <w:lang w:val="en-GB"/>
                  </w:rPr>
                  <w:t xml:space="preserve"> failures as bad or very bad.</w:t>
                </w:r>
              </w:p>
              <w:p w14:paraId="774629D3" w14:textId="2C96C24D" w:rsidR="00EA607C" w:rsidRPr="00986011" w:rsidRDefault="00986011" w:rsidP="00986011">
                <w:pPr>
                  <w:numPr>
                    <w:ilvl w:val="0"/>
                    <w:numId w:val="2"/>
                  </w:numPr>
                  <w:contextualSpacing/>
                  <w:rPr>
                    <w:rFonts w:asciiTheme="majorHAnsi" w:hAnsiTheme="majorHAnsi"/>
                    <w:color w:val="000000" w:themeColor="text1"/>
                    <w:szCs w:val="20"/>
                    <w:lang w:val="en-GB"/>
                  </w:rPr>
                </w:pPr>
                <w:r w:rsidRPr="00986011">
                  <w:rPr>
                    <w:rFonts w:asciiTheme="majorHAnsi" w:hAnsiTheme="majorHAnsi"/>
                    <w:color w:val="000000" w:themeColor="text1"/>
                    <w:szCs w:val="20"/>
                    <w:lang w:val="en-GB"/>
                  </w:rPr>
                  <w:t xml:space="preserve">Investments in urban transport infrastructure face a number of difficulties in the preparation process. They are often combined with the development of roads to </w:t>
                </w:r>
                <w:r>
                  <w:rPr>
                    <w:rFonts w:asciiTheme="majorHAnsi" w:hAnsiTheme="majorHAnsi"/>
                    <w:color w:val="000000" w:themeColor="text1"/>
                    <w:szCs w:val="20"/>
                    <w:lang w:val="en-GB"/>
                  </w:rPr>
                  <w:t xml:space="preserve">proceed implementation of investment </w:t>
                </w:r>
                <w:r w:rsidRPr="00986011">
                  <w:rPr>
                    <w:rFonts w:asciiTheme="majorHAnsi" w:hAnsiTheme="majorHAnsi"/>
                    <w:color w:val="000000" w:themeColor="text1"/>
                    <w:szCs w:val="20"/>
                    <w:lang w:val="en-GB"/>
                  </w:rPr>
                  <w:t>faster.</w:t>
                </w:r>
              </w:p>
            </w:tc>
          </w:tr>
          <w:tr w:rsidR="00EA607C" w:rsidRPr="0028672F" w14:paraId="117D79BF" w14:textId="77777777" w:rsidTr="00EA607C">
            <w:tc>
              <w:tcPr>
                <w:tcW w:w="9072" w:type="dxa"/>
                <w:gridSpan w:val="2"/>
                <w:tcBorders>
                  <w:top w:val="single" w:sz="12" w:space="0" w:color="FFC800" w:themeColor="accent2"/>
                </w:tcBorders>
                <w:tcMar>
                  <w:top w:w="0" w:type="dxa"/>
                  <w:left w:w="0" w:type="dxa"/>
                  <w:bottom w:w="0" w:type="dxa"/>
                  <w:right w:w="227" w:type="dxa"/>
                </w:tcMar>
              </w:tcPr>
              <w:p w14:paraId="74F497FC" w14:textId="3296C683" w:rsidR="00986011" w:rsidRPr="004D7162" w:rsidRDefault="00986011" w:rsidP="00986011">
                <w:pPr>
                  <w:spacing w:before="80" w:after="80"/>
                  <w:rPr>
                    <w:rFonts w:asciiTheme="majorHAnsi" w:hAnsiTheme="majorHAnsi"/>
                    <w:b/>
                    <w:color w:val="000000" w:themeColor="text1"/>
                    <w:szCs w:val="20"/>
                    <w:lang w:val="en-GB"/>
                  </w:rPr>
                </w:pPr>
                <w:r w:rsidRPr="004D7162">
                  <w:rPr>
                    <w:rFonts w:asciiTheme="majorHAnsi" w:hAnsiTheme="majorHAnsi"/>
                    <w:b/>
                    <w:color w:val="000000" w:themeColor="text1"/>
                    <w:szCs w:val="20"/>
                    <w:lang w:val="en-GB"/>
                  </w:rPr>
                  <w:lastRenderedPageBreak/>
                  <w:t>Main recommendations for the evaluation of Priority Axis VI of Operational Programme Infrastructure and Environment (OPI&amp;E) 2014-2020:</w:t>
                </w:r>
              </w:p>
              <w:p w14:paraId="06BF3BC0" w14:textId="465690E0"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Verification of the investment impact (e.</w:t>
                </w:r>
                <w:r>
                  <w:rPr>
                    <w:rFonts w:asciiTheme="majorHAnsi" w:hAnsiTheme="majorHAnsi"/>
                    <w:color w:val="000000" w:themeColor="text1"/>
                    <w:lang w:val="en-GB"/>
                  </w:rPr>
                  <w:t>g.</w:t>
                </w:r>
                <w:r w:rsidRPr="004D7162">
                  <w:rPr>
                    <w:rFonts w:asciiTheme="majorHAnsi" w:hAnsiTheme="majorHAnsi"/>
                    <w:color w:val="000000" w:themeColor="text1"/>
                    <w:lang w:val="en-GB"/>
                  </w:rPr>
                  <w:t xml:space="preserve"> on the number of passengers) should not consist of examining changes strictly regarding the investment under consideration, but of examining network changes - determining the net effect using the SPSM method or traffic model.</w:t>
                </w:r>
              </w:p>
              <w:p w14:paraId="7163F962" w14:textId="4BFBE456"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As part of the </w:t>
                </w:r>
                <w:r w:rsidRPr="006D27B2">
                  <w:rPr>
                    <w:rFonts w:asciiTheme="majorHAnsi" w:hAnsiTheme="majorHAnsi"/>
                    <w:i/>
                    <w:color w:val="000000" w:themeColor="text1"/>
                    <w:lang w:val="en-GB"/>
                  </w:rPr>
                  <w:t>ex post</w:t>
                </w:r>
                <w:r w:rsidRPr="004D7162">
                  <w:rPr>
                    <w:rFonts w:asciiTheme="majorHAnsi" w:hAnsiTheme="majorHAnsi"/>
                    <w:color w:val="000000" w:themeColor="text1"/>
                    <w:lang w:val="en-GB"/>
                  </w:rPr>
                  <w:t xml:space="preserve"> study, an SPSM analysis should be performed for an optimized sample of cities. However, taking into account the restrictions that occurred during the CAWI panel, i.e. the lack of respondents for individual cities, it is proposed to separately estimate the net effect for variables from the CAWI panel.</w:t>
                </w:r>
              </w:p>
              <w:p w14:paraId="23630D21" w14:textId="2B985E1B"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As part of the </w:t>
                </w:r>
                <w:r w:rsidRPr="004D7162">
                  <w:rPr>
                    <w:rFonts w:asciiTheme="majorHAnsi" w:hAnsiTheme="majorHAnsi"/>
                    <w:i/>
                    <w:color w:val="000000" w:themeColor="text1"/>
                    <w:lang w:val="en-GB"/>
                  </w:rPr>
                  <w:t>ex post</w:t>
                </w:r>
                <w:r w:rsidRPr="004D7162">
                  <w:rPr>
                    <w:rFonts w:asciiTheme="majorHAnsi" w:hAnsiTheme="majorHAnsi"/>
                    <w:color w:val="000000" w:themeColor="text1"/>
                    <w:lang w:val="en-GB"/>
                  </w:rPr>
                  <w:t xml:space="preserve"> study, collection of big data to calculate </w:t>
                </w:r>
                <w:r>
                  <w:rPr>
                    <w:rFonts w:asciiTheme="majorHAnsi" w:hAnsiTheme="majorHAnsi"/>
                    <w:color w:val="000000" w:themeColor="text1"/>
                    <w:lang w:val="en-GB"/>
                  </w:rPr>
                  <w:t xml:space="preserve">travel </w:t>
                </w:r>
                <w:r w:rsidRPr="004D7162">
                  <w:rPr>
                    <w:rFonts w:asciiTheme="majorHAnsi" w:hAnsiTheme="majorHAnsi"/>
                    <w:color w:val="000000" w:themeColor="text1"/>
                    <w:lang w:val="en-GB"/>
                  </w:rPr>
                  <w:t>speed by car</w:t>
                </w:r>
                <w:r>
                  <w:rPr>
                    <w:rFonts w:asciiTheme="majorHAnsi" w:hAnsiTheme="majorHAnsi"/>
                    <w:color w:val="000000" w:themeColor="text1"/>
                    <w:lang w:val="en-GB"/>
                  </w:rPr>
                  <w:t xml:space="preserve"> must be repeated</w:t>
                </w:r>
                <w:r w:rsidRPr="004D7162">
                  <w:rPr>
                    <w:rFonts w:asciiTheme="majorHAnsi" w:hAnsiTheme="majorHAnsi"/>
                    <w:color w:val="000000" w:themeColor="text1"/>
                    <w:lang w:val="en-GB"/>
                  </w:rPr>
                  <w:t>. The study should be conducted in October to ensure consistency with this study.</w:t>
                </w:r>
              </w:p>
              <w:p w14:paraId="29FB6D74" w14:textId="60072A02"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In the event of monitoring indicators being generally achieved by projects </w:t>
                </w:r>
                <w:r>
                  <w:rPr>
                    <w:rFonts w:asciiTheme="majorHAnsi" w:hAnsiTheme="majorHAnsi"/>
                    <w:color w:val="000000" w:themeColor="text1"/>
                    <w:lang w:val="en-GB"/>
                  </w:rPr>
                  <w:t xml:space="preserve">in the </w:t>
                </w:r>
                <w:r w:rsidRPr="004D7162">
                  <w:rPr>
                    <w:rFonts w:asciiTheme="majorHAnsi" w:hAnsiTheme="majorHAnsi"/>
                    <w:color w:val="000000" w:themeColor="text1"/>
                    <w:lang w:val="en-GB"/>
                  </w:rPr>
                  <w:t xml:space="preserve">Warsaw Functional Area, monitoring data is a sufficient element of the </w:t>
                </w:r>
                <w:r w:rsidRPr="004D7162">
                  <w:rPr>
                    <w:rFonts w:asciiTheme="majorHAnsi" w:hAnsiTheme="majorHAnsi"/>
                    <w:i/>
                    <w:color w:val="000000" w:themeColor="text1"/>
                    <w:lang w:val="en-GB"/>
                  </w:rPr>
                  <w:t>ex post</w:t>
                </w:r>
                <w:r w:rsidRPr="004D7162">
                  <w:rPr>
                    <w:rFonts w:asciiTheme="majorHAnsi" w:hAnsiTheme="majorHAnsi"/>
                    <w:color w:val="000000" w:themeColor="text1"/>
                    <w:lang w:val="en-GB"/>
                  </w:rPr>
                  <w:t xml:space="preserve"> analysis in the cost-benefit analysis.</w:t>
                </w:r>
              </w:p>
              <w:p w14:paraId="2DA2B30A" w14:textId="12511322"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In the event of justified doubts as to the effectiveness of WOF projects, including the significant failure to achieve monitoring indicators, it is necessary to extend the </w:t>
                </w:r>
                <w:r w:rsidRPr="004D7162">
                  <w:rPr>
                    <w:rFonts w:asciiTheme="majorHAnsi" w:hAnsiTheme="majorHAnsi"/>
                    <w:i/>
                    <w:color w:val="000000" w:themeColor="text1"/>
                    <w:lang w:val="en-GB"/>
                  </w:rPr>
                  <w:t>ex post</w:t>
                </w:r>
                <w:r w:rsidRPr="004D7162">
                  <w:rPr>
                    <w:rFonts w:asciiTheme="majorHAnsi" w:hAnsiTheme="majorHAnsi"/>
                    <w:color w:val="000000" w:themeColor="text1"/>
                    <w:lang w:val="en-GB"/>
                  </w:rPr>
                  <w:t xml:space="preserve"> survey methodology to include traffic modelling and repeat the full CBA.</w:t>
                </w:r>
              </w:p>
              <w:p w14:paraId="55BB4D70" w14:textId="5906DBDD"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As part of the </w:t>
                </w:r>
                <w:r w:rsidRPr="004D7162">
                  <w:rPr>
                    <w:rFonts w:asciiTheme="majorHAnsi" w:hAnsiTheme="majorHAnsi"/>
                    <w:i/>
                    <w:color w:val="000000" w:themeColor="text1"/>
                    <w:lang w:val="en-GB"/>
                  </w:rPr>
                  <w:t>ex post</w:t>
                </w:r>
                <w:r w:rsidRPr="004D7162">
                  <w:rPr>
                    <w:rFonts w:asciiTheme="majorHAnsi" w:hAnsiTheme="majorHAnsi"/>
                    <w:color w:val="000000" w:themeColor="text1"/>
                    <w:lang w:val="en-GB"/>
                  </w:rPr>
                  <w:t xml:space="preserve"> study, it will be necessary to rely on publicly available </w:t>
                </w:r>
                <w:proofErr w:type="spellStart"/>
                <w:r w:rsidRPr="004D7162">
                  <w:rPr>
                    <w:rFonts w:asciiTheme="majorHAnsi" w:hAnsiTheme="majorHAnsi"/>
                    <w:color w:val="000000" w:themeColor="text1"/>
                    <w:lang w:val="en-GB"/>
                  </w:rPr>
                  <w:t>SEWiK</w:t>
                </w:r>
                <w:proofErr w:type="spellEnd"/>
                <w:r w:rsidRPr="004D7162">
                  <w:rPr>
                    <w:rFonts w:asciiTheme="majorHAnsi" w:hAnsiTheme="majorHAnsi"/>
                    <w:color w:val="000000" w:themeColor="text1"/>
                    <w:lang w:val="en-GB"/>
                  </w:rPr>
                  <w:t xml:space="preserve"> and GITD data for road safety.</w:t>
                </w:r>
              </w:p>
              <w:p w14:paraId="404C2A9A" w14:textId="7DB8CD0A" w:rsidR="004D7162" w:rsidRPr="004D7162" w:rsidRDefault="004D7162" w:rsidP="004D7162">
                <w:pPr>
                  <w:numPr>
                    <w:ilvl w:val="0"/>
                    <w:numId w:val="36"/>
                  </w:numPr>
                  <w:contextualSpacing/>
                  <w:rPr>
                    <w:rFonts w:asciiTheme="majorHAnsi" w:hAnsiTheme="majorHAnsi"/>
                    <w:color w:val="000000" w:themeColor="text1"/>
                    <w:lang w:val="en-GB"/>
                  </w:rPr>
                </w:pPr>
                <w:r w:rsidRPr="004D7162">
                  <w:rPr>
                    <w:rFonts w:asciiTheme="majorHAnsi" w:hAnsiTheme="majorHAnsi"/>
                    <w:color w:val="000000" w:themeColor="text1"/>
                    <w:lang w:val="en-GB"/>
                  </w:rPr>
                  <w:t xml:space="preserve">It is recommended to query cities for input values </w:t>
                </w:r>
                <w:r w:rsidRPr="004D7162">
                  <w:rPr>
                    <w:rFonts w:ascii="Cambria Math" w:hAnsi="Cambria Math" w:cs="Cambria Math"/>
                    <w:color w:val="000000" w:themeColor="text1"/>
                    <w:lang w:val="en-GB"/>
                  </w:rPr>
                  <w:t>​​</w:t>
                </w:r>
                <w:r w:rsidRPr="004D7162">
                  <w:rPr>
                    <w:rFonts w:asciiTheme="majorHAnsi" w:hAnsiTheme="majorHAnsi"/>
                    <w:color w:val="000000" w:themeColor="text1"/>
                    <w:lang w:val="en-GB"/>
                  </w:rPr>
                  <w:t xml:space="preserve">for safety and traffic flow indicators during subsequent </w:t>
                </w:r>
                <w:r>
                  <w:rPr>
                    <w:rFonts w:asciiTheme="majorHAnsi" w:hAnsiTheme="majorHAnsi"/>
                    <w:color w:val="000000" w:themeColor="text1"/>
                    <w:lang w:val="en-GB"/>
                  </w:rPr>
                  <w:t>surveys.</w:t>
                </w:r>
              </w:p>
              <w:p w14:paraId="12A58E95" w14:textId="77777777" w:rsidR="00986011" w:rsidRPr="00207B6F" w:rsidRDefault="00986011" w:rsidP="00986011">
                <w:pPr>
                  <w:contextualSpacing/>
                  <w:rPr>
                    <w:rFonts w:asciiTheme="majorHAnsi" w:hAnsiTheme="majorHAnsi"/>
                    <w:color w:val="000000" w:themeColor="text1"/>
                    <w:sz w:val="10"/>
                    <w:szCs w:val="10"/>
                    <w:lang w:val="en-US"/>
                  </w:rPr>
                </w:pPr>
              </w:p>
              <w:p w14:paraId="4A998B42" w14:textId="433A1976" w:rsidR="00EA607C" w:rsidRPr="004D7162" w:rsidRDefault="00986011" w:rsidP="00986011">
                <w:pPr>
                  <w:spacing w:before="80" w:after="0"/>
                  <w:rPr>
                    <w:rFonts w:asciiTheme="majorHAnsi" w:hAnsiTheme="majorHAnsi"/>
                    <w:b/>
                    <w:color w:val="000000" w:themeColor="text1"/>
                    <w:szCs w:val="20"/>
                    <w:lang w:val="en-GB"/>
                  </w:rPr>
                </w:pPr>
                <w:r w:rsidRPr="004D7162">
                  <w:rPr>
                    <w:rFonts w:asciiTheme="majorHAnsi" w:hAnsiTheme="majorHAnsi"/>
                    <w:b/>
                    <w:color w:val="000000" w:themeColor="text1"/>
                    <w:szCs w:val="20"/>
                    <w:lang w:val="en-GB"/>
                  </w:rPr>
                  <w:t xml:space="preserve">Main </w:t>
                </w:r>
                <w:r w:rsidR="0028672F">
                  <w:rPr>
                    <w:rFonts w:asciiTheme="majorHAnsi" w:hAnsiTheme="majorHAnsi"/>
                    <w:b/>
                    <w:color w:val="000000" w:themeColor="text1"/>
                    <w:szCs w:val="20"/>
                    <w:lang w:val="en-GB"/>
                  </w:rPr>
                  <w:t>system</w:t>
                </w:r>
                <w:r w:rsidRPr="004D7162">
                  <w:rPr>
                    <w:rFonts w:asciiTheme="majorHAnsi" w:hAnsiTheme="majorHAnsi"/>
                    <w:b/>
                    <w:color w:val="000000" w:themeColor="text1"/>
                    <w:szCs w:val="20"/>
                    <w:lang w:val="en-GB"/>
                  </w:rPr>
                  <w:t xml:space="preserve"> recommendations</w:t>
                </w:r>
                <w:r w:rsidR="00EA607C" w:rsidRPr="004D7162">
                  <w:rPr>
                    <w:rFonts w:asciiTheme="majorHAnsi" w:hAnsiTheme="majorHAnsi"/>
                    <w:b/>
                    <w:color w:val="000000" w:themeColor="text1"/>
                    <w:szCs w:val="20"/>
                    <w:lang w:val="en-GB"/>
                  </w:rPr>
                  <w:t>:</w:t>
                </w:r>
              </w:p>
              <w:p w14:paraId="7D8B6902" w14:textId="77777777" w:rsidR="00986011" w:rsidRPr="004D7162" w:rsidRDefault="00986011" w:rsidP="00986011">
                <w:pPr>
                  <w:spacing w:before="0" w:after="0"/>
                  <w:rPr>
                    <w:rFonts w:asciiTheme="majorHAnsi" w:hAnsiTheme="majorHAnsi"/>
                    <w:b/>
                    <w:color w:val="000000" w:themeColor="text1"/>
                    <w:sz w:val="4"/>
                    <w:szCs w:val="4"/>
                    <w:lang w:val="en-GB"/>
                  </w:rPr>
                </w:pPr>
              </w:p>
              <w:p w14:paraId="19ECB799" w14:textId="18E78409" w:rsidR="004D7162"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 xml:space="preserve">Intervention must include increasing the capacity and range of public transport (especially peak </w:t>
                </w:r>
                <w:r>
                  <w:rPr>
                    <w:rFonts w:asciiTheme="majorHAnsi" w:hAnsiTheme="majorHAnsi"/>
                    <w:color w:val="000000" w:themeColor="text1"/>
                    <w:szCs w:val="20"/>
                    <w:lang w:val="en-GB"/>
                  </w:rPr>
                  <w:t xml:space="preserve">hours </w:t>
                </w:r>
                <w:r w:rsidRPr="004D7162">
                  <w:rPr>
                    <w:rFonts w:asciiTheme="majorHAnsi" w:hAnsiTheme="majorHAnsi"/>
                    <w:color w:val="000000" w:themeColor="text1"/>
                    <w:szCs w:val="20"/>
                    <w:lang w:val="en-GB"/>
                  </w:rPr>
                  <w:t xml:space="preserve">operating </w:t>
                </w:r>
                <w:r>
                  <w:rPr>
                    <w:rFonts w:asciiTheme="majorHAnsi" w:hAnsiTheme="majorHAnsi"/>
                    <w:color w:val="000000" w:themeColor="text1"/>
                    <w:szCs w:val="20"/>
                    <w:lang w:val="en-GB"/>
                  </w:rPr>
                  <w:t>work</w:t>
                </w:r>
                <w:r w:rsidRPr="004D7162">
                  <w:rPr>
                    <w:rFonts w:asciiTheme="majorHAnsi" w:hAnsiTheme="majorHAnsi"/>
                    <w:color w:val="000000" w:themeColor="text1"/>
                    <w:szCs w:val="20"/>
                    <w:lang w:val="en-GB"/>
                  </w:rPr>
                  <w:t>), not roads.</w:t>
                </w:r>
              </w:p>
              <w:p w14:paraId="294C2EB7" w14:textId="26971BAB" w:rsidR="004D7162"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Investments should focus on energy-saving solutions that reduce the current cost of operating the transport system (ITS and alternative drives).</w:t>
                </w:r>
              </w:p>
              <w:p w14:paraId="6AA8FCEB" w14:textId="661E7711" w:rsidR="004D7162"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 xml:space="preserve">It is justified to maintain the advantage of infrastructure investments over rolling stock, due to the greater delay in adapting these elements to </w:t>
                </w:r>
                <w:r>
                  <w:rPr>
                    <w:rFonts w:asciiTheme="majorHAnsi" w:hAnsiTheme="majorHAnsi"/>
                    <w:color w:val="000000" w:themeColor="text1"/>
                    <w:szCs w:val="20"/>
                    <w:lang w:val="en-GB"/>
                  </w:rPr>
                  <w:t>service</w:t>
                </w:r>
                <w:r w:rsidRPr="004D7162">
                  <w:rPr>
                    <w:rFonts w:asciiTheme="majorHAnsi" w:hAnsiTheme="majorHAnsi"/>
                    <w:color w:val="000000" w:themeColor="text1"/>
                    <w:szCs w:val="20"/>
                    <w:lang w:val="en-GB"/>
                  </w:rPr>
                  <w:t xml:space="preserve"> all public transport </w:t>
                </w:r>
                <w:r>
                  <w:rPr>
                    <w:rFonts w:asciiTheme="majorHAnsi" w:hAnsiTheme="majorHAnsi"/>
                    <w:color w:val="000000" w:themeColor="text1"/>
                    <w:szCs w:val="20"/>
                    <w:lang w:val="en-GB"/>
                  </w:rPr>
                  <w:t>passengers.</w:t>
                </w:r>
              </w:p>
              <w:p w14:paraId="6FFBA66C" w14:textId="378CCCBB" w:rsidR="004D7162"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Investments should cover all road infrastructure, focusing on its function for public transport passengers and non-motorized users.</w:t>
                </w:r>
              </w:p>
              <w:p w14:paraId="242C8262" w14:textId="312A9E9D" w:rsidR="004D7162"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 xml:space="preserve">The Blue Book and CBA records should be modified for users of Park &amp; </w:t>
                </w:r>
                <w:r w:rsidRPr="004D7162">
                  <w:rPr>
                    <w:rFonts w:ascii="Cambria Math" w:hAnsi="Cambria Math" w:cs="Cambria Math"/>
                    <w:color w:val="000000" w:themeColor="text1"/>
                    <w:szCs w:val="20"/>
                    <w:lang w:val="en-GB"/>
                  </w:rPr>
                  <w:t>​​</w:t>
                </w:r>
                <w:r w:rsidRPr="004D7162">
                  <w:rPr>
                    <w:rFonts w:asciiTheme="majorHAnsi" w:hAnsiTheme="majorHAnsi"/>
                    <w:color w:val="000000" w:themeColor="text1"/>
                    <w:szCs w:val="20"/>
                    <w:lang w:val="en-GB"/>
                  </w:rPr>
                  <w:t>Ride systems to include only the marginal cost of car consumption per kilometre.</w:t>
                </w:r>
              </w:p>
              <w:p w14:paraId="5A92BAE6" w14:textId="07E7556E" w:rsidR="004D7162" w:rsidRPr="004D7162" w:rsidRDefault="004D7162" w:rsidP="004D7162">
                <w:pPr>
                  <w:numPr>
                    <w:ilvl w:val="0"/>
                    <w:numId w:val="3"/>
                  </w:numPr>
                  <w:contextualSpacing/>
                  <w:rPr>
                    <w:rFonts w:asciiTheme="majorHAnsi" w:hAnsiTheme="majorHAnsi"/>
                    <w:color w:val="000000" w:themeColor="text1"/>
                    <w:szCs w:val="20"/>
                    <w:lang w:val="en-GB"/>
                  </w:rPr>
                </w:pPr>
                <w:r>
                  <w:rPr>
                    <w:rFonts w:asciiTheme="majorHAnsi" w:hAnsiTheme="majorHAnsi"/>
                    <w:color w:val="000000" w:themeColor="text1"/>
                    <w:szCs w:val="20"/>
                    <w:lang w:val="en-GB"/>
                  </w:rPr>
                  <w:t>Transport o</w:t>
                </w:r>
                <w:r w:rsidRPr="004D7162">
                  <w:rPr>
                    <w:rFonts w:asciiTheme="majorHAnsi" w:hAnsiTheme="majorHAnsi"/>
                    <w:color w:val="000000" w:themeColor="text1"/>
                    <w:szCs w:val="20"/>
                    <w:lang w:val="en-GB"/>
                  </w:rPr>
                  <w:t xml:space="preserve">rganizers should manage the quality of emergency service, with the support of ITS solutions (e.g. data warehouses, analytical databases). </w:t>
                </w:r>
                <w:r>
                  <w:rPr>
                    <w:rFonts w:asciiTheme="majorHAnsi" w:hAnsiTheme="majorHAnsi"/>
                    <w:color w:val="000000" w:themeColor="text1"/>
                    <w:szCs w:val="20"/>
                    <w:lang w:val="en-GB"/>
                  </w:rPr>
                  <w:t>E</w:t>
                </w:r>
                <w:r w:rsidRPr="004D7162">
                  <w:rPr>
                    <w:rFonts w:asciiTheme="majorHAnsi" w:hAnsiTheme="majorHAnsi"/>
                    <w:color w:val="000000" w:themeColor="text1"/>
                    <w:szCs w:val="20"/>
                    <w:lang w:val="en-GB"/>
                  </w:rPr>
                  <w:t>mergency information systems that really work</w:t>
                </w:r>
                <w:r>
                  <w:rPr>
                    <w:rFonts w:asciiTheme="majorHAnsi" w:hAnsiTheme="majorHAnsi"/>
                    <w:color w:val="000000" w:themeColor="text1"/>
                    <w:szCs w:val="20"/>
                    <w:lang w:val="en-GB"/>
                  </w:rPr>
                  <w:t xml:space="preserve"> should be built</w:t>
                </w:r>
                <w:r w:rsidRPr="004D7162">
                  <w:rPr>
                    <w:rFonts w:asciiTheme="majorHAnsi" w:hAnsiTheme="majorHAnsi"/>
                    <w:color w:val="000000" w:themeColor="text1"/>
                    <w:szCs w:val="20"/>
                    <w:lang w:val="en-GB"/>
                  </w:rPr>
                  <w:t>.</w:t>
                </w:r>
              </w:p>
              <w:p w14:paraId="0F3C25A9" w14:textId="3537E7D4" w:rsidR="00EA607C" w:rsidRPr="004D7162" w:rsidRDefault="004D7162" w:rsidP="004D7162">
                <w:pPr>
                  <w:numPr>
                    <w:ilvl w:val="0"/>
                    <w:numId w:val="3"/>
                  </w:numPr>
                  <w:contextualSpacing/>
                  <w:rPr>
                    <w:rFonts w:asciiTheme="majorHAnsi" w:hAnsiTheme="majorHAnsi"/>
                    <w:color w:val="000000" w:themeColor="text1"/>
                    <w:szCs w:val="20"/>
                    <w:lang w:val="en-GB"/>
                  </w:rPr>
                </w:pPr>
                <w:r w:rsidRPr="004D7162">
                  <w:rPr>
                    <w:rFonts w:asciiTheme="majorHAnsi" w:hAnsiTheme="majorHAnsi"/>
                    <w:color w:val="000000" w:themeColor="text1"/>
                    <w:szCs w:val="20"/>
                    <w:lang w:val="en-GB"/>
                  </w:rPr>
                  <w:t>The same investment procedures should be used for the infrastructure of any branch of transport - to be able to implement tram, road, bicycle and pedestrian investments in isolation on the same principles, and not for the benefit of one procedure relative to others.</w:t>
                </w:r>
              </w:p>
            </w:tc>
          </w:tr>
        </w:tbl>
        <w:p w14:paraId="5178BF44" w14:textId="52AFE7D5" w:rsidR="00EA607C" w:rsidRPr="00A937C5" w:rsidRDefault="00EA607C" w:rsidP="00EA607C">
          <w:pPr>
            <w:ind w:right="-1"/>
            <w:rPr>
              <w:lang w:val="en-GB"/>
            </w:rPr>
          </w:pPr>
          <w:r w:rsidRPr="00A937C5">
            <w:rPr>
              <w:lang w:val="en-GB"/>
            </w:rPr>
            <w:lastRenderedPageBreak/>
            <w:t xml:space="preserve">The main objective of this study was to develop a methodology for measuring indicators and to create an input database, along with the consolidation and supplementation of the transport database from the pilot study, for assessing the impact of </w:t>
          </w:r>
          <w:r w:rsidR="00A937C5" w:rsidRPr="00A937C5">
            <w:rPr>
              <w:lang w:val="en-GB"/>
            </w:rPr>
            <w:t>support</w:t>
          </w:r>
          <w:r w:rsidRPr="00A937C5">
            <w:rPr>
              <w:lang w:val="en-GB"/>
            </w:rPr>
            <w:t xml:space="preserve"> under the Priority Axis VI of Operational Programme Infrastructure and </w:t>
          </w:r>
          <w:r w:rsidR="00A937C5" w:rsidRPr="00A937C5">
            <w:rPr>
              <w:lang w:val="en-GB"/>
            </w:rPr>
            <w:t>Environment</w:t>
          </w:r>
          <w:r w:rsidRPr="00A937C5">
            <w:rPr>
              <w:lang w:val="en-GB"/>
            </w:rPr>
            <w:t xml:space="preserve"> </w:t>
          </w:r>
          <w:r w:rsidR="00913BA5" w:rsidRPr="00A937C5">
            <w:rPr>
              <w:lang w:val="en-GB"/>
            </w:rPr>
            <w:t xml:space="preserve">(OPI&amp;E) </w:t>
          </w:r>
          <w:r w:rsidRPr="00A937C5">
            <w:rPr>
              <w:lang w:val="en-GB"/>
            </w:rPr>
            <w:t>2014-2020 on improving:</w:t>
          </w:r>
        </w:p>
        <w:p w14:paraId="469F72AF" w14:textId="61EE4E83" w:rsidR="00EA607C" w:rsidRPr="00A937C5" w:rsidRDefault="00EA607C" w:rsidP="00EA607C">
          <w:pPr>
            <w:pStyle w:val="Akapitzlist"/>
            <w:numPr>
              <w:ilvl w:val="0"/>
              <w:numId w:val="57"/>
            </w:numPr>
            <w:ind w:left="1134" w:right="-1" w:hanging="774"/>
            <w:rPr>
              <w:lang w:val="en-GB"/>
            </w:rPr>
          </w:pPr>
          <w:r w:rsidRPr="00A937C5">
            <w:rPr>
              <w:lang w:val="en-GB"/>
            </w:rPr>
            <w:t>traffic flow,</w:t>
          </w:r>
        </w:p>
        <w:p w14:paraId="049EF3A9" w14:textId="10519770" w:rsidR="00EA607C" w:rsidRPr="00A937C5" w:rsidRDefault="00EA607C" w:rsidP="00EA607C">
          <w:pPr>
            <w:pStyle w:val="Akapitzlist"/>
            <w:numPr>
              <w:ilvl w:val="0"/>
              <w:numId w:val="57"/>
            </w:numPr>
            <w:ind w:left="1134" w:right="-1" w:hanging="774"/>
            <w:rPr>
              <w:lang w:val="en-GB"/>
            </w:rPr>
          </w:pPr>
          <w:r w:rsidRPr="00A937C5">
            <w:rPr>
              <w:lang w:val="en-GB"/>
            </w:rPr>
            <w:t>traffic safety,</w:t>
          </w:r>
        </w:p>
        <w:p w14:paraId="2EBF931C" w14:textId="25D6AAA8" w:rsidR="00EA607C" w:rsidRPr="00A937C5" w:rsidRDefault="00EA607C" w:rsidP="00EA607C">
          <w:pPr>
            <w:pStyle w:val="Akapitzlist"/>
            <w:numPr>
              <w:ilvl w:val="0"/>
              <w:numId w:val="57"/>
            </w:numPr>
            <w:ind w:left="1134" w:right="-1" w:hanging="774"/>
            <w:rPr>
              <w:lang w:val="en-GB"/>
            </w:rPr>
          </w:pPr>
          <w:r w:rsidRPr="00A937C5">
            <w:rPr>
              <w:lang w:val="en-GB"/>
            </w:rPr>
            <w:t>integration of transport systems in cities,</w:t>
          </w:r>
        </w:p>
        <w:p w14:paraId="375DBF48" w14:textId="09D31277" w:rsidR="00EA607C" w:rsidRPr="00A937C5" w:rsidRDefault="00EA607C" w:rsidP="00EA607C">
          <w:pPr>
            <w:pStyle w:val="Akapitzlist"/>
            <w:numPr>
              <w:ilvl w:val="0"/>
              <w:numId w:val="57"/>
            </w:numPr>
            <w:ind w:left="1134" w:right="-1" w:hanging="774"/>
            <w:rPr>
              <w:lang w:val="en-GB"/>
            </w:rPr>
          </w:pPr>
          <w:r w:rsidRPr="00A937C5">
            <w:rPr>
              <w:lang w:val="en-GB"/>
            </w:rPr>
            <w:t>modal split of city transport.</w:t>
          </w:r>
        </w:p>
        <w:p w14:paraId="61A443B0" w14:textId="42F33DDE" w:rsidR="00EA607C" w:rsidRPr="00A937C5" w:rsidRDefault="00EA607C" w:rsidP="00EA607C">
          <w:pPr>
            <w:ind w:right="375"/>
            <w:rPr>
              <w:lang w:val="en-GB"/>
            </w:rPr>
          </w:pPr>
          <w:r w:rsidRPr="00A937C5">
            <w:rPr>
              <w:lang w:val="en-GB"/>
            </w:rPr>
            <w:t xml:space="preserve">The </w:t>
          </w:r>
          <w:r w:rsidR="00A937C5" w:rsidRPr="00A937C5">
            <w:rPr>
              <w:lang w:val="en-GB"/>
            </w:rPr>
            <w:t>research</w:t>
          </w:r>
          <w:r w:rsidRPr="00A937C5">
            <w:rPr>
              <w:lang w:val="en-GB"/>
            </w:rPr>
            <w:t xml:space="preserve"> methodology included:</w:t>
          </w:r>
        </w:p>
        <w:p w14:paraId="0ADC8158" w14:textId="4C778950" w:rsidR="00913BA5" w:rsidRPr="00A937C5" w:rsidRDefault="00913BA5" w:rsidP="00913BA5">
          <w:pPr>
            <w:numPr>
              <w:ilvl w:val="0"/>
              <w:numId w:val="37"/>
            </w:numPr>
            <w:ind w:right="-1"/>
            <w:contextualSpacing/>
            <w:rPr>
              <w:lang w:val="en-GB"/>
            </w:rPr>
          </w:pPr>
          <w:r w:rsidRPr="00A937C5">
            <w:rPr>
              <w:lang w:val="en-GB"/>
            </w:rPr>
            <w:t>13 interviews among organizers or operators of public transport in voivodship cities of OPI&amp;E 2014-2020,</w:t>
          </w:r>
        </w:p>
        <w:p w14:paraId="485AB38F" w14:textId="6C471BD7" w:rsidR="00913BA5" w:rsidRPr="00A937C5" w:rsidRDefault="00913BA5" w:rsidP="00913BA5">
          <w:pPr>
            <w:numPr>
              <w:ilvl w:val="0"/>
              <w:numId w:val="37"/>
            </w:numPr>
            <w:ind w:right="-1"/>
            <w:contextualSpacing/>
            <w:rPr>
              <w:lang w:val="en-GB"/>
            </w:rPr>
          </w:pPr>
          <w:r w:rsidRPr="00A937C5">
            <w:rPr>
              <w:lang w:val="en-GB"/>
            </w:rPr>
            <w:t>surveys of organizers and operators of public transport in 50 cities and their functional areas,</w:t>
          </w:r>
        </w:p>
        <w:p w14:paraId="5AA73D54" w14:textId="2A432156" w:rsidR="00913BA5" w:rsidRPr="00A937C5" w:rsidRDefault="00913BA5" w:rsidP="00913BA5">
          <w:pPr>
            <w:numPr>
              <w:ilvl w:val="0"/>
              <w:numId w:val="37"/>
            </w:numPr>
            <w:ind w:right="-1"/>
            <w:contextualSpacing/>
            <w:rPr>
              <w:lang w:val="en-GB"/>
            </w:rPr>
          </w:pPr>
          <w:r w:rsidRPr="00A937C5">
            <w:rPr>
              <w:lang w:val="en-GB"/>
            </w:rPr>
            <w:t>big data analysis of travel times in individual and public transport for 155 relations in 13 voivodship cities and their functional areas - measurement in October 2019,</w:t>
          </w:r>
        </w:p>
        <w:p w14:paraId="5CE8AB30" w14:textId="64CC8370" w:rsidR="00913BA5" w:rsidRPr="00A937C5" w:rsidRDefault="00913BA5" w:rsidP="00913BA5">
          <w:pPr>
            <w:numPr>
              <w:ilvl w:val="0"/>
              <w:numId w:val="37"/>
            </w:numPr>
            <w:ind w:right="-1"/>
            <w:contextualSpacing/>
            <w:rPr>
              <w:lang w:val="en-GB"/>
            </w:rPr>
          </w:pPr>
          <w:r w:rsidRPr="00A937C5">
            <w:rPr>
              <w:lang w:val="en-GB"/>
            </w:rPr>
            <w:t>8 local visions of interchanges: 6 subject to OPI&amp;E intervention and 2 not subjected to intervention,</w:t>
          </w:r>
        </w:p>
        <w:p w14:paraId="64FC2AF3" w14:textId="3E926A5B" w:rsidR="00913BA5" w:rsidRPr="00A937C5" w:rsidRDefault="00913BA5" w:rsidP="00913BA5">
          <w:pPr>
            <w:numPr>
              <w:ilvl w:val="0"/>
              <w:numId w:val="37"/>
            </w:numPr>
            <w:ind w:right="-1"/>
            <w:contextualSpacing/>
            <w:rPr>
              <w:lang w:val="en-GB"/>
            </w:rPr>
          </w:pPr>
          <w:r w:rsidRPr="00A937C5">
            <w:rPr>
              <w:lang w:val="en-GB"/>
            </w:rPr>
            <w:t>CAWI panel on a sample of 4001 residents of 20 OPI&amp;E cities and counterfactual cities,</w:t>
          </w:r>
        </w:p>
        <w:p w14:paraId="3908964D" w14:textId="7EA62BF2" w:rsidR="00913BA5" w:rsidRPr="00A937C5" w:rsidRDefault="00913BA5" w:rsidP="00913BA5">
          <w:pPr>
            <w:numPr>
              <w:ilvl w:val="0"/>
              <w:numId w:val="37"/>
            </w:numPr>
            <w:ind w:right="-1"/>
            <w:contextualSpacing/>
            <w:rPr>
              <w:lang w:val="en-GB"/>
            </w:rPr>
          </w:pPr>
          <w:r w:rsidRPr="00A937C5">
            <w:rPr>
              <w:lang w:val="en-GB"/>
            </w:rPr>
            <w:t>analysis of the net transport effect and social impact of investments in public transport on a sample of 23 voivodship and subregional cities using the SPSM (Stratified Propensity Score Matching) method,</w:t>
          </w:r>
        </w:p>
        <w:p w14:paraId="29947C6E" w14:textId="3EE4DCC0" w:rsidR="00913BA5" w:rsidRPr="00A937C5" w:rsidRDefault="00913BA5" w:rsidP="00913BA5">
          <w:pPr>
            <w:numPr>
              <w:ilvl w:val="0"/>
              <w:numId w:val="37"/>
            </w:numPr>
            <w:ind w:right="-1"/>
            <w:contextualSpacing/>
            <w:rPr>
              <w:lang w:val="en-GB"/>
            </w:rPr>
          </w:pPr>
          <w:r w:rsidRPr="00A937C5">
            <w:rPr>
              <w:lang w:val="en-GB"/>
            </w:rPr>
            <w:t>verification of the cost-benefit analysis for the projects of the Warsaw Functional Area, and in particular for the construction of Park &amp; Ride car parks.</w:t>
          </w:r>
        </w:p>
        <w:p w14:paraId="74CF96C3" w14:textId="77777777" w:rsidR="00EA607C" w:rsidRPr="00A937C5" w:rsidRDefault="00EA607C" w:rsidP="00EA607C">
          <w:pPr>
            <w:ind w:right="-1"/>
            <w:contextualSpacing/>
            <w:rPr>
              <w:lang w:val="en-GB"/>
            </w:rPr>
          </w:pPr>
        </w:p>
        <w:p w14:paraId="7F743D28" w14:textId="7154125C" w:rsidR="00913BA5" w:rsidRPr="00A937C5" w:rsidRDefault="00913BA5" w:rsidP="00EA607C">
          <w:pPr>
            <w:ind w:right="-1"/>
            <w:rPr>
              <w:lang w:val="en-GB"/>
            </w:rPr>
          </w:pPr>
          <w:r w:rsidRPr="00A937C5">
            <w:rPr>
              <w:lang w:val="en-GB"/>
            </w:rPr>
            <w:t>Research products include:</w:t>
          </w:r>
        </w:p>
        <w:p w14:paraId="128EE5E4" w14:textId="31BE1D79" w:rsidR="00913BA5" w:rsidRPr="00A937C5" w:rsidRDefault="00913BA5" w:rsidP="00913BA5">
          <w:pPr>
            <w:numPr>
              <w:ilvl w:val="0"/>
              <w:numId w:val="38"/>
            </w:numPr>
            <w:ind w:right="-1"/>
            <w:contextualSpacing/>
            <w:rPr>
              <w:lang w:val="en-GB"/>
            </w:rPr>
          </w:pPr>
          <w:r w:rsidRPr="00A937C5">
            <w:rPr>
              <w:lang w:val="en-GB"/>
            </w:rPr>
            <w:t>database of individual and public transport travel times (scheduled and partly real time from ITS) for 155 model relations in 13 functional areas of voivodship cities, together with the Google Maps API query script,</w:t>
          </w:r>
        </w:p>
        <w:p w14:paraId="0F1613BA" w14:textId="7B2173B8" w:rsidR="00913BA5" w:rsidRPr="00A937C5" w:rsidRDefault="00913BA5" w:rsidP="00913BA5">
          <w:pPr>
            <w:numPr>
              <w:ilvl w:val="0"/>
              <w:numId w:val="38"/>
            </w:numPr>
            <w:ind w:right="-1"/>
            <w:contextualSpacing/>
            <w:rPr>
              <w:lang w:val="en-GB"/>
            </w:rPr>
          </w:pPr>
          <w:r w:rsidRPr="00A937C5">
            <w:rPr>
              <w:lang w:val="en-GB"/>
            </w:rPr>
            <w:t xml:space="preserve">an updated database from the pilot study containing the most important information about public transport systems, transport infrastructure and investments, as well as indicators describing </w:t>
          </w:r>
          <w:r w:rsidR="00D9197F" w:rsidRPr="00A937C5">
            <w:rPr>
              <w:lang w:val="en-GB"/>
            </w:rPr>
            <w:t xml:space="preserve">road </w:t>
          </w:r>
          <w:r w:rsidRPr="00A937C5">
            <w:rPr>
              <w:lang w:val="en-GB"/>
            </w:rPr>
            <w:t>traffic, the socio-economic situation and other indicators relevant to the study,</w:t>
          </w:r>
        </w:p>
        <w:p w14:paraId="5CFF8D60" w14:textId="39332E13" w:rsidR="00913BA5" w:rsidRPr="00A937C5" w:rsidRDefault="00913BA5" w:rsidP="00913BA5">
          <w:pPr>
            <w:numPr>
              <w:ilvl w:val="0"/>
              <w:numId w:val="38"/>
            </w:numPr>
            <w:ind w:right="-1"/>
            <w:contextualSpacing/>
            <w:rPr>
              <w:lang w:val="en-GB"/>
            </w:rPr>
          </w:pPr>
          <w:r w:rsidRPr="00A937C5">
            <w:rPr>
              <w:lang w:val="en-GB"/>
            </w:rPr>
            <w:t>8 case studies of interchange</w:t>
          </w:r>
          <w:r w:rsidR="00A937C5" w:rsidRPr="00A937C5">
            <w:rPr>
              <w:lang w:val="en-GB"/>
            </w:rPr>
            <w:t>s</w:t>
          </w:r>
          <w:r w:rsidRPr="00A937C5">
            <w:rPr>
              <w:lang w:val="en-GB"/>
            </w:rPr>
            <w:t xml:space="preserve"> with their multi-criteria assessment and photographic documentation,</w:t>
          </w:r>
        </w:p>
        <w:p w14:paraId="52DF8EAA" w14:textId="344CB4AA" w:rsidR="00913BA5" w:rsidRPr="00A937C5" w:rsidRDefault="00913BA5" w:rsidP="00913BA5">
          <w:pPr>
            <w:numPr>
              <w:ilvl w:val="0"/>
              <w:numId w:val="38"/>
            </w:numPr>
            <w:ind w:right="-1"/>
            <w:contextualSpacing/>
            <w:rPr>
              <w:lang w:val="en-GB"/>
            </w:rPr>
          </w:pPr>
          <w:r w:rsidRPr="00A937C5">
            <w:rPr>
              <w:lang w:val="en-GB"/>
            </w:rPr>
            <w:t xml:space="preserve">the CAWI panel database on transport </w:t>
          </w:r>
          <w:r w:rsidR="00A937C5" w:rsidRPr="00A937C5">
            <w:rPr>
              <w:lang w:val="en-GB"/>
            </w:rPr>
            <w:t>behaviour</w:t>
          </w:r>
          <w:r w:rsidRPr="00A937C5">
            <w:rPr>
              <w:lang w:val="en-GB"/>
            </w:rPr>
            <w:t xml:space="preserve"> and preferences of the inhabitants of the cities studied, as well as the questionnaire on the basis of which it was created,</w:t>
          </w:r>
        </w:p>
        <w:p w14:paraId="514A7212" w14:textId="7DBBB01A" w:rsidR="00913BA5" w:rsidRDefault="00913BA5" w:rsidP="00913BA5">
          <w:pPr>
            <w:numPr>
              <w:ilvl w:val="0"/>
              <w:numId w:val="38"/>
            </w:numPr>
            <w:ind w:right="-1"/>
            <w:contextualSpacing/>
            <w:rPr>
              <w:lang w:val="en-GB"/>
            </w:rPr>
          </w:pPr>
          <w:r w:rsidRPr="00A937C5">
            <w:rPr>
              <w:lang w:val="en-GB"/>
            </w:rPr>
            <w:t xml:space="preserve">vector data of the location of the </w:t>
          </w:r>
          <w:r w:rsidR="00A937C5" w:rsidRPr="00A937C5">
            <w:rPr>
              <w:lang w:val="en-GB"/>
            </w:rPr>
            <w:t xml:space="preserve">PA </w:t>
          </w:r>
          <w:r w:rsidRPr="00A937C5">
            <w:rPr>
              <w:lang w:val="en-GB"/>
            </w:rPr>
            <w:t>VI OPI&amp;E investment</w:t>
          </w:r>
          <w:r w:rsidR="00A937C5" w:rsidRPr="00A937C5">
            <w:rPr>
              <w:lang w:val="en-GB"/>
            </w:rPr>
            <w:t>s</w:t>
          </w:r>
          <w:r w:rsidRPr="00A937C5">
            <w:rPr>
              <w:lang w:val="en-GB"/>
            </w:rPr>
            <w:t xml:space="preserve"> and shortages of road infrastructure and public transport capacity.</w:t>
          </w:r>
        </w:p>
        <w:p w14:paraId="32B1805B" w14:textId="77777777" w:rsidR="00913BA5" w:rsidRPr="00A937C5" w:rsidRDefault="00913BA5" w:rsidP="00913BA5">
          <w:pPr>
            <w:ind w:right="-1"/>
            <w:contextualSpacing/>
            <w:rPr>
              <w:lang w:val="en-GB"/>
            </w:rPr>
          </w:pPr>
        </w:p>
        <w:p w14:paraId="14475C6F" w14:textId="09AD78FF" w:rsidR="00A937C5" w:rsidRDefault="00A937C5" w:rsidP="00EA607C">
          <w:pPr>
            <w:ind w:right="-1"/>
            <w:rPr>
              <w:lang w:val="en"/>
            </w:rPr>
          </w:pPr>
          <w:r>
            <w:rPr>
              <w:rStyle w:val="tlid-translation"/>
              <w:lang w:val="en"/>
            </w:rPr>
            <w:t xml:space="preserve">The interventions of OPI&amp;E 2014-2020 are planned adequately to the size of cities in which they are implemented. In terms of value, the largest projects are carried out in Warsaw (total value of almost PLN 9 billion) and in terms of the number of projects - in the </w:t>
          </w:r>
          <w:r w:rsidRPr="00A937C5">
            <w:rPr>
              <w:rStyle w:val="tlid-translation"/>
              <w:lang w:val="en"/>
            </w:rPr>
            <w:t xml:space="preserve">Metropolitan Association of Upper Silesia and </w:t>
          </w:r>
          <w:proofErr w:type="spellStart"/>
          <w:r w:rsidRPr="00A937C5">
            <w:rPr>
              <w:rStyle w:val="tlid-translation"/>
              <w:lang w:val="en"/>
            </w:rPr>
            <w:t>Dąbrowa</w:t>
          </w:r>
          <w:proofErr w:type="spellEnd"/>
          <w:r w:rsidRPr="00A937C5">
            <w:rPr>
              <w:rStyle w:val="tlid-translation"/>
              <w:lang w:val="en"/>
            </w:rPr>
            <w:t xml:space="preserve"> Basin</w:t>
          </w:r>
          <w:r>
            <w:rPr>
              <w:rStyle w:val="tlid-translation"/>
              <w:lang w:val="en"/>
            </w:rPr>
            <w:t xml:space="preserve"> (8 projects + Jaworzno), which corresponds to the role and specificity of these areas. The total value of all OPI&amp;E projects for 2014-2020 is PLN 17.2 billion.</w:t>
          </w:r>
        </w:p>
        <w:p w14:paraId="29D1A940" w14:textId="2516B9C0" w:rsidR="00A937C5" w:rsidRDefault="00A937C5" w:rsidP="00EA607C">
          <w:pPr>
            <w:ind w:right="-1"/>
            <w:rPr>
              <w:rStyle w:val="tlid-translation"/>
              <w:lang w:val="en"/>
            </w:rPr>
          </w:pPr>
          <w:r>
            <w:rPr>
              <w:rStyle w:val="tlid-translation"/>
              <w:lang w:val="en"/>
            </w:rPr>
            <w:t>Most of the cities covered by the survey already have I</w:t>
          </w:r>
          <w:r w:rsidR="00FC770D">
            <w:rPr>
              <w:rStyle w:val="tlid-translation"/>
              <w:lang w:val="en"/>
            </w:rPr>
            <w:t>TS</w:t>
          </w:r>
          <w:r>
            <w:rPr>
              <w:rStyle w:val="tlid-translation"/>
              <w:lang w:val="en"/>
            </w:rPr>
            <w:t xml:space="preserve"> for </w:t>
          </w:r>
          <w:r w:rsidR="00FC770D">
            <w:rPr>
              <w:rStyle w:val="tlid-translation"/>
              <w:lang w:val="en"/>
            </w:rPr>
            <w:t xml:space="preserve">managing traffic of </w:t>
          </w:r>
          <w:r>
            <w:rPr>
              <w:rStyle w:val="tlid-translation"/>
              <w:lang w:val="en"/>
            </w:rPr>
            <w:t xml:space="preserve">public transport vehicles. Comprehensive solutions are still lacking in Gorzów Wielkopolski, Kraków and </w:t>
          </w:r>
          <w:proofErr w:type="spellStart"/>
          <w:r>
            <w:rPr>
              <w:rStyle w:val="tlid-translation"/>
              <w:lang w:val="en"/>
            </w:rPr>
            <w:t>Toruń</w:t>
          </w:r>
          <w:proofErr w:type="spellEnd"/>
          <w:r>
            <w:rPr>
              <w:rStyle w:val="tlid-translation"/>
              <w:lang w:val="en"/>
            </w:rPr>
            <w:t xml:space="preserve"> (</w:t>
          </w:r>
          <w:r w:rsidR="00FC770D">
            <w:rPr>
              <w:rStyle w:val="tlid-translation"/>
              <w:lang w:val="en"/>
            </w:rPr>
            <w:t xml:space="preserve">for </w:t>
          </w:r>
          <w:r>
            <w:rPr>
              <w:rStyle w:val="tlid-translation"/>
              <w:lang w:val="en"/>
            </w:rPr>
            <w:lastRenderedPageBreak/>
            <w:t>bus traffic), but they will be implemented in this perspective of spen</w:t>
          </w:r>
          <w:r w:rsidR="00FC770D">
            <w:rPr>
              <w:rStyle w:val="tlid-translation"/>
              <w:lang w:val="en"/>
            </w:rPr>
            <w:t xml:space="preserve">ding </w:t>
          </w:r>
          <w:r>
            <w:rPr>
              <w:rStyle w:val="tlid-translation"/>
              <w:lang w:val="en"/>
            </w:rPr>
            <w:t>EU funds. In some cases (</w:t>
          </w:r>
          <w:proofErr w:type="spellStart"/>
          <w:r>
            <w:rPr>
              <w:rStyle w:val="tlid-translation"/>
              <w:lang w:val="en"/>
            </w:rPr>
            <w:t>Łódź</w:t>
          </w:r>
          <w:proofErr w:type="spellEnd"/>
          <w:r>
            <w:rPr>
              <w:rStyle w:val="tlid-translation"/>
              <w:lang w:val="en"/>
            </w:rPr>
            <w:t xml:space="preserve">, </w:t>
          </w:r>
          <w:proofErr w:type="spellStart"/>
          <w:r>
            <w:rPr>
              <w:rStyle w:val="tlid-translation"/>
              <w:lang w:val="en"/>
            </w:rPr>
            <w:t>Poznań</w:t>
          </w:r>
          <w:proofErr w:type="spellEnd"/>
          <w:r>
            <w:rPr>
              <w:rStyle w:val="tlid-translation"/>
              <w:lang w:val="en"/>
            </w:rPr>
            <w:t xml:space="preserve">, </w:t>
          </w:r>
          <w:proofErr w:type="spellStart"/>
          <w:r>
            <w:rPr>
              <w:rStyle w:val="tlid-translation"/>
              <w:lang w:val="en"/>
            </w:rPr>
            <w:t>Wrocław</w:t>
          </w:r>
          <w:proofErr w:type="spellEnd"/>
          <w:r>
            <w:rPr>
              <w:rStyle w:val="tlid-translation"/>
              <w:lang w:val="en"/>
            </w:rPr>
            <w:t>) - the systems are not yet cover</w:t>
          </w:r>
          <w:r w:rsidR="00FC770D">
            <w:rPr>
              <w:rStyle w:val="tlid-translation"/>
              <w:lang w:val="en"/>
            </w:rPr>
            <w:t>ing</w:t>
          </w:r>
          <w:r>
            <w:rPr>
              <w:rStyle w:val="tlid-translation"/>
              <w:lang w:val="en"/>
            </w:rPr>
            <w:t xml:space="preserve"> all bus operators, especially </w:t>
          </w:r>
          <w:r w:rsidR="00FC770D">
            <w:rPr>
              <w:rStyle w:val="tlid-translation"/>
              <w:lang w:val="en"/>
            </w:rPr>
            <w:t xml:space="preserve">operators of </w:t>
          </w:r>
          <w:r>
            <w:rPr>
              <w:rStyle w:val="tlid-translation"/>
              <w:lang w:val="en"/>
            </w:rPr>
            <w:t>suburban connections.</w:t>
          </w:r>
        </w:p>
        <w:p w14:paraId="7F3D6DD3" w14:textId="146A69F7" w:rsidR="00FC770D" w:rsidRDefault="00FC770D" w:rsidP="00EA607C">
          <w:pPr>
            <w:ind w:right="-1"/>
            <w:rPr>
              <w:lang w:val="en"/>
            </w:rPr>
          </w:pPr>
          <w:r>
            <w:rPr>
              <w:rStyle w:val="tlid-translation"/>
              <w:lang w:val="en"/>
            </w:rPr>
            <w:t>The updated database provides information about 50 cities, including voivodship cities and their functional areas, regional cities and their functional areas, as well as other selected cities. The information contained in it relates to the functioning of public transport, parking zones, bicycle paths, calm traffic zones, pedestrian zones and planned activities regarding introduction of a</w:t>
          </w:r>
          <w:r w:rsidR="00C37C2C">
            <w:rPr>
              <w:rStyle w:val="tlid-translation"/>
              <w:lang w:val="en"/>
            </w:rPr>
            <w:t> </w:t>
          </w:r>
          <w:r>
            <w:rPr>
              <w:rStyle w:val="tlid-translation"/>
              <w:lang w:val="en"/>
            </w:rPr>
            <w:t>limited emission zones. The collected data relate to the years 2009, 2016 and 2017.</w:t>
          </w:r>
        </w:p>
        <w:p w14:paraId="02C71035" w14:textId="4F88A681" w:rsidR="00FC770D" w:rsidRDefault="00FC770D" w:rsidP="00EA607C">
          <w:pPr>
            <w:ind w:right="-1"/>
            <w:rPr>
              <w:rStyle w:val="tlid-translation"/>
              <w:lang w:val="en"/>
            </w:rPr>
          </w:pPr>
          <w:r>
            <w:rPr>
              <w:rStyle w:val="tlid-translation"/>
              <w:lang w:val="en"/>
            </w:rPr>
            <w:t>In the CAWI panel a picture of residents’ everyday travels was obtained, in which individual transport has the largest share (54%) and the second is public transport (29%). The share of travel by public transport increases and by car decreases as the number of inhabitants of the city increases. The result is particularly important in the group of smaller cities between 100 and 200 thousand inhabitants, because interventions undertaken in public transport in these cities take place at a very unfavorable market division - in cities of this size the majority, 61% of respondents, use a car, and only 23% use public transport.</w:t>
          </w:r>
        </w:p>
        <w:p w14:paraId="58087D41" w14:textId="61B6C5EE" w:rsidR="00FC770D" w:rsidRPr="00FC770D" w:rsidRDefault="00FC770D" w:rsidP="00FC770D">
          <w:pPr>
            <w:ind w:right="-1"/>
            <w:rPr>
              <w:lang w:val="en"/>
            </w:rPr>
          </w:pPr>
          <w:r w:rsidRPr="00FC770D">
            <w:rPr>
              <w:lang w:val="en"/>
            </w:rPr>
            <w:t xml:space="preserve">For the PSM method, piloting of </w:t>
          </w:r>
          <w:r w:rsidR="00222878">
            <w:rPr>
              <w:lang w:val="en"/>
            </w:rPr>
            <w:t xml:space="preserve">change </w:t>
          </w:r>
          <w:r w:rsidRPr="00FC770D">
            <w:rPr>
              <w:lang w:val="en"/>
            </w:rPr>
            <w:t>analy</w:t>
          </w:r>
          <w:r>
            <w:rPr>
              <w:lang w:val="en"/>
            </w:rPr>
            <w:t>sis</w:t>
          </w:r>
          <w:r w:rsidRPr="00FC770D">
            <w:rPr>
              <w:lang w:val="en"/>
            </w:rPr>
            <w:t xml:space="preserve"> in traffic flow on a scale of individual sections was carried out, along with a test search for counterfactual sections for selected 10 investments of </w:t>
          </w:r>
          <w:r>
            <w:rPr>
              <w:lang w:val="en"/>
            </w:rPr>
            <w:t>PA</w:t>
          </w:r>
          <w:r w:rsidRPr="00FC770D">
            <w:rPr>
              <w:lang w:val="en"/>
            </w:rPr>
            <w:t xml:space="preserve"> VI OP</w:t>
          </w:r>
          <w:r>
            <w:rPr>
              <w:lang w:val="en"/>
            </w:rPr>
            <w:t>I&amp;</w:t>
          </w:r>
          <w:r w:rsidRPr="00FC770D">
            <w:rPr>
              <w:lang w:val="en"/>
            </w:rPr>
            <w:t xml:space="preserve">E 2014-2020. Counterfactual sections were selected from a </w:t>
          </w:r>
          <w:r>
            <w:rPr>
              <w:lang w:val="en"/>
            </w:rPr>
            <w:t>group</w:t>
          </w:r>
          <w:r w:rsidRPr="00FC770D">
            <w:rPr>
              <w:lang w:val="en"/>
            </w:rPr>
            <w:t xml:space="preserve"> of over 100 sections of </w:t>
          </w:r>
          <w:r>
            <w:rPr>
              <w:lang w:val="en"/>
            </w:rPr>
            <w:t xml:space="preserve">transport </w:t>
          </w:r>
          <w:r w:rsidRPr="00FC770D">
            <w:rPr>
              <w:lang w:val="en"/>
            </w:rPr>
            <w:t xml:space="preserve">networks of Polish cities, which were assigned the most important features that could determine </w:t>
          </w:r>
          <w:r>
            <w:rPr>
              <w:lang w:val="en"/>
            </w:rPr>
            <w:t>traffic flow</w:t>
          </w:r>
          <w:r w:rsidRPr="00FC770D">
            <w:rPr>
              <w:lang w:val="en"/>
            </w:rPr>
            <w:t xml:space="preserve"> and safety.</w:t>
          </w:r>
        </w:p>
        <w:p w14:paraId="15CBAABE" w14:textId="4116F98D" w:rsidR="00FC770D" w:rsidRDefault="00FC770D" w:rsidP="00FC770D">
          <w:pPr>
            <w:ind w:right="-1"/>
            <w:rPr>
              <w:lang w:val="en"/>
            </w:rPr>
          </w:pPr>
          <w:r w:rsidRPr="00FC770D">
            <w:rPr>
              <w:lang w:val="en"/>
            </w:rPr>
            <w:t xml:space="preserve">A detailed analysis of the presented sheets containing the original cost-benefit analysis (CBA) </w:t>
          </w:r>
          <w:r w:rsidRPr="00FC770D">
            <w:rPr>
              <w:i/>
              <w:lang w:val="en"/>
            </w:rPr>
            <w:t>ex ante</w:t>
          </w:r>
          <w:r w:rsidRPr="00FC770D">
            <w:rPr>
              <w:lang w:val="en"/>
            </w:rPr>
            <w:t xml:space="preserve"> for Warsaw projects indicates that all calculations for these projects are well documented at the level of editable Excel sheets. The pilot indicated, however, that in each case the overall impact of investment was analyzed and therefore the input to the model </w:t>
          </w:r>
          <w:r w:rsidR="00222878">
            <w:rPr>
              <w:lang w:val="en"/>
            </w:rPr>
            <w:t>was</w:t>
          </w:r>
          <w:r w:rsidRPr="00FC770D">
            <w:rPr>
              <w:lang w:val="en"/>
            </w:rPr>
            <w:t xml:space="preserve"> not the number of passengers</w:t>
          </w:r>
          <w:r w:rsidR="00222878">
            <w:rPr>
              <w:lang w:val="en"/>
            </w:rPr>
            <w:t xml:space="preserve"> and travel time on </w:t>
          </w:r>
          <w:r w:rsidRPr="00FC770D">
            <w:rPr>
              <w:lang w:val="en"/>
            </w:rPr>
            <w:t>the given investment, but the total number of hours spent by passengers in the means of transport in the pre-investment option and the post-investment option.</w:t>
          </w:r>
        </w:p>
        <w:p w14:paraId="29706EA4" w14:textId="33B7B75D" w:rsidR="00222878" w:rsidRPr="00A937C5" w:rsidRDefault="00222878" w:rsidP="00FC770D">
          <w:pPr>
            <w:ind w:right="-1"/>
            <w:rPr>
              <w:lang w:val="en"/>
            </w:rPr>
          </w:pPr>
          <w:r w:rsidRPr="00222878">
            <w:rPr>
              <w:lang w:val="en"/>
            </w:rPr>
            <w:t xml:space="preserve">The purpose of the cost-benefit analysis of the construction of Park &amp; Ride car parks was to determine the economic efficiency of this type of investment component by determining the critical value of the average mileage avoided by a single car using such parking above which the car park achieves a positive ENPV value. This course was determined for various values of the cost of building a single parking space, ranging from </w:t>
          </w:r>
          <w:r>
            <w:rPr>
              <w:lang w:val="en"/>
            </w:rPr>
            <w:t xml:space="preserve">PLN </w:t>
          </w:r>
          <w:r w:rsidRPr="00222878">
            <w:rPr>
              <w:lang w:val="en"/>
            </w:rPr>
            <w:t>10,000 to 90,000. The search for a critical value just for the average mileage is due to the fact that the external costs associated with the use of the car (such as accident and emission costs) are, as a rule, dependent on the avoided mileage of cars using a given parking lot. The construction of the car park means that part of the car mileage is replaced by public transport journeys and the longer these journeys are - the higher the external benefits are.</w:t>
          </w:r>
        </w:p>
        <w:p w14:paraId="06AF93CF" w14:textId="77777777" w:rsidR="00501EB9" w:rsidRPr="007F14BF" w:rsidRDefault="00C44352" w:rsidP="00F06D0A">
          <w:pPr>
            <w:pStyle w:val="Nagwek1"/>
          </w:pPr>
          <w:bookmarkStart w:id="9" w:name="_Toc27125317"/>
          <w:bookmarkEnd w:id="3"/>
          <w:bookmarkEnd w:id="2"/>
          <w:r w:rsidRPr="007F14BF">
            <w:lastRenderedPageBreak/>
            <w:t>Wprowadzenie</w:t>
          </w:r>
          <w:bookmarkEnd w:id="9"/>
        </w:p>
        <w:p w14:paraId="18C62991" w14:textId="4D65D8DA" w:rsidR="0012173A" w:rsidRPr="007F14BF" w:rsidRDefault="00C44352" w:rsidP="00F06D0A">
          <w:pPr>
            <w:pStyle w:val="Nagwek2"/>
            <w:rPr>
              <w:color w:val="auto"/>
            </w:rPr>
          </w:pPr>
          <w:bookmarkStart w:id="10" w:name="_Toc27125318"/>
          <w:r w:rsidRPr="007F14BF">
            <w:rPr>
              <w:color w:val="auto"/>
            </w:rPr>
            <w:t>Przedmiot badania, jego główne założenia i cele</w:t>
          </w:r>
          <w:bookmarkEnd w:id="10"/>
        </w:p>
        <w:p w14:paraId="3065A588" w14:textId="0139F3DC" w:rsidR="00F80ACF" w:rsidRPr="007F14BF" w:rsidRDefault="00F80ACF" w:rsidP="00920127">
          <w:pPr>
            <w:ind w:right="-1"/>
          </w:pPr>
          <w:r w:rsidRPr="007F14BF">
            <w:t xml:space="preserve">Celem badania </w:t>
          </w:r>
          <w:r w:rsidR="00DE598F">
            <w:t>było</w:t>
          </w:r>
          <w:r w:rsidRPr="007F14BF">
            <w:t xml:space="preserve"> wypracowanie metodyki pomiaru wskaźników oraz stworzenie bazy danych wejściowych, wraz z utrwaleniem i uzupełnieniem bazy danych o transporcie z badania pilotażowego, do oceny wpływu działań podejmowanych w ramach VI osi priorytetowej POIiŚ 2014-2020 na poprawę:</w:t>
          </w:r>
        </w:p>
        <w:p w14:paraId="468C2547" w14:textId="3B7FDE31" w:rsidR="00F80ACF" w:rsidRPr="007F14BF" w:rsidRDefault="00F80ACF" w:rsidP="001B2A4E">
          <w:pPr>
            <w:pStyle w:val="Akapitzlist"/>
            <w:numPr>
              <w:ilvl w:val="0"/>
              <w:numId w:val="39"/>
            </w:numPr>
            <w:ind w:right="375"/>
          </w:pPr>
          <w:r w:rsidRPr="007F14BF">
            <w:t>płynności ruchu</w:t>
          </w:r>
          <w:r w:rsidR="003C4CC2">
            <w:t>.</w:t>
          </w:r>
          <w:r w:rsidRPr="007F14BF">
            <w:t xml:space="preserve"> </w:t>
          </w:r>
        </w:p>
        <w:p w14:paraId="097EEA97" w14:textId="337BDA57" w:rsidR="00F80ACF" w:rsidRPr="007F14BF" w:rsidRDefault="00F80ACF" w:rsidP="001B2A4E">
          <w:pPr>
            <w:pStyle w:val="Akapitzlist"/>
            <w:numPr>
              <w:ilvl w:val="0"/>
              <w:numId w:val="39"/>
            </w:numPr>
            <w:ind w:right="375"/>
          </w:pPr>
          <w:r w:rsidRPr="007F14BF">
            <w:t>bezpieczeństwa ruchu</w:t>
          </w:r>
          <w:r w:rsidR="003C4CC2">
            <w:t>,</w:t>
          </w:r>
          <w:r w:rsidRPr="007F14BF">
            <w:t xml:space="preserve"> </w:t>
          </w:r>
        </w:p>
        <w:p w14:paraId="64FA5581" w14:textId="3173FB98" w:rsidR="00F80ACF" w:rsidRPr="007F14BF" w:rsidRDefault="00F80ACF" w:rsidP="001B2A4E">
          <w:pPr>
            <w:pStyle w:val="Akapitzlist"/>
            <w:numPr>
              <w:ilvl w:val="0"/>
              <w:numId w:val="39"/>
            </w:numPr>
            <w:ind w:right="375"/>
          </w:pPr>
          <w:r w:rsidRPr="007F14BF">
            <w:t>integracj</w:t>
          </w:r>
          <w:r w:rsidR="00391608">
            <w:t>i</w:t>
          </w:r>
          <w:r w:rsidRPr="007F14BF">
            <w:t xml:space="preserve"> systemów transportowych w miastach</w:t>
          </w:r>
          <w:r w:rsidR="003C4CC2">
            <w:t>,</w:t>
          </w:r>
          <w:r w:rsidRPr="007F14BF">
            <w:t xml:space="preserve"> </w:t>
          </w:r>
        </w:p>
        <w:p w14:paraId="72AF2DF8" w14:textId="77777777" w:rsidR="00F80ACF" w:rsidRPr="007F14BF" w:rsidRDefault="00F80ACF" w:rsidP="001B2A4E">
          <w:pPr>
            <w:pStyle w:val="Akapitzlist"/>
            <w:numPr>
              <w:ilvl w:val="0"/>
              <w:numId w:val="39"/>
            </w:numPr>
            <w:ind w:right="375"/>
          </w:pPr>
          <w:r w:rsidRPr="007F14BF">
            <w:t>wykorzystania transportu miejskiego (podział zadań przewozowych).</w:t>
          </w:r>
        </w:p>
        <w:p w14:paraId="458389D1" w14:textId="6D33515A" w:rsidR="00F80ACF" w:rsidRPr="007F14BF" w:rsidRDefault="00F80ACF" w:rsidP="00920127">
          <w:pPr>
            <w:ind w:right="-1"/>
          </w:pPr>
          <w:r w:rsidRPr="007F14BF">
            <w:t xml:space="preserve">Powyższe działania mają pozwolić na późniejsze dokonanie ewaluacji </w:t>
          </w:r>
          <w:r w:rsidRPr="007F14BF">
            <w:rPr>
              <w:i/>
              <w:iCs/>
            </w:rPr>
            <w:t>ex</w:t>
          </w:r>
          <w:r w:rsidR="00760E00">
            <w:rPr>
              <w:i/>
              <w:iCs/>
            </w:rPr>
            <w:t xml:space="preserve"> </w:t>
          </w:r>
          <w:r w:rsidRPr="007F14BF">
            <w:rPr>
              <w:i/>
              <w:iCs/>
            </w:rPr>
            <w:t>post</w:t>
          </w:r>
          <w:r w:rsidRPr="007F14BF">
            <w:t xml:space="preserve"> efektów wsparcia w</w:t>
          </w:r>
          <w:r w:rsidR="00920127">
            <w:t> </w:t>
          </w:r>
          <w:r w:rsidRPr="007F14BF">
            <w:t>ramach VI osi priorytetowej POIiŚ 2014-2020, mając na uwadze zapisane cele szczegółowe w</w:t>
          </w:r>
          <w:r w:rsidR="00920127">
            <w:t> </w:t>
          </w:r>
          <w:r w:rsidRPr="007F14BF">
            <w:t xml:space="preserve">zakresie: </w:t>
          </w:r>
        </w:p>
        <w:p w14:paraId="624AE12E" w14:textId="77777777" w:rsidR="00F80ACF" w:rsidRPr="007F14BF" w:rsidRDefault="00F80ACF" w:rsidP="001B2A4E">
          <w:pPr>
            <w:pStyle w:val="Akapitzlist"/>
            <w:numPr>
              <w:ilvl w:val="0"/>
              <w:numId w:val="9"/>
            </w:numPr>
            <w:ind w:right="-1"/>
          </w:pPr>
          <w:r w:rsidRPr="007F14BF">
            <w:t>oceny zmian płynności ruchu w miastach i obszarach metropolitalnych;</w:t>
          </w:r>
        </w:p>
        <w:p w14:paraId="6DAD7BC6" w14:textId="77777777" w:rsidR="00F80ACF" w:rsidRPr="007F14BF" w:rsidRDefault="00F80ACF" w:rsidP="001B2A4E">
          <w:pPr>
            <w:pStyle w:val="Akapitzlist"/>
            <w:numPr>
              <w:ilvl w:val="0"/>
              <w:numId w:val="9"/>
            </w:numPr>
            <w:ind w:right="-1"/>
          </w:pPr>
          <w:r w:rsidRPr="007F14BF">
            <w:t xml:space="preserve">oceny inwestycji realizowanych w ramach POIiŚ pod kątem wzmacniania spójności wewnętrznej i integracji systemów transportowych w miastach i ich obszarach funkcjonalnych; </w:t>
          </w:r>
        </w:p>
        <w:p w14:paraId="33724182" w14:textId="77777777" w:rsidR="00F80ACF" w:rsidRPr="007F14BF" w:rsidRDefault="00F80ACF" w:rsidP="001B2A4E">
          <w:pPr>
            <w:pStyle w:val="Akapitzlist"/>
            <w:numPr>
              <w:ilvl w:val="0"/>
              <w:numId w:val="9"/>
            </w:numPr>
            <w:ind w:right="-1"/>
          </w:pPr>
          <w:r w:rsidRPr="007F14BF">
            <w:t xml:space="preserve">analizy przestrzennej rozwoju sieci połączeń inwestycji realizowanych z POIiŚ 2007-2013 oraz POIiŚ 2014-2020 w miastach i ich obszarach funkcjonalnych pod kątem ich wpływu na poprawę dostępności i konkurencyjność transportu publicznego względem transportu drogowego; </w:t>
          </w:r>
        </w:p>
        <w:p w14:paraId="4147E554" w14:textId="77777777" w:rsidR="00F80ACF" w:rsidRPr="007F14BF" w:rsidRDefault="00F80ACF" w:rsidP="001B2A4E">
          <w:pPr>
            <w:pStyle w:val="Akapitzlist"/>
            <w:numPr>
              <w:ilvl w:val="0"/>
              <w:numId w:val="9"/>
            </w:numPr>
            <w:ind w:right="-1"/>
          </w:pPr>
          <w:r w:rsidRPr="007F14BF">
            <w:t>oceny wpływu inwestycji realizowanych w ramach VI osi priorytetowej POIiŚ na usuwanie niedoborów przepustowości poprzez poprawę płynności ruchu – ITS.</w:t>
          </w:r>
        </w:p>
        <w:p w14:paraId="7E359DD4" w14:textId="77777777" w:rsidR="00F80ACF" w:rsidRPr="007F14BF" w:rsidRDefault="00F80ACF" w:rsidP="00920127">
          <w:pPr>
            <w:ind w:right="-1"/>
          </w:pPr>
          <w:r w:rsidRPr="007F14BF">
            <w:t>Przedmiotem badania są wszystkie projekty z VI osi priorytetowej realizowane i planowane do realizacji w ramach POIiŚ 2014-2020 oraz próba podobnych projektów zrealizowanych z POIiŚ 2007-2013. Zgodnie ze szczegółowym opisem osi priorytetowych Programu (</w:t>
          </w:r>
          <w:proofErr w:type="spellStart"/>
          <w:r w:rsidRPr="007F14BF">
            <w:t>SzOOP</w:t>
          </w:r>
          <w:proofErr w:type="spellEnd"/>
          <w:r w:rsidRPr="007F14BF">
            <w:t>), oś ta skierowana jest do miast wojewódzkich i ich obszarów funkcjonalnych, zaś jej wdrażanie jest ściśle powiązane ze Zintegrowanymi Inwestycjami Terytorialnymi. W ramach trybu pozakonkursowego realizuje się projekty bezpośrednio wynikające ze Strategii ZIT dla 13 miast wojewódzkich, które są realizowane lub przewidziane do realizacji w 19 miastach i 1 gminie miejsko-wiejskiej</w:t>
          </w:r>
          <w:r w:rsidRPr="007F14BF">
            <w:rPr>
              <w:rStyle w:val="Odwoanieprzypisudolnego"/>
            </w:rPr>
            <w:footnoteReference w:id="1"/>
          </w:r>
          <w:r w:rsidRPr="007F14BF">
            <w:t>.</w:t>
          </w:r>
        </w:p>
        <w:p w14:paraId="69F4D7CE" w14:textId="1CF7FFDA" w:rsidR="00F80ACF" w:rsidRPr="007F14BF" w:rsidRDefault="00F80ACF" w:rsidP="00F80ACF">
          <w:r w:rsidRPr="007F14BF">
            <w:t xml:space="preserve">Działanie 6.1 ma na celu zmniejszenie zatłoczenia motoryzacyjnego w miastach, poprawę płynności ruchu, bezpieczeństwa i ograniczenie negatywnego wpływu transportu na środowisko naturalne w miastach i na ich obszarach funkcjonalnych. Wsparcie w ramach działania dotyczy przedsięwzięć w zakresie rozwoju transportu zbiorowego, wynikających z planów gospodarki niskoemisyjnej miast, służących podniesieniu jego bezpieczeństwa, jakości, atrakcyjności i komfortu. Przewiduje się wdrażanie projektów, które zawierają elementy redukujące/minimalizujące oddziaływania hałasu, drgań lub zanieczyszczeń powietrza oraz elementy promujące zrównoważony rozwój </w:t>
          </w:r>
          <w:r w:rsidRPr="007F14BF">
            <w:lastRenderedPageBreak/>
            <w:t xml:space="preserve">układu urbanistycznego. W miastach </w:t>
          </w:r>
          <w:r w:rsidR="00391608">
            <w:t>dysponujących</w:t>
          </w:r>
          <w:r w:rsidRPr="007F14BF">
            <w:t xml:space="preserve"> transport</w:t>
          </w:r>
          <w:r w:rsidR="00391608">
            <w:t>em</w:t>
          </w:r>
          <w:r w:rsidRPr="007F14BF">
            <w:t xml:space="preserve"> szynowy</w:t>
          </w:r>
          <w:r w:rsidR="00391608">
            <w:t>m</w:t>
          </w:r>
          <w:r w:rsidRPr="007F14BF">
            <w:t xml:space="preserve"> (tramwaje) preferowany jest rozwój tej gałęzi transportu zbiorowego, natomiast w pozostałych finansowane są inne niskoemisyjne formy transportu miejskiego, z priorytetem dla pojazdów o alternatywnych systemach napędowych (elektrycznych, hybrydowych, </w:t>
          </w:r>
          <w:r w:rsidR="00391608">
            <w:t>opartych o wodór, biopaliwa</w:t>
          </w:r>
          <w:r w:rsidRPr="007F14BF">
            <w:t xml:space="preserve"> itp.).</w:t>
          </w:r>
        </w:p>
        <w:p w14:paraId="7107FB89" w14:textId="4987D4B4" w:rsidR="00F80ACF" w:rsidRPr="007F14BF" w:rsidRDefault="00F80ACF" w:rsidP="00F80ACF">
          <w:r w:rsidRPr="007F14BF">
            <w:t xml:space="preserve">Planowane inwestycje mają charakter zarówno infrastrukturalny (budowa, przebudowa, rozbudowa sieci szynowych, w tym infrastruktury metra, uzupełniana o elementy dotyczące sieci energetycznych, zapleczy technicznych do obsługi i konserwacji taboru, centrów przesiadkowych oraz elementów wyposażenia dróg i ulic w infrastrukturę służącą obsłudze transportu publicznego i pasażerów), jak i taborowy, a także kompleksowy, obejmujący obydwa typy </w:t>
          </w:r>
          <w:r w:rsidR="003C4CC2">
            <w:t>produktów</w:t>
          </w:r>
          <w:r w:rsidRPr="007F14BF">
            <w:t>. Realizowane są także projekty wzbogacone o pozostałe komplementarne względem podstawowej infrastruktury liniowej elementy (w tym ITS), usprawniające funkcjonowanie całego systemu transportowego, dzięki którym nastąpi integracja infrastrukturalna istniejących środków transportu oraz dostosowanie systemu transportowego do obsługi osób o ograniczonej możliwości poruszania się.</w:t>
          </w:r>
        </w:p>
        <w:p w14:paraId="02083F66" w14:textId="5A49A0B8" w:rsidR="00195832" w:rsidRPr="007F14BF" w:rsidRDefault="00F80ACF" w:rsidP="00F80ACF">
          <w:r w:rsidRPr="007F14BF">
            <w:t>Wskaźniki rezultatu dla VI OP, to liczba przewozów pasażerskich w przeliczeniu na 1 mieszkańca obszarów miejskich [szt.] – mierzona corocznie przez GUS - oraz uniknięta emisja CO</w:t>
          </w:r>
          <w:r w:rsidRPr="007F14BF">
            <w:rPr>
              <w:vertAlign w:val="subscript"/>
            </w:rPr>
            <w:t>2</w:t>
          </w:r>
          <w:r w:rsidRPr="007F14BF">
            <w:t xml:space="preserve"> w wyniku funkcjonowania transportu publicznego [tony CO</w:t>
          </w:r>
          <w:r w:rsidRPr="007F14BF">
            <w:rPr>
              <w:vertAlign w:val="subscript"/>
            </w:rPr>
            <w:t>2</w:t>
          </w:r>
          <w:r w:rsidRPr="007F14BF">
            <w:t xml:space="preserve">], mierzona dwukrotnie przez </w:t>
          </w:r>
          <w:proofErr w:type="spellStart"/>
          <w:r w:rsidRPr="007F14BF">
            <w:t>MIiR</w:t>
          </w:r>
          <w:proofErr w:type="spellEnd"/>
          <w:r w:rsidRPr="007F14BF">
            <w:t>.</w:t>
          </w:r>
        </w:p>
        <w:p w14:paraId="59749552" w14:textId="3D9008D6" w:rsidR="00A81BC0" w:rsidRPr="007F14BF" w:rsidRDefault="00A81BC0" w:rsidP="00A81BC0">
          <w:pPr>
            <w:pStyle w:val="Nagwek2"/>
            <w:rPr>
              <w:color w:val="auto"/>
            </w:rPr>
          </w:pPr>
          <w:bookmarkStart w:id="11" w:name="_Toc27125319"/>
          <w:r w:rsidRPr="007F14BF">
            <w:rPr>
              <w:color w:val="auto"/>
            </w:rPr>
            <w:t>Okoliczności towarzyszące badaniu</w:t>
          </w:r>
          <w:bookmarkEnd w:id="11"/>
        </w:p>
        <w:p w14:paraId="66D58986" w14:textId="071F8E5D" w:rsidR="00790555" w:rsidRPr="007F14BF" w:rsidRDefault="00556214" w:rsidP="00A81BC0">
          <w:r w:rsidRPr="007F14BF">
            <w:t>Krytyczn</w:t>
          </w:r>
          <w:r w:rsidR="003C4CC2">
            <w:t>ym</w:t>
          </w:r>
          <w:r w:rsidRPr="007F14BF">
            <w:t xml:space="preserve"> </w:t>
          </w:r>
          <w:r w:rsidR="003C4CC2">
            <w:t>uwarunkowaniem</w:t>
          </w:r>
          <w:r w:rsidRPr="007F14BF">
            <w:t xml:space="preserve"> </w:t>
          </w:r>
          <w:r w:rsidR="003C4CC2" w:rsidRPr="007F14BF">
            <w:t>badani</w:t>
          </w:r>
          <w:r w:rsidR="003C4CC2">
            <w:t>a</w:t>
          </w:r>
          <w:r w:rsidR="003C4CC2" w:rsidRPr="007F14BF">
            <w:t xml:space="preserve"> </w:t>
          </w:r>
          <w:r w:rsidR="00B67811" w:rsidRPr="007F14BF">
            <w:t>był</w:t>
          </w:r>
          <w:r w:rsidRPr="007F14BF">
            <w:t xml:space="preserve"> termin jego realizacji</w:t>
          </w:r>
          <w:r w:rsidR="003C4CC2">
            <w:t xml:space="preserve"> względem dynamiki wdrażania VI OP POIiŚ</w:t>
          </w:r>
          <w:r w:rsidRPr="007F14BF">
            <w:t xml:space="preserve">. Niniejsze badanie mające na celu wypracowanie metodyki i zebranie danych wejściowych realizowano w okresie od czerwca do listopada 2019 r, w czasie gdy </w:t>
          </w:r>
          <w:r w:rsidR="00CE56F5" w:rsidRPr="007F14BF">
            <w:t>dostarczono już do miast część zakontraktowanego taboru a </w:t>
          </w:r>
          <w:r w:rsidRPr="007F14BF">
            <w:t>w</w:t>
          </w:r>
          <w:r w:rsidR="00CE56F5" w:rsidRPr="007F14BF">
            <w:t> </w:t>
          </w:r>
          <w:r w:rsidR="006538F5" w:rsidRPr="007F14BF">
            <w:t xml:space="preserve">fazie </w:t>
          </w:r>
          <w:r w:rsidR="003C4CC2">
            <w:t>budowy</w:t>
          </w:r>
          <w:r w:rsidR="003C4CC2" w:rsidRPr="007F14BF">
            <w:t xml:space="preserve"> </w:t>
          </w:r>
          <w:r w:rsidRPr="007F14BF">
            <w:t xml:space="preserve">była </w:t>
          </w:r>
          <w:r w:rsidR="006538F5" w:rsidRPr="007F14BF">
            <w:t xml:space="preserve">ponad połowa </w:t>
          </w:r>
          <w:r w:rsidRPr="007F14BF">
            <w:t xml:space="preserve">inwestycji. </w:t>
          </w:r>
          <w:r w:rsidR="00B67811" w:rsidRPr="007F14BF">
            <w:t>Część odcinków tras tramwajowych</w:t>
          </w:r>
          <w:r w:rsidR="006538F5" w:rsidRPr="007F14BF">
            <w:t>,</w:t>
          </w:r>
          <w:r w:rsidR="00B67811" w:rsidRPr="007F14BF">
            <w:t xml:space="preserve"> poddawanych interwencji</w:t>
          </w:r>
          <w:r w:rsidR="006538F5" w:rsidRPr="007F14BF">
            <w:t>,</w:t>
          </w:r>
          <w:r w:rsidR="00B67811" w:rsidRPr="007F14BF">
            <w:t xml:space="preserve"> w czasie badania było zamkniętych dla ruchu, a w zamian kursowały autobusy zastępczej komunikacji (np. w </w:t>
          </w:r>
          <w:r w:rsidR="006538F5" w:rsidRPr="007F14BF">
            <w:t xml:space="preserve">Gdańsku, </w:t>
          </w:r>
          <w:r w:rsidR="00B67811" w:rsidRPr="007F14BF">
            <w:t xml:space="preserve">GZM, Gorzowie Wielkopolskim czy Krakowie). </w:t>
          </w:r>
          <w:r w:rsidR="006538F5" w:rsidRPr="007F14BF">
            <w:t>W Gorzowie Wielkopolskim w czasie badania ruch był wręcz wstrzymany na całej sieci tramwajowej. T</w:t>
          </w:r>
          <w:r w:rsidR="00B67811" w:rsidRPr="007F14BF">
            <w:t xml:space="preserve">aki </w:t>
          </w:r>
          <w:r w:rsidR="006538F5" w:rsidRPr="007F14BF">
            <w:t xml:space="preserve">stan </w:t>
          </w:r>
          <w:r w:rsidR="00B67811" w:rsidRPr="007F14BF">
            <w:t xml:space="preserve">nie oddawał więc warunków ruchu transportu indywidualnego i publicznego, jaki panował przed </w:t>
          </w:r>
          <w:r w:rsidR="00CE56F5" w:rsidRPr="007F14BF">
            <w:t xml:space="preserve">rozpoczęciem </w:t>
          </w:r>
          <w:r w:rsidR="006538F5" w:rsidRPr="007F14BF">
            <w:t>inwestycj</w:t>
          </w:r>
          <w:r w:rsidR="00CE56F5" w:rsidRPr="007F14BF">
            <w:t>i</w:t>
          </w:r>
          <w:r w:rsidR="00B67811" w:rsidRPr="007F14BF">
            <w:t xml:space="preserve">. Niektóre projekty wręcz zostały już </w:t>
          </w:r>
          <w:r w:rsidR="00CE56F5" w:rsidRPr="007F14BF">
            <w:t xml:space="preserve">wcześniej </w:t>
          </w:r>
          <w:r w:rsidR="00B67811" w:rsidRPr="007F14BF">
            <w:t xml:space="preserve">zrealizowane, a ich elementy włączone do eksploatacji – tak było </w:t>
          </w:r>
          <w:r w:rsidR="006538F5" w:rsidRPr="007F14BF">
            <w:t>m.in. w przypadku przebudowy trasy tramwaju w ul. Chodkiewicza w Bydgoszczy</w:t>
          </w:r>
          <w:r w:rsidR="00CE56F5" w:rsidRPr="007F14BF">
            <w:t xml:space="preserve"> czy przebudowie odcinków torowisk w Poznaniu i Szczecinie. Okoliczności te zaważyły m.in. na doborze odcinków do badania </w:t>
          </w:r>
          <w:r w:rsidR="00AE21D2" w:rsidRPr="00AE21D2">
            <w:rPr>
              <w:i/>
            </w:rPr>
            <w:t>b</w:t>
          </w:r>
          <w:r w:rsidR="00CE56F5" w:rsidRPr="00AE21D2">
            <w:rPr>
              <w:i/>
            </w:rPr>
            <w:t>ig</w:t>
          </w:r>
          <w:r w:rsidR="00AE21D2" w:rsidRPr="00AE21D2">
            <w:rPr>
              <w:i/>
            </w:rPr>
            <w:t xml:space="preserve"> d</w:t>
          </w:r>
          <w:r w:rsidR="00CE56F5" w:rsidRPr="00AE21D2">
            <w:rPr>
              <w:i/>
            </w:rPr>
            <w:t>ata</w:t>
          </w:r>
          <w:r w:rsidR="00CE56F5" w:rsidRPr="007F14BF">
            <w:t xml:space="preserve"> </w:t>
          </w:r>
          <w:r w:rsidR="0035330B" w:rsidRPr="007F14BF">
            <w:t xml:space="preserve">i PSM </w:t>
          </w:r>
          <w:r w:rsidR="00CE56F5" w:rsidRPr="007F14BF">
            <w:t xml:space="preserve">oraz węzłów przesiadkowych do studiów przypadku spośród tych inwestycji, których etap budowy w czasie badania jeszcze się nie rozpoczął. </w:t>
          </w:r>
        </w:p>
        <w:p w14:paraId="05B1652C" w14:textId="1C786FF2" w:rsidR="001E5135" w:rsidRPr="007F14BF" w:rsidRDefault="001E5135" w:rsidP="00A81BC0">
          <w:r w:rsidRPr="007F14BF">
            <w:t>Pod uwagę wzięto też sytuację, w której w miastach poddawanych badaniu prowadzone są inne programy inwestycji w transport miejski. Inwestycje toczą się m.in. w ramach Regionalnych Programów Operacyjnych</w:t>
          </w:r>
          <w:r w:rsidR="006550F5" w:rsidRPr="007F14BF">
            <w:t>, Programu Operacyjnego Polska Wschodnia</w:t>
          </w:r>
          <w:r w:rsidRPr="007F14BF">
            <w:t xml:space="preserve"> </w:t>
          </w:r>
          <w:r w:rsidR="0035330B" w:rsidRPr="007F14BF">
            <w:t xml:space="preserve">(rozszerzona próba miast) </w:t>
          </w:r>
          <w:r w:rsidRPr="007F14BF">
            <w:t>oraz</w:t>
          </w:r>
          <w:r w:rsidR="00B30645" w:rsidRPr="007F14BF">
            <w:t xml:space="preserve"> ze środków własnych gmin i miast.</w:t>
          </w:r>
          <w:r w:rsidR="006550F5" w:rsidRPr="007F14BF">
            <w:t xml:space="preserve"> W części analizowanych obszarów znaczenie dla transportu miejskiego mają też koleje miejskie i aglomeracyjne poddawane interwencjom w</w:t>
          </w:r>
          <w:r w:rsidR="0035330B" w:rsidRPr="007F14BF">
            <w:t> </w:t>
          </w:r>
          <w:r w:rsidR="006550F5" w:rsidRPr="007F14BF">
            <w:t xml:space="preserve">ramach innych </w:t>
          </w:r>
          <w:r w:rsidR="007A44E3">
            <w:t>źródeł finansowania</w:t>
          </w:r>
          <w:r w:rsidR="007A44E3" w:rsidRPr="007F14BF">
            <w:t xml:space="preserve"> </w:t>
          </w:r>
          <w:r w:rsidR="006550F5" w:rsidRPr="007F14BF">
            <w:t>niż VI oś POIiŚ, np. modernizacja linii obwodowej w</w:t>
          </w:r>
          <w:r w:rsidR="00F97AAD">
            <w:t> </w:t>
          </w:r>
          <w:r w:rsidR="006550F5" w:rsidRPr="007F14BF">
            <w:t>Warszawie</w:t>
          </w:r>
          <w:r w:rsidR="0035330B" w:rsidRPr="007F14BF">
            <w:t>,</w:t>
          </w:r>
          <w:r w:rsidR="006550F5" w:rsidRPr="007F14BF">
            <w:t xml:space="preserve"> rozbudowa linii średnicowej w Krakowie o dodatkowe tory do ruchu aglomeracyjnego</w:t>
          </w:r>
          <w:r w:rsidR="0035330B" w:rsidRPr="007F14BF">
            <w:t xml:space="preserve"> czy budowa tunelu średnicowego w Łodzi</w:t>
          </w:r>
          <w:r w:rsidR="006550F5" w:rsidRPr="007F14BF">
            <w:t>.</w:t>
          </w:r>
        </w:p>
        <w:p w14:paraId="1B203A86" w14:textId="286F0204" w:rsidR="00FF4CD9" w:rsidRPr="007F14BF" w:rsidRDefault="00FF4CD9" w:rsidP="00FF4CD9">
          <w:r w:rsidRPr="007F14BF">
            <w:t>Termin badania wyznaczony został w większości na okres wakacyjny, z czym wiązały się dwie trudności. Ankiety i wywiady w jednostkach samorządowych musiały odbyć się w</w:t>
          </w:r>
          <w:r w:rsidR="001E5135" w:rsidRPr="007F14BF">
            <w:t xml:space="preserve"> trakcie wzmożonego</w:t>
          </w:r>
          <w:r w:rsidRPr="007F14BF">
            <w:t xml:space="preserve"> okres</w:t>
          </w:r>
          <w:r w:rsidR="001E5135" w:rsidRPr="007F14BF">
            <w:t>u</w:t>
          </w:r>
          <w:r w:rsidRPr="007F14BF">
            <w:t xml:space="preserve"> urlopow</w:t>
          </w:r>
          <w:r w:rsidR="001E5135" w:rsidRPr="007F14BF">
            <w:t>ego</w:t>
          </w:r>
          <w:r w:rsidRPr="007F14BF">
            <w:t>, co przyczyniło się do trudności w ustaleniu terminów spotkań oraz wydłużonego czasu oczekiwania na zwrot wypełnionych ankiet. Z kolei badani</w:t>
          </w:r>
          <w:r w:rsidR="001E5135" w:rsidRPr="007F14BF">
            <w:t xml:space="preserve">e czasów </w:t>
          </w:r>
          <w:r w:rsidR="001E5135" w:rsidRPr="007F14BF">
            <w:lastRenderedPageBreak/>
            <w:t xml:space="preserve">przejazdu transportu indywidualnego wymagało pomiaru przez 30 dni, a jedynym miarodajnym (ze względu na warunki ruchowe – </w:t>
          </w:r>
          <w:r w:rsidR="00391608">
            <w:t xml:space="preserve">dojazdy </w:t>
          </w:r>
          <w:r w:rsidR="001E5135" w:rsidRPr="007F14BF">
            <w:t>uczni</w:t>
          </w:r>
          <w:r w:rsidR="00391608">
            <w:t>ó</w:t>
          </w:r>
          <w:r w:rsidR="001E5135" w:rsidRPr="007F14BF">
            <w:t>w i studen</w:t>
          </w:r>
          <w:r w:rsidR="00391608">
            <w:t>tów</w:t>
          </w:r>
          <w:r w:rsidR="001E5135" w:rsidRPr="007F14BF">
            <w:t xml:space="preserve">) okresem badania pozostał październik. </w:t>
          </w:r>
        </w:p>
        <w:p w14:paraId="0552A9C5" w14:textId="77777777" w:rsidR="00A81BC0" w:rsidRPr="007F14BF" w:rsidRDefault="00A81BC0" w:rsidP="00A81BC0">
          <w:pPr>
            <w:pStyle w:val="Nagwek2"/>
            <w:rPr>
              <w:color w:val="auto"/>
            </w:rPr>
          </w:pPr>
          <w:bookmarkStart w:id="12" w:name="_Toc27125320"/>
          <w:r w:rsidRPr="007F14BF">
            <w:rPr>
              <w:color w:val="auto"/>
            </w:rPr>
            <w:t>Kryteria i pytania badawcze</w:t>
          </w:r>
          <w:bookmarkEnd w:id="12"/>
        </w:p>
        <w:p w14:paraId="136C34D0" w14:textId="147338E7" w:rsidR="00397C11" w:rsidRPr="007F14BF" w:rsidRDefault="00397C11" w:rsidP="00397C11">
          <w:pPr>
            <w:spacing w:after="122"/>
            <w:ind w:right="48"/>
          </w:pPr>
          <w:r w:rsidRPr="007F14BF">
            <w:t>W ramach badania ewaluacyjnego zastosowano następujące kryteria ewaluacyjne:</w:t>
          </w:r>
        </w:p>
        <w:p w14:paraId="3932CDD4" w14:textId="1AF53E5E" w:rsidR="00397C11" w:rsidRPr="007F14BF" w:rsidRDefault="00397C11" w:rsidP="001B2A4E">
          <w:pPr>
            <w:numPr>
              <w:ilvl w:val="0"/>
              <w:numId w:val="40"/>
            </w:numPr>
            <w:spacing w:before="0" w:after="3" w:line="267" w:lineRule="auto"/>
            <w:ind w:right="48"/>
          </w:pPr>
          <w:r w:rsidRPr="007F14BF">
            <w:rPr>
              <w:b/>
            </w:rPr>
            <w:t>Skuteczność</w:t>
          </w:r>
          <w:r w:rsidRPr="007F14BF">
            <w:t xml:space="preserve"> - kryterium to pozwoli ocenić, do jakiego stopnia cele VI OP zdefiniowane na etapie programowania POIiŚ zostaną/zostały osiągnięte.</w:t>
          </w:r>
        </w:p>
        <w:p w14:paraId="76BFA1FA" w14:textId="45AD0DBF" w:rsidR="00397C11" w:rsidRPr="007F14BF" w:rsidRDefault="00397C11" w:rsidP="001B2A4E">
          <w:pPr>
            <w:numPr>
              <w:ilvl w:val="0"/>
              <w:numId w:val="40"/>
            </w:numPr>
            <w:spacing w:before="0" w:after="3" w:line="267" w:lineRule="auto"/>
            <w:ind w:right="48"/>
          </w:pPr>
          <w:r w:rsidRPr="007F14BF">
            <w:rPr>
              <w:b/>
            </w:rPr>
            <w:t>Efektywność</w:t>
          </w:r>
          <w:r w:rsidRPr="007F14BF">
            <w:t xml:space="preserve"> - kryterium to pozwoli ocenić poziom „ekonomiczności” projektów z VI OP POIiŚ, czyli stosunek poniesionych nakładów do uzyskanych wyników i rezultatów. Nakłady rozumiane są tu jako zasoby finansowe, ludzkie i poświęcony czas. </w:t>
          </w:r>
        </w:p>
        <w:p w14:paraId="30B5F812" w14:textId="6519365C" w:rsidR="00397C11" w:rsidRPr="007F14BF" w:rsidRDefault="00397C11" w:rsidP="001B2A4E">
          <w:pPr>
            <w:numPr>
              <w:ilvl w:val="0"/>
              <w:numId w:val="40"/>
            </w:numPr>
            <w:spacing w:before="0" w:after="3" w:line="267" w:lineRule="auto"/>
            <w:ind w:right="48"/>
          </w:pPr>
          <w:r w:rsidRPr="007F14BF">
            <w:rPr>
              <w:b/>
            </w:rPr>
            <w:t>Użyteczność</w:t>
          </w:r>
          <w:r w:rsidRPr="007F14BF">
            <w:t xml:space="preserve"> – kryterium to pozwoli ocenić na ile rzeczywiste efekty projektów są zgodne z</w:t>
          </w:r>
          <w:r w:rsidR="00CC650F">
            <w:t> </w:t>
          </w:r>
          <w:r w:rsidRPr="007F14BF">
            <w:t>potrzebami ich odbiorców.</w:t>
          </w:r>
        </w:p>
        <w:p w14:paraId="4FFA94F1" w14:textId="3328F046" w:rsidR="00397C11" w:rsidRPr="007F14BF" w:rsidRDefault="00397C11" w:rsidP="001B2A4E">
          <w:pPr>
            <w:numPr>
              <w:ilvl w:val="0"/>
              <w:numId w:val="40"/>
            </w:numPr>
            <w:spacing w:before="0" w:after="121" w:line="267" w:lineRule="auto"/>
            <w:ind w:right="48"/>
          </w:pPr>
          <w:r w:rsidRPr="007F14BF">
            <w:rPr>
              <w:b/>
            </w:rPr>
            <w:t>Oddziaływanie/wpływ</w:t>
          </w:r>
          <w:r w:rsidRPr="007F14BF">
            <w:t xml:space="preserve"> – kryterium to pozwoli ocenić związek pomiędzy celami projektów i</w:t>
          </w:r>
          <w:r w:rsidR="00CC650F">
            <w:t> </w:t>
          </w:r>
          <w:r w:rsidRPr="007F14BF">
            <w:t>celami ogólnymi, tj. stopień, w jakim korzyści odniesione przez docelowych beneficjentów będą miały szerszy ogólny wpływ na większą liczbę ludzi we wspartych obszarach.</w:t>
          </w:r>
        </w:p>
        <w:p w14:paraId="6888D4B5" w14:textId="7060E179" w:rsidR="00397C11" w:rsidRPr="007F14BF" w:rsidRDefault="00397C11" w:rsidP="00397C11">
          <w:pPr>
            <w:spacing w:before="0" w:after="121" w:line="267" w:lineRule="auto"/>
            <w:ind w:right="48"/>
          </w:pPr>
          <w:r w:rsidRPr="007F14BF">
            <w:t>Do pytań badawczych, któr</w:t>
          </w:r>
          <w:r w:rsidR="009F6417" w:rsidRPr="007F14BF">
            <w:t>ych ostateczną listę</w:t>
          </w:r>
          <w:r w:rsidRPr="007F14BF">
            <w:t xml:space="preserve"> ustalono na etapie raportu metodycznego, </w:t>
          </w:r>
          <w:r w:rsidR="009F6417" w:rsidRPr="007F14BF">
            <w:t xml:space="preserve">następnie </w:t>
          </w:r>
          <w:r w:rsidRPr="007F14BF">
            <w:t xml:space="preserve">przyporządkowano </w:t>
          </w:r>
          <w:r w:rsidR="009F6417" w:rsidRPr="007F14BF">
            <w:t xml:space="preserve">ww. </w:t>
          </w:r>
          <w:r w:rsidRPr="007F14BF">
            <w:t xml:space="preserve">kryteria ewaluacyjne. Zestawienie pytań wraz z </w:t>
          </w:r>
          <w:r w:rsidR="009F6417" w:rsidRPr="007F14BF">
            <w:t>kryteriami</w:t>
          </w:r>
          <w:r w:rsidRPr="007F14BF">
            <w:t xml:space="preserve"> przedstawia </w:t>
          </w:r>
          <w:r w:rsidRPr="007F14BF">
            <w:fldChar w:fldCharType="begin"/>
          </w:r>
          <w:r w:rsidRPr="007F14BF">
            <w:instrText xml:space="preserve"> REF _Ref517511561 \h </w:instrText>
          </w:r>
          <w:r w:rsidRPr="007F14BF">
            <w:fldChar w:fldCharType="separate"/>
          </w:r>
          <w:r w:rsidR="00C93FD7" w:rsidRPr="007F14BF">
            <w:t xml:space="preserve">Tabela </w:t>
          </w:r>
          <w:r w:rsidR="00C93FD7">
            <w:rPr>
              <w:noProof/>
            </w:rPr>
            <w:t>1</w:t>
          </w:r>
          <w:r w:rsidRPr="007F14BF">
            <w:fldChar w:fldCharType="end"/>
          </w:r>
          <w:r w:rsidRPr="007F14BF">
            <w:t>.</w:t>
          </w:r>
        </w:p>
        <w:p w14:paraId="73F11142" w14:textId="64CAF3AD" w:rsidR="00397C11" w:rsidRPr="007F14BF" w:rsidRDefault="00397C11" w:rsidP="00397C11">
          <w:pPr>
            <w:pStyle w:val="Legenda"/>
            <w:rPr>
              <w:color w:val="auto"/>
            </w:rPr>
          </w:pPr>
          <w:bookmarkStart w:id="13" w:name="_Ref517511561"/>
          <w:bookmarkStart w:id="14" w:name="_Ref3193192"/>
          <w:bookmarkStart w:id="15" w:name="_Toc27125359"/>
          <w:r w:rsidRPr="007F14BF">
            <w:rPr>
              <w:color w:val="auto"/>
            </w:rPr>
            <w:t xml:space="preserve">Tabela </w:t>
          </w:r>
          <w:r w:rsidRPr="007F14BF">
            <w:rPr>
              <w:noProof/>
              <w:color w:val="auto"/>
            </w:rPr>
            <w:fldChar w:fldCharType="begin"/>
          </w:r>
          <w:r w:rsidRPr="007F14BF">
            <w:rPr>
              <w:noProof/>
              <w:color w:val="auto"/>
            </w:rPr>
            <w:instrText xml:space="preserve"> SEQ Tabela \* ARABIC </w:instrText>
          </w:r>
          <w:r w:rsidRPr="007F14BF">
            <w:rPr>
              <w:noProof/>
              <w:color w:val="auto"/>
            </w:rPr>
            <w:fldChar w:fldCharType="separate"/>
          </w:r>
          <w:r w:rsidR="00C93FD7">
            <w:rPr>
              <w:noProof/>
              <w:color w:val="auto"/>
            </w:rPr>
            <w:t>1</w:t>
          </w:r>
          <w:r w:rsidRPr="007F14BF">
            <w:rPr>
              <w:noProof/>
              <w:color w:val="auto"/>
            </w:rPr>
            <w:fldChar w:fldCharType="end"/>
          </w:r>
          <w:bookmarkEnd w:id="13"/>
          <w:r w:rsidRPr="007F14BF">
            <w:rPr>
              <w:color w:val="auto"/>
            </w:rPr>
            <w:t xml:space="preserve">. </w:t>
          </w:r>
          <w:r w:rsidR="009F6417" w:rsidRPr="007F14BF">
            <w:rPr>
              <w:color w:val="auto"/>
            </w:rPr>
            <w:t>Przyporządkowanie kryteriów ewaluacyjnych do pytań badawczych</w:t>
          </w:r>
          <w:bookmarkEnd w:id="14"/>
          <w:bookmarkEnd w:id="15"/>
        </w:p>
        <w:tbl>
          <w:tblPr>
            <w:tblStyle w:val="WolanskiCorpTabela"/>
            <w:tblW w:w="5000" w:type="pct"/>
            <w:tblLook w:val="0420" w:firstRow="1" w:lastRow="0" w:firstColumn="0" w:lastColumn="0" w:noHBand="0" w:noVBand="1"/>
          </w:tblPr>
          <w:tblGrid>
            <w:gridCol w:w="735"/>
            <w:gridCol w:w="6068"/>
            <w:gridCol w:w="2268"/>
          </w:tblGrid>
          <w:tr w:rsidR="007C7EE2" w:rsidRPr="007F14BF" w14:paraId="1CD5A5D0" w14:textId="77777777" w:rsidTr="00167155">
            <w:trPr>
              <w:cnfStyle w:val="100000000000" w:firstRow="1" w:lastRow="0" w:firstColumn="0" w:lastColumn="0" w:oddVBand="0" w:evenVBand="0" w:oddHBand="0" w:evenHBand="0" w:firstRowFirstColumn="0" w:firstRowLastColumn="0" w:lastRowFirstColumn="0" w:lastRowLastColumn="0"/>
            </w:trPr>
            <w:tc>
              <w:tcPr>
                <w:tcW w:w="405" w:type="pct"/>
              </w:tcPr>
              <w:p w14:paraId="02300678" w14:textId="77777777" w:rsidR="00397C11" w:rsidRPr="00310D6A" w:rsidRDefault="00397C11" w:rsidP="00055BCA">
                <w:pPr>
                  <w:jc w:val="left"/>
                  <w:rPr>
                    <w:sz w:val="18"/>
                    <w:szCs w:val="18"/>
                  </w:rPr>
                </w:pPr>
                <w:r w:rsidRPr="00310D6A">
                  <w:rPr>
                    <w:sz w:val="18"/>
                    <w:szCs w:val="18"/>
                  </w:rPr>
                  <w:t>lp.</w:t>
                </w:r>
              </w:p>
            </w:tc>
            <w:tc>
              <w:tcPr>
                <w:tcW w:w="3345" w:type="pct"/>
              </w:tcPr>
              <w:p w14:paraId="0774D5E1" w14:textId="77777777" w:rsidR="00397C11" w:rsidRPr="00310D6A" w:rsidRDefault="00397C11" w:rsidP="00055BCA">
                <w:pPr>
                  <w:jc w:val="left"/>
                  <w:rPr>
                    <w:sz w:val="18"/>
                    <w:szCs w:val="18"/>
                  </w:rPr>
                </w:pPr>
                <w:r w:rsidRPr="00310D6A">
                  <w:rPr>
                    <w:sz w:val="18"/>
                    <w:szCs w:val="18"/>
                  </w:rPr>
                  <w:t>Pytanie badawcze</w:t>
                </w:r>
              </w:p>
            </w:tc>
            <w:tc>
              <w:tcPr>
                <w:tcW w:w="1250" w:type="pct"/>
              </w:tcPr>
              <w:p w14:paraId="283DD9A1" w14:textId="6696BDF7" w:rsidR="00397C11" w:rsidRPr="00310D6A" w:rsidRDefault="00397C11" w:rsidP="00055BCA">
                <w:pPr>
                  <w:jc w:val="left"/>
                  <w:rPr>
                    <w:sz w:val="18"/>
                    <w:szCs w:val="18"/>
                  </w:rPr>
                </w:pPr>
                <w:r w:rsidRPr="00310D6A">
                  <w:rPr>
                    <w:sz w:val="18"/>
                    <w:szCs w:val="18"/>
                  </w:rPr>
                  <w:t>KRYTERIUM EWALUACYJNE</w:t>
                </w:r>
              </w:p>
            </w:tc>
          </w:tr>
          <w:tr w:rsidR="007C7EE2" w:rsidRPr="007F14BF" w14:paraId="5843AFE3" w14:textId="77777777" w:rsidTr="00167155">
            <w:trPr>
              <w:cnfStyle w:val="000000100000" w:firstRow="0" w:lastRow="0" w:firstColumn="0" w:lastColumn="0" w:oddVBand="0" w:evenVBand="0" w:oddHBand="1" w:evenHBand="0" w:firstRowFirstColumn="0" w:firstRowLastColumn="0" w:lastRowFirstColumn="0" w:lastRowLastColumn="0"/>
              <w:trHeight w:val="543"/>
            </w:trPr>
            <w:tc>
              <w:tcPr>
                <w:tcW w:w="405" w:type="pct"/>
              </w:tcPr>
              <w:p w14:paraId="4B46D01D" w14:textId="77777777" w:rsidR="00397C11" w:rsidRPr="009C3BAF" w:rsidRDefault="00397C11" w:rsidP="00167155">
                <w:pPr>
                  <w:spacing w:before="80" w:after="80"/>
                  <w:jc w:val="left"/>
                  <w:rPr>
                    <w:sz w:val="18"/>
                    <w:szCs w:val="18"/>
                  </w:rPr>
                </w:pPr>
                <w:r w:rsidRPr="009C3BAF">
                  <w:rPr>
                    <w:sz w:val="18"/>
                    <w:szCs w:val="18"/>
                  </w:rPr>
                  <w:t>1</w:t>
                </w:r>
              </w:p>
            </w:tc>
            <w:tc>
              <w:tcPr>
                <w:tcW w:w="3345" w:type="pct"/>
              </w:tcPr>
              <w:p w14:paraId="76AAC12C" w14:textId="77777777" w:rsidR="00397C11" w:rsidRPr="009C3BAF" w:rsidRDefault="00397C11" w:rsidP="00167155">
                <w:pPr>
                  <w:spacing w:before="80" w:after="80"/>
                  <w:jc w:val="left"/>
                  <w:rPr>
                    <w:sz w:val="18"/>
                    <w:szCs w:val="18"/>
                  </w:rPr>
                </w:pPr>
                <w:r w:rsidRPr="009C3BAF">
                  <w:rPr>
                    <w:sz w:val="18"/>
                    <w:szCs w:val="18"/>
                  </w:rPr>
                  <w:t xml:space="preserve">Czy i w jaki sposób rozwój miejskiego transportu publicznego (poprzez realizację projektów POIiŚ) wpływa na jego dostępność? </w:t>
                </w:r>
              </w:p>
            </w:tc>
            <w:tc>
              <w:tcPr>
                <w:tcW w:w="1250" w:type="pct"/>
              </w:tcPr>
              <w:p w14:paraId="2470FCF4" w14:textId="714D5B37" w:rsidR="00397C11" w:rsidRPr="009C3BAF" w:rsidRDefault="00167155" w:rsidP="00167155">
                <w:pPr>
                  <w:spacing w:before="80" w:after="80"/>
                  <w:jc w:val="left"/>
                  <w:rPr>
                    <w:sz w:val="18"/>
                    <w:szCs w:val="18"/>
                  </w:rPr>
                </w:pPr>
                <w:r w:rsidRPr="009C3BAF">
                  <w:rPr>
                    <w:sz w:val="18"/>
                    <w:szCs w:val="18"/>
                  </w:rPr>
                  <w:t>Skuteczność</w:t>
                </w:r>
              </w:p>
            </w:tc>
          </w:tr>
          <w:tr w:rsidR="007C7EE2" w:rsidRPr="007F14BF" w14:paraId="4AB5CCA7" w14:textId="77777777" w:rsidTr="00167155">
            <w:trPr>
              <w:trHeight w:val="80"/>
            </w:trPr>
            <w:tc>
              <w:tcPr>
                <w:tcW w:w="405" w:type="pct"/>
              </w:tcPr>
              <w:p w14:paraId="37BF7653" w14:textId="77777777" w:rsidR="00397C11" w:rsidRPr="009C3BAF" w:rsidRDefault="00397C11" w:rsidP="00167155">
                <w:pPr>
                  <w:spacing w:before="80" w:after="80" w:line="267" w:lineRule="auto"/>
                  <w:ind w:right="48"/>
                  <w:jc w:val="left"/>
                  <w:rPr>
                    <w:sz w:val="18"/>
                    <w:szCs w:val="18"/>
                  </w:rPr>
                </w:pPr>
                <w:r w:rsidRPr="009C3BAF">
                  <w:rPr>
                    <w:sz w:val="18"/>
                    <w:szCs w:val="18"/>
                  </w:rPr>
                  <w:t>2</w:t>
                </w:r>
              </w:p>
            </w:tc>
            <w:tc>
              <w:tcPr>
                <w:tcW w:w="3345" w:type="pct"/>
              </w:tcPr>
              <w:p w14:paraId="472B2658" w14:textId="77777777" w:rsidR="00397C11" w:rsidRPr="009C3BAF" w:rsidRDefault="00397C11" w:rsidP="00167155">
                <w:pPr>
                  <w:spacing w:before="80" w:after="80" w:line="267" w:lineRule="auto"/>
                  <w:ind w:right="48"/>
                  <w:jc w:val="left"/>
                  <w:rPr>
                    <w:sz w:val="18"/>
                    <w:szCs w:val="18"/>
                  </w:rPr>
                </w:pPr>
                <w:r w:rsidRPr="009C3BAF">
                  <w:rPr>
                    <w:sz w:val="18"/>
                    <w:szCs w:val="18"/>
                  </w:rPr>
                  <w:t xml:space="preserve">Czy i jak projekty POIiŚ wpływają na mobilność obywateli (w szczególności na zmianę zasięgu rynków pracy oraz stymulowanie mobilności zawodowej na obszarach peryferyjnych)? </w:t>
                </w:r>
              </w:p>
            </w:tc>
            <w:tc>
              <w:tcPr>
                <w:tcW w:w="1250" w:type="pct"/>
              </w:tcPr>
              <w:p w14:paraId="5494A4F2" w14:textId="4DFD1794" w:rsidR="00397C11" w:rsidRPr="009C3BAF" w:rsidRDefault="009F6417" w:rsidP="00167155">
                <w:pPr>
                  <w:spacing w:before="80" w:after="80"/>
                  <w:jc w:val="left"/>
                  <w:rPr>
                    <w:sz w:val="18"/>
                    <w:szCs w:val="18"/>
                  </w:rPr>
                </w:pPr>
                <w:r w:rsidRPr="009C3BAF">
                  <w:rPr>
                    <w:sz w:val="18"/>
                    <w:szCs w:val="18"/>
                  </w:rPr>
                  <w:t>Oddziaływanie/wpływ</w:t>
                </w:r>
              </w:p>
            </w:tc>
          </w:tr>
          <w:tr w:rsidR="007C7EE2" w:rsidRPr="007F14BF" w14:paraId="51C11815" w14:textId="77777777" w:rsidTr="00167155">
            <w:trPr>
              <w:cnfStyle w:val="000000100000" w:firstRow="0" w:lastRow="0" w:firstColumn="0" w:lastColumn="0" w:oddVBand="0" w:evenVBand="0" w:oddHBand="1" w:evenHBand="0" w:firstRowFirstColumn="0" w:firstRowLastColumn="0" w:lastRowFirstColumn="0" w:lastRowLastColumn="0"/>
              <w:trHeight w:val="80"/>
            </w:trPr>
            <w:tc>
              <w:tcPr>
                <w:tcW w:w="405" w:type="pct"/>
              </w:tcPr>
              <w:p w14:paraId="3B78FAEF" w14:textId="77777777" w:rsidR="00397C11" w:rsidRPr="009C3BAF" w:rsidRDefault="00397C11" w:rsidP="00167155">
                <w:pPr>
                  <w:spacing w:before="80" w:after="80" w:line="267" w:lineRule="auto"/>
                  <w:ind w:right="48"/>
                  <w:jc w:val="left"/>
                  <w:rPr>
                    <w:sz w:val="18"/>
                    <w:szCs w:val="18"/>
                  </w:rPr>
                </w:pPr>
                <w:r w:rsidRPr="009C3BAF">
                  <w:rPr>
                    <w:sz w:val="18"/>
                    <w:szCs w:val="18"/>
                  </w:rPr>
                  <w:t>3</w:t>
                </w:r>
              </w:p>
            </w:tc>
            <w:tc>
              <w:tcPr>
                <w:tcW w:w="3345" w:type="pct"/>
              </w:tcPr>
              <w:p w14:paraId="2B3F7B9E" w14:textId="77777777" w:rsidR="00397C11" w:rsidRPr="009C3BAF" w:rsidRDefault="00397C11" w:rsidP="00167155">
                <w:pPr>
                  <w:spacing w:before="80" w:after="80" w:line="267" w:lineRule="auto"/>
                  <w:ind w:right="48"/>
                  <w:jc w:val="left"/>
                  <w:rPr>
                    <w:sz w:val="18"/>
                    <w:szCs w:val="18"/>
                  </w:rPr>
                </w:pPr>
                <w:r w:rsidRPr="009C3BAF">
                  <w:rPr>
                    <w:sz w:val="18"/>
                    <w:szCs w:val="18"/>
                  </w:rPr>
                  <w:t>W jakim stopniu inwestycje z VI osi priorytetowej POIiŚ 2014-2020 wpływają na mobilność osób z niepełnosprawnością i z ograniczonymi możliwościami poruszania się?</w:t>
                </w:r>
              </w:p>
            </w:tc>
            <w:tc>
              <w:tcPr>
                <w:tcW w:w="1250" w:type="pct"/>
              </w:tcPr>
              <w:p w14:paraId="3D76193E" w14:textId="5B93BE6C" w:rsidR="00397C11" w:rsidRPr="009C3BAF" w:rsidRDefault="009F6417" w:rsidP="00167155">
                <w:pPr>
                  <w:spacing w:before="80" w:after="80"/>
                  <w:jc w:val="left"/>
                  <w:rPr>
                    <w:sz w:val="18"/>
                    <w:szCs w:val="18"/>
                  </w:rPr>
                </w:pPr>
                <w:r w:rsidRPr="009C3BAF">
                  <w:rPr>
                    <w:sz w:val="18"/>
                    <w:szCs w:val="18"/>
                  </w:rPr>
                  <w:t>Oddziaływanie/wpływ</w:t>
                </w:r>
              </w:p>
            </w:tc>
          </w:tr>
          <w:tr w:rsidR="007C7EE2" w:rsidRPr="007F14BF" w14:paraId="33FE6C8F" w14:textId="77777777" w:rsidTr="00167155">
            <w:trPr>
              <w:trHeight w:val="80"/>
            </w:trPr>
            <w:tc>
              <w:tcPr>
                <w:tcW w:w="405" w:type="pct"/>
              </w:tcPr>
              <w:p w14:paraId="77C5B478" w14:textId="77777777" w:rsidR="00397C11" w:rsidRPr="009C3BAF" w:rsidRDefault="00397C11" w:rsidP="00167155">
                <w:pPr>
                  <w:spacing w:before="80" w:after="80" w:line="263" w:lineRule="auto"/>
                  <w:ind w:right="369"/>
                  <w:jc w:val="left"/>
                  <w:rPr>
                    <w:sz w:val="18"/>
                    <w:szCs w:val="18"/>
                  </w:rPr>
                </w:pPr>
                <w:r w:rsidRPr="009C3BAF">
                  <w:rPr>
                    <w:sz w:val="18"/>
                    <w:szCs w:val="18"/>
                  </w:rPr>
                  <w:t>4</w:t>
                </w:r>
              </w:p>
            </w:tc>
            <w:tc>
              <w:tcPr>
                <w:tcW w:w="3345" w:type="pct"/>
              </w:tcPr>
              <w:p w14:paraId="76A94D70" w14:textId="77777777" w:rsidR="00397C11" w:rsidRPr="009C3BAF" w:rsidRDefault="00397C11" w:rsidP="00167155">
                <w:pPr>
                  <w:spacing w:before="80" w:after="80" w:line="263" w:lineRule="auto"/>
                  <w:ind w:right="369"/>
                  <w:jc w:val="left"/>
                  <w:rPr>
                    <w:sz w:val="18"/>
                    <w:szCs w:val="18"/>
                  </w:rPr>
                </w:pPr>
                <w:r w:rsidRPr="009C3BAF">
                  <w:rPr>
                    <w:sz w:val="18"/>
                    <w:szCs w:val="18"/>
                  </w:rPr>
                  <w:t xml:space="preserve">Czy użytkownicy publicznego transportu miejskiego oszczędzają czas na dojazdach do celu podróży (w tym czas na dotarcie do przystanku, czas na przesiadkę dzięki zintegrowaniu rozkładów i wybudowaniu węzłów przesiadkowych, czas jazdy i czas na dojście do celu podróży)? </w:t>
                </w:r>
              </w:p>
            </w:tc>
            <w:tc>
              <w:tcPr>
                <w:tcW w:w="1250" w:type="pct"/>
              </w:tcPr>
              <w:p w14:paraId="580CA69D" w14:textId="22776DB9" w:rsidR="00397C11" w:rsidRPr="009C3BAF" w:rsidRDefault="009F6417" w:rsidP="00167155">
                <w:pPr>
                  <w:spacing w:before="80" w:after="80"/>
                  <w:jc w:val="left"/>
                  <w:rPr>
                    <w:sz w:val="18"/>
                    <w:szCs w:val="18"/>
                  </w:rPr>
                </w:pPr>
                <w:r w:rsidRPr="009C3BAF">
                  <w:rPr>
                    <w:sz w:val="18"/>
                    <w:szCs w:val="18"/>
                  </w:rPr>
                  <w:t>Skuteczność</w:t>
                </w:r>
              </w:p>
            </w:tc>
          </w:tr>
          <w:tr w:rsidR="007C7EE2" w:rsidRPr="007F14BF" w14:paraId="2E42D571" w14:textId="77777777" w:rsidTr="00167155">
            <w:trPr>
              <w:cnfStyle w:val="000000100000" w:firstRow="0" w:lastRow="0" w:firstColumn="0" w:lastColumn="0" w:oddVBand="0" w:evenVBand="0" w:oddHBand="1" w:evenHBand="0" w:firstRowFirstColumn="0" w:firstRowLastColumn="0" w:lastRowFirstColumn="0" w:lastRowLastColumn="0"/>
              <w:trHeight w:val="80"/>
            </w:trPr>
            <w:tc>
              <w:tcPr>
                <w:tcW w:w="405" w:type="pct"/>
              </w:tcPr>
              <w:p w14:paraId="42978549" w14:textId="77777777" w:rsidR="00397C11" w:rsidRPr="009C3BAF" w:rsidRDefault="00397C11" w:rsidP="00167155">
                <w:pPr>
                  <w:spacing w:before="80" w:after="80" w:line="263" w:lineRule="auto"/>
                  <w:ind w:right="369"/>
                  <w:jc w:val="left"/>
                  <w:rPr>
                    <w:sz w:val="18"/>
                    <w:szCs w:val="18"/>
                  </w:rPr>
                </w:pPr>
                <w:r w:rsidRPr="009C3BAF">
                  <w:rPr>
                    <w:sz w:val="18"/>
                    <w:szCs w:val="18"/>
                  </w:rPr>
                  <w:t>5</w:t>
                </w:r>
              </w:p>
            </w:tc>
            <w:tc>
              <w:tcPr>
                <w:tcW w:w="3345" w:type="pct"/>
              </w:tcPr>
              <w:p w14:paraId="49E12B78" w14:textId="77777777" w:rsidR="00397C11" w:rsidRPr="009C3BAF" w:rsidRDefault="00397C11" w:rsidP="00167155">
                <w:pPr>
                  <w:spacing w:before="80" w:after="80" w:line="263" w:lineRule="auto"/>
                  <w:ind w:right="369"/>
                  <w:jc w:val="left"/>
                  <w:rPr>
                    <w:sz w:val="18"/>
                    <w:szCs w:val="18"/>
                  </w:rPr>
                </w:pPr>
                <w:r w:rsidRPr="009C3BAF">
                  <w:rPr>
                    <w:sz w:val="18"/>
                    <w:szCs w:val="18"/>
                  </w:rPr>
                  <w:t xml:space="preserve">Czy w wyniku realizacji projektów POIiŚ prowadzona jest efektywna polityka możliwości zmiany środka transportu z indywidualnego na zbiorowy w drodze do centrum miasta (parkingi </w:t>
                </w:r>
                <w:r w:rsidRPr="00307E9E">
                  <w:rPr>
                    <w:i/>
                    <w:sz w:val="18"/>
                    <w:szCs w:val="18"/>
                  </w:rPr>
                  <w:t>P&amp;R</w:t>
                </w:r>
                <w:r w:rsidRPr="009C3BAF">
                  <w:rPr>
                    <w:sz w:val="18"/>
                    <w:szCs w:val="18"/>
                  </w:rPr>
                  <w:t xml:space="preserve"> na przedmieściach i w obszarach funkcjonalnych)? </w:t>
                </w:r>
              </w:p>
            </w:tc>
            <w:tc>
              <w:tcPr>
                <w:tcW w:w="1250" w:type="pct"/>
              </w:tcPr>
              <w:p w14:paraId="5B8CE299" w14:textId="6A85BAD5" w:rsidR="00397C11" w:rsidRPr="009C3BAF" w:rsidRDefault="00073A86" w:rsidP="00167155">
                <w:pPr>
                  <w:spacing w:before="80" w:after="80"/>
                  <w:jc w:val="left"/>
                  <w:rPr>
                    <w:sz w:val="18"/>
                    <w:szCs w:val="18"/>
                  </w:rPr>
                </w:pPr>
                <w:r w:rsidRPr="009C3BAF">
                  <w:rPr>
                    <w:sz w:val="18"/>
                    <w:szCs w:val="18"/>
                  </w:rPr>
                  <w:t>Użyteczność</w:t>
                </w:r>
              </w:p>
            </w:tc>
          </w:tr>
          <w:tr w:rsidR="00391608" w:rsidRPr="00391608" w14:paraId="371AC1B1" w14:textId="77777777" w:rsidTr="00167155">
            <w:trPr>
              <w:trHeight w:val="80"/>
            </w:trPr>
            <w:tc>
              <w:tcPr>
                <w:tcW w:w="405" w:type="pct"/>
              </w:tcPr>
              <w:p w14:paraId="55030A6B" w14:textId="77777777" w:rsidR="00397C11" w:rsidRPr="009C3BAF" w:rsidRDefault="00397C11" w:rsidP="00167155">
                <w:pPr>
                  <w:spacing w:before="80" w:after="80"/>
                  <w:jc w:val="left"/>
                  <w:rPr>
                    <w:sz w:val="18"/>
                    <w:szCs w:val="18"/>
                  </w:rPr>
                </w:pPr>
                <w:r w:rsidRPr="009C3BAF">
                  <w:rPr>
                    <w:sz w:val="18"/>
                    <w:szCs w:val="18"/>
                  </w:rPr>
                  <w:t>6</w:t>
                </w:r>
              </w:p>
            </w:tc>
            <w:tc>
              <w:tcPr>
                <w:tcW w:w="3345" w:type="pct"/>
              </w:tcPr>
              <w:p w14:paraId="70B397D0" w14:textId="77777777" w:rsidR="00397C11" w:rsidRPr="009C3BAF" w:rsidRDefault="00397C11" w:rsidP="00167155">
                <w:pPr>
                  <w:spacing w:before="80" w:after="80"/>
                  <w:jc w:val="left"/>
                  <w:rPr>
                    <w:sz w:val="18"/>
                    <w:szCs w:val="18"/>
                  </w:rPr>
                </w:pPr>
                <w:r w:rsidRPr="009C3BAF">
                  <w:rPr>
                    <w:sz w:val="18"/>
                    <w:szCs w:val="18"/>
                  </w:rPr>
                  <w:t xml:space="preserve">Czy w wyniku realizacji projektów POIiŚ poprawi/poprawiła się jakość i komfort podróży (np. możliwość planowania podróży, informacja dla podróżnych, dostępność i standard podróży wynikających z jakości taboru)? </w:t>
                </w:r>
              </w:p>
            </w:tc>
            <w:tc>
              <w:tcPr>
                <w:tcW w:w="1250" w:type="pct"/>
              </w:tcPr>
              <w:p w14:paraId="6785D244" w14:textId="3170A332" w:rsidR="00397C11" w:rsidRPr="009C3BAF" w:rsidRDefault="009F6417" w:rsidP="00167155">
                <w:pPr>
                  <w:spacing w:before="80" w:after="80"/>
                  <w:jc w:val="left"/>
                  <w:rPr>
                    <w:sz w:val="18"/>
                    <w:szCs w:val="18"/>
                  </w:rPr>
                </w:pPr>
                <w:r w:rsidRPr="009C3BAF">
                  <w:rPr>
                    <w:sz w:val="18"/>
                    <w:szCs w:val="18"/>
                  </w:rPr>
                  <w:t>Użyteczność</w:t>
                </w:r>
              </w:p>
            </w:tc>
          </w:tr>
          <w:tr w:rsidR="00391608" w:rsidRPr="00391608" w14:paraId="2C633084" w14:textId="77777777" w:rsidTr="00167155">
            <w:trPr>
              <w:cnfStyle w:val="000000100000" w:firstRow="0" w:lastRow="0" w:firstColumn="0" w:lastColumn="0" w:oddVBand="0" w:evenVBand="0" w:oddHBand="1" w:evenHBand="0" w:firstRowFirstColumn="0" w:firstRowLastColumn="0" w:lastRowFirstColumn="0" w:lastRowLastColumn="0"/>
              <w:trHeight w:val="381"/>
            </w:trPr>
            <w:tc>
              <w:tcPr>
                <w:tcW w:w="405" w:type="pct"/>
              </w:tcPr>
              <w:p w14:paraId="18856311" w14:textId="77777777" w:rsidR="00397C11" w:rsidRPr="009C3BAF" w:rsidRDefault="00397C11" w:rsidP="00167155">
                <w:pPr>
                  <w:spacing w:before="80" w:after="80"/>
                  <w:jc w:val="left"/>
                  <w:rPr>
                    <w:sz w:val="18"/>
                    <w:szCs w:val="18"/>
                  </w:rPr>
                </w:pPr>
                <w:r w:rsidRPr="009C3BAF">
                  <w:rPr>
                    <w:sz w:val="18"/>
                    <w:szCs w:val="18"/>
                  </w:rPr>
                  <w:lastRenderedPageBreak/>
                  <w:t>7</w:t>
                </w:r>
              </w:p>
            </w:tc>
            <w:tc>
              <w:tcPr>
                <w:tcW w:w="3345" w:type="pct"/>
              </w:tcPr>
              <w:p w14:paraId="50364CC1" w14:textId="77777777" w:rsidR="00397C11" w:rsidRPr="009C3BAF" w:rsidRDefault="00397C11" w:rsidP="00167155">
                <w:pPr>
                  <w:spacing w:before="80" w:after="80"/>
                  <w:jc w:val="left"/>
                  <w:rPr>
                    <w:sz w:val="18"/>
                    <w:szCs w:val="18"/>
                  </w:rPr>
                </w:pPr>
                <w:r w:rsidRPr="009C3BAF">
                  <w:rPr>
                    <w:sz w:val="18"/>
                    <w:szCs w:val="18"/>
                  </w:rPr>
                  <w:t>Czy w wyniku realizacji projektów POIiŚ nastąpi/nastąpiło podniesienie poziomu bezpieczeństwa i wzrost atrakcyjności w obszarze transportu zbiorowego? W jaki sposób i w jakim stopniu wpłynęły one na funkcjonowanie transportu miejskiego?</w:t>
                </w:r>
              </w:p>
            </w:tc>
            <w:tc>
              <w:tcPr>
                <w:tcW w:w="1250" w:type="pct"/>
              </w:tcPr>
              <w:p w14:paraId="39D63660" w14:textId="4AD9FED4" w:rsidR="003E0236" w:rsidRPr="009C3BAF" w:rsidRDefault="003E0236" w:rsidP="00167155">
                <w:pPr>
                  <w:spacing w:before="80" w:after="80"/>
                  <w:jc w:val="left"/>
                  <w:rPr>
                    <w:sz w:val="18"/>
                    <w:szCs w:val="18"/>
                  </w:rPr>
                </w:pPr>
                <w:r w:rsidRPr="009C3BAF">
                  <w:rPr>
                    <w:sz w:val="18"/>
                    <w:szCs w:val="18"/>
                  </w:rPr>
                  <w:t>Skuteczność</w:t>
                </w:r>
              </w:p>
              <w:p w14:paraId="6A0B2AF4" w14:textId="7E9F2187" w:rsidR="00397C11" w:rsidRPr="009C3BAF" w:rsidRDefault="009F6417" w:rsidP="00167155">
                <w:pPr>
                  <w:spacing w:before="80" w:after="80"/>
                  <w:jc w:val="left"/>
                  <w:rPr>
                    <w:sz w:val="18"/>
                    <w:szCs w:val="18"/>
                  </w:rPr>
                </w:pPr>
                <w:r w:rsidRPr="009C3BAF">
                  <w:rPr>
                    <w:sz w:val="18"/>
                    <w:szCs w:val="18"/>
                  </w:rPr>
                  <w:t>Oddziaływanie/wpływ</w:t>
                </w:r>
              </w:p>
            </w:tc>
          </w:tr>
          <w:tr w:rsidR="00391608" w:rsidRPr="00391608" w14:paraId="71823D35" w14:textId="77777777" w:rsidTr="00167155">
            <w:trPr>
              <w:trHeight w:val="647"/>
            </w:trPr>
            <w:tc>
              <w:tcPr>
                <w:tcW w:w="405" w:type="pct"/>
              </w:tcPr>
              <w:p w14:paraId="74490161" w14:textId="77777777" w:rsidR="00397C11" w:rsidRPr="009C3BAF" w:rsidRDefault="00397C11" w:rsidP="00167155">
                <w:pPr>
                  <w:spacing w:before="80" w:after="80"/>
                  <w:jc w:val="left"/>
                  <w:rPr>
                    <w:sz w:val="18"/>
                    <w:szCs w:val="18"/>
                  </w:rPr>
                </w:pPr>
                <w:r w:rsidRPr="009C3BAF">
                  <w:rPr>
                    <w:sz w:val="18"/>
                    <w:szCs w:val="18"/>
                  </w:rPr>
                  <w:t>8</w:t>
                </w:r>
              </w:p>
            </w:tc>
            <w:tc>
              <w:tcPr>
                <w:tcW w:w="3345" w:type="pct"/>
              </w:tcPr>
              <w:p w14:paraId="2FC6E6BE" w14:textId="77777777" w:rsidR="00397C11" w:rsidRPr="009C3BAF" w:rsidRDefault="00397C11" w:rsidP="00167155">
                <w:pPr>
                  <w:spacing w:before="80" w:after="80"/>
                  <w:jc w:val="left"/>
                  <w:rPr>
                    <w:sz w:val="18"/>
                    <w:szCs w:val="18"/>
                  </w:rPr>
                </w:pPr>
                <w:r w:rsidRPr="009C3BAF">
                  <w:rPr>
                    <w:sz w:val="18"/>
                    <w:szCs w:val="18"/>
                  </w:rPr>
                  <w:t>Jak inwestycje transportowe wpłyną/wpłynęły na zmianę poziomu bezpieczeństwa podróżnych podczas wykorzystywania poszczególnych środków transportu?</w:t>
                </w:r>
              </w:p>
            </w:tc>
            <w:tc>
              <w:tcPr>
                <w:tcW w:w="1250" w:type="pct"/>
              </w:tcPr>
              <w:p w14:paraId="64E3555F" w14:textId="49C3AE51" w:rsidR="00397C11" w:rsidRPr="009C3BAF" w:rsidRDefault="009F6417" w:rsidP="00167155">
                <w:pPr>
                  <w:spacing w:before="80" w:after="80"/>
                  <w:jc w:val="left"/>
                  <w:rPr>
                    <w:sz w:val="18"/>
                    <w:szCs w:val="18"/>
                  </w:rPr>
                </w:pPr>
                <w:r w:rsidRPr="009C3BAF">
                  <w:rPr>
                    <w:sz w:val="18"/>
                    <w:szCs w:val="18"/>
                  </w:rPr>
                  <w:t>Oddziaływanie/wpływ</w:t>
                </w:r>
              </w:p>
            </w:tc>
          </w:tr>
          <w:tr w:rsidR="00391608" w:rsidRPr="00391608" w14:paraId="5B427E1E" w14:textId="77777777" w:rsidTr="00167155">
            <w:trPr>
              <w:cnfStyle w:val="000000100000" w:firstRow="0" w:lastRow="0" w:firstColumn="0" w:lastColumn="0" w:oddVBand="0" w:evenVBand="0" w:oddHBand="1" w:evenHBand="0" w:firstRowFirstColumn="0" w:firstRowLastColumn="0" w:lastRowFirstColumn="0" w:lastRowLastColumn="0"/>
              <w:trHeight w:val="80"/>
            </w:trPr>
            <w:tc>
              <w:tcPr>
                <w:tcW w:w="405" w:type="pct"/>
              </w:tcPr>
              <w:p w14:paraId="2C731643" w14:textId="77777777" w:rsidR="00397C11" w:rsidRPr="009C3BAF" w:rsidRDefault="00397C11" w:rsidP="00167155">
                <w:pPr>
                  <w:spacing w:before="80" w:after="80"/>
                  <w:jc w:val="left"/>
                  <w:rPr>
                    <w:sz w:val="18"/>
                    <w:szCs w:val="18"/>
                  </w:rPr>
                </w:pPr>
                <w:r w:rsidRPr="009C3BAF">
                  <w:rPr>
                    <w:sz w:val="18"/>
                    <w:szCs w:val="18"/>
                  </w:rPr>
                  <w:t>9</w:t>
                </w:r>
              </w:p>
            </w:tc>
            <w:tc>
              <w:tcPr>
                <w:tcW w:w="3345" w:type="pct"/>
              </w:tcPr>
              <w:p w14:paraId="5629E1E1" w14:textId="77777777" w:rsidR="00397C11" w:rsidRPr="009C3BAF" w:rsidRDefault="00397C11" w:rsidP="00167155">
                <w:pPr>
                  <w:spacing w:before="80" w:after="80"/>
                  <w:jc w:val="left"/>
                  <w:rPr>
                    <w:sz w:val="18"/>
                    <w:szCs w:val="18"/>
                  </w:rPr>
                </w:pPr>
                <w:r w:rsidRPr="009C3BAF">
                  <w:rPr>
                    <w:sz w:val="18"/>
                    <w:szCs w:val="18"/>
                  </w:rPr>
                  <w:t>Jak zmieni/zmieniła się jakość i liczba oferowanych usług transportowych wspartych dzięki inwestycjom w transport publiczny?</w:t>
                </w:r>
              </w:p>
            </w:tc>
            <w:tc>
              <w:tcPr>
                <w:tcW w:w="1250" w:type="pct"/>
              </w:tcPr>
              <w:p w14:paraId="64C31AC6" w14:textId="5D8DBBCD" w:rsidR="00397C11" w:rsidRPr="009C3BAF" w:rsidRDefault="00167155" w:rsidP="00167155">
                <w:pPr>
                  <w:spacing w:before="80" w:after="80"/>
                  <w:jc w:val="left"/>
                  <w:rPr>
                    <w:sz w:val="18"/>
                    <w:szCs w:val="18"/>
                  </w:rPr>
                </w:pPr>
                <w:r w:rsidRPr="009C3BAF">
                  <w:rPr>
                    <w:sz w:val="18"/>
                    <w:szCs w:val="18"/>
                  </w:rPr>
                  <w:t>Oddziaływanie/wpływ</w:t>
                </w:r>
              </w:p>
            </w:tc>
          </w:tr>
          <w:tr w:rsidR="00391608" w:rsidRPr="00391608" w14:paraId="53858393" w14:textId="77777777" w:rsidTr="00167155">
            <w:trPr>
              <w:trHeight w:val="80"/>
            </w:trPr>
            <w:tc>
              <w:tcPr>
                <w:tcW w:w="405" w:type="pct"/>
              </w:tcPr>
              <w:p w14:paraId="20ED397D" w14:textId="77777777" w:rsidR="00397C11" w:rsidRPr="009C3BAF" w:rsidRDefault="00397C11" w:rsidP="00167155">
                <w:pPr>
                  <w:spacing w:before="80" w:after="80"/>
                  <w:jc w:val="left"/>
                  <w:rPr>
                    <w:sz w:val="18"/>
                    <w:szCs w:val="18"/>
                  </w:rPr>
                </w:pPr>
                <w:r w:rsidRPr="009C3BAF">
                  <w:rPr>
                    <w:sz w:val="18"/>
                    <w:szCs w:val="18"/>
                  </w:rPr>
                  <w:t>10</w:t>
                </w:r>
              </w:p>
            </w:tc>
            <w:tc>
              <w:tcPr>
                <w:tcW w:w="3345" w:type="pct"/>
              </w:tcPr>
              <w:p w14:paraId="47C33C2A" w14:textId="77777777" w:rsidR="00397C11" w:rsidRPr="009C3BAF" w:rsidRDefault="00397C11" w:rsidP="00167155">
                <w:pPr>
                  <w:spacing w:before="80" w:after="80"/>
                  <w:jc w:val="left"/>
                  <w:rPr>
                    <w:sz w:val="18"/>
                    <w:szCs w:val="18"/>
                  </w:rPr>
                </w:pPr>
                <w:r w:rsidRPr="009C3BAF">
                  <w:rPr>
                    <w:sz w:val="18"/>
                    <w:szCs w:val="18"/>
                  </w:rPr>
                  <w:t>Jakie inne zmiany zamierzone i niezamierzone (pozytywne i/lub negatywne) wystąpią/wystąpiły (np. na poziomie infrastruktury pasażera) wskutek interwencji transportowej?</w:t>
                </w:r>
              </w:p>
            </w:tc>
            <w:tc>
              <w:tcPr>
                <w:tcW w:w="1250" w:type="pct"/>
              </w:tcPr>
              <w:p w14:paraId="27E7E33D" w14:textId="77702B04" w:rsidR="00397C11" w:rsidRPr="009C3BAF" w:rsidRDefault="00167155" w:rsidP="00167155">
                <w:pPr>
                  <w:spacing w:before="80" w:after="80"/>
                  <w:jc w:val="left"/>
                  <w:rPr>
                    <w:sz w:val="18"/>
                    <w:szCs w:val="18"/>
                  </w:rPr>
                </w:pPr>
                <w:r w:rsidRPr="009C3BAF">
                  <w:rPr>
                    <w:sz w:val="18"/>
                    <w:szCs w:val="18"/>
                  </w:rPr>
                  <w:t>Oddziaływanie/wpływ</w:t>
                </w:r>
              </w:p>
            </w:tc>
          </w:tr>
          <w:tr w:rsidR="00391608" w:rsidRPr="00391608" w14:paraId="165CADF6" w14:textId="77777777" w:rsidTr="00167155">
            <w:trPr>
              <w:cnfStyle w:val="000000100000" w:firstRow="0" w:lastRow="0" w:firstColumn="0" w:lastColumn="0" w:oddVBand="0" w:evenVBand="0" w:oddHBand="1" w:evenHBand="0" w:firstRowFirstColumn="0" w:firstRowLastColumn="0" w:lastRowFirstColumn="0" w:lastRowLastColumn="0"/>
              <w:trHeight w:val="840"/>
            </w:trPr>
            <w:tc>
              <w:tcPr>
                <w:tcW w:w="405" w:type="pct"/>
              </w:tcPr>
              <w:p w14:paraId="44158FD8" w14:textId="77777777" w:rsidR="00397C11" w:rsidRPr="009C3BAF" w:rsidRDefault="00397C11" w:rsidP="00167155">
                <w:pPr>
                  <w:spacing w:before="80" w:after="80"/>
                  <w:jc w:val="left"/>
                  <w:rPr>
                    <w:sz w:val="18"/>
                    <w:szCs w:val="18"/>
                  </w:rPr>
                </w:pPr>
                <w:r w:rsidRPr="009C3BAF">
                  <w:rPr>
                    <w:sz w:val="18"/>
                    <w:szCs w:val="18"/>
                  </w:rPr>
                  <w:t>11</w:t>
                </w:r>
              </w:p>
            </w:tc>
            <w:tc>
              <w:tcPr>
                <w:tcW w:w="3345" w:type="pct"/>
              </w:tcPr>
              <w:p w14:paraId="0A3C2B76" w14:textId="77777777" w:rsidR="00397C11" w:rsidRPr="009C3BAF" w:rsidRDefault="00397C11" w:rsidP="00167155">
                <w:pPr>
                  <w:spacing w:before="80" w:after="80"/>
                  <w:jc w:val="left"/>
                  <w:rPr>
                    <w:sz w:val="18"/>
                    <w:szCs w:val="18"/>
                  </w:rPr>
                </w:pPr>
                <w:r w:rsidRPr="009C3BAF">
                  <w:rPr>
                    <w:sz w:val="18"/>
                    <w:szCs w:val="18"/>
                  </w:rPr>
                  <w:t>Czy i jak projekty POIiŚ wpływają na możliwość planowania, organizowania i zarządzania transportem zbiorowym (planowanie i dynamiczna zmiana rozkładów jazdy, nadzór ruchu, dyspozytorskie zarządzanie sytuacją awaryjną)? Czy zmienił się czas likwidacji zdarzeń w sieci transportowej i przywracania ruchu?</w:t>
                </w:r>
              </w:p>
            </w:tc>
            <w:tc>
              <w:tcPr>
                <w:tcW w:w="1250" w:type="pct"/>
              </w:tcPr>
              <w:p w14:paraId="415C071D" w14:textId="7D6D8C0F" w:rsidR="00397C11" w:rsidRPr="009C3BAF" w:rsidRDefault="009F6417" w:rsidP="00167155">
                <w:pPr>
                  <w:spacing w:before="80" w:after="80"/>
                  <w:jc w:val="left"/>
                  <w:rPr>
                    <w:sz w:val="18"/>
                    <w:szCs w:val="18"/>
                  </w:rPr>
                </w:pPr>
                <w:r w:rsidRPr="009C3BAF">
                  <w:rPr>
                    <w:sz w:val="18"/>
                    <w:szCs w:val="18"/>
                  </w:rPr>
                  <w:t>Użyteczność</w:t>
                </w:r>
              </w:p>
            </w:tc>
          </w:tr>
          <w:tr w:rsidR="00391608" w:rsidRPr="00391608" w14:paraId="18D961C6" w14:textId="77777777" w:rsidTr="00167155">
            <w:trPr>
              <w:trHeight w:val="822"/>
            </w:trPr>
            <w:tc>
              <w:tcPr>
                <w:tcW w:w="405" w:type="pct"/>
              </w:tcPr>
              <w:p w14:paraId="7C8A6B90" w14:textId="77777777" w:rsidR="00397C11" w:rsidRPr="009C3BAF" w:rsidRDefault="00397C11" w:rsidP="00167155">
                <w:pPr>
                  <w:spacing w:before="80" w:after="80"/>
                  <w:jc w:val="left"/>
                  <w:rPr>
                    <w:sz w:val="18"/>
                    <w:szCs w:val="18"/>
                  </w:rPr>
                </w:pPr>
                <w:r w:rsidRPr="009C3BAF">
                  <w:rPr>
                    <w:sz w:val="18"/>
                    <w:szCs w:val="18"/>
                  </w:rPr>
                  <w:t>12</w:t>
                </w:r>
              </w:p>
            </w:tc>
            <w:tc>
              <w:tcPr>
                <w:tcW w:w="3345" w:type="pct"/>
              </w:tcPr>
              <w:p w14:paraId="654D722A" w14:textId="77777777" w:rsidR="00397C11" w:rsidRPr="009C3BAF" w:rsidRDefault="00397C11" w:rsidP="00167155">
                <w:pPr>
                  <w:spacing w:before="80" w:after="80"/>
                  <w:jc w:val="left"/>
                  <w:rPr>
                    <w:sz w:val="18"/>
                    <w:szCs w:val="18"/>
                  </w:rPr>
                </w:pPr>
                <w:r w:rsidRPr="009C3BAF">
                  <w:rPr>
                    <w:sz w:val="18"/>
                    <w:szCs w:val="18"/>
                  </w:rPr>
                  <w:t>Czy w wyniku realizacji projektów POIiŚ występuje/wystąpi zmniejszenie zatłoczenia motoryzacyjnego (indywidualnego i zbiorowego) i redukowane są wąskie gardła w transporcie (czy realizacja przyczyniła się do zwiększenia średniej prędkości lub zlikwidowania ograniczenia prędkości np. poprzez wprowadzenie systemu uprzywilejowania dla transportu miejskiego)? - analiza na całej sieci (z uwzględnieniem różnych gałęzi transportu). Czy problem zatłoczenia został rozwiązany czy przeniesiony na inny obszar miasta?</w:t>
                </w:r>
              </w:p>
            </w:tc>
            <w:tc>
              <w:tcPr>
                <w:tcW w:w="1250" w:type="pct"/>
              </w:tcPr>
              <w:p w14:paraId="52C91001" w14:textId="0A4C6E3D" w:rsidR="00397C11" w:rsidRPr="009C3BAF" w:rsidRDefault="00167155" w:rsidP="00167155">
                <w:pPr>
                  <w:spacing w:before="80" w:after="80"/>
                  <w:jc w:val="left"/>
                  <w:rPr>
                    <w:sz w:val="18"/>
                    <w:szCs w:val="18"/>
                  </w:rPr>
                </w:pPr>
                <w:r w:rsidRPr="009C3BAF">
                  <w:rPr>
                    <w:sz w:val="18"/>
                    <w:szCs w:val="18"/>
                  </w:rPr>
                  <w:t>Oddziaływanie/wpływ</w:t>
                </w:r>
              </w:p>
            </w:tc>
          </w:tr>
          <w:tr w:rsidR="00391608" w:rsidRPr="00391608" w14:paraId="77A62238" w14:textId="77777777" w:rsidTr="00167155">
            <w:trPr>
              <w:cnfStyle w:val="000000100000" w:firstRow="0" w:lastRow="0" w:firstColumn="0" w:lastColumn="0" w:oddVBand="0" w:evenVBand="0" w:oddHBand="1" w:evenHBand="0" w:firstRowFirstColumn="0" w:firstRowLastColumn="0" w:lastRowFirstColumn="0" w:lastRowLastColumn="0"/>
              <w:trHeight w:val="112"/>
            </w:trPr>
            <w:tc>
              <w:tcPr>
                <w:tcW w:w="405" w:type="pct"/>
              </w:tcPr>
              <w:p w14:paraId="6688AB04" w14:textId="77777777" w:rsidR="00397C11" w:rsidRPr="009C3BAF" w:rsidRDefault="00397C11" w:rsidP="00167155">
                <w:pPr>
                  <w:spacing w:before="80" w:after="80"/>
                  <w:jc w:val="left"/>
                  <w:rPr>
                    <w:sz w:val="18"/>
                    <w:szCs w:val="18"/>
                  </w:rPr>
                </w:pPr>
                <w:r w:rsidRPr="009C3BAF">
                  <w:rPr>
                    <w:sz w:val="18"/>
                    <w:szCs w:val="18"/>
                  </w:rPr>
                  <w:t>13</w:t>
                </w:r>
              </w:p>
            </w:tc>
            <w:tc>
              <w:tcPr>
                <w:tcW w:w="3345" w:type="pct"/>
              </w:tcPr>
              <w:p w14:paraId="24159A3D" w14:textId="77777777" w:rsidR="00397C11" w:rsidRPr="009C3BAF" w:rsidRDefault="00397C11" w:rsidP="00167155">
                <w:pPr>
                  <w:spacing w:before="80" w:after="80"/>
                  <w:jc w:val="left"/>
                  <w:rPr>
                    <w:sz w:val="18"/>
                    <w:szCs w:val="18"/>
                  </w:rPr>
                </w:pPr>
                <w:r w:rsidRPr="009C3BAF">
                  <w:rPr>
                    <w:sz w:val="18"/>
                    <w:szCs w:val="18"/>
                  </w:rPr>
                  <w:t>Jakie uzupełniające projekty transportowe (np. zwiększenie przepustowości skrzyżowań rozwiązaniami bezkolizyjnymi, budowa łącznic, przebicia kwartałów, tworzenie nowych relacji na skrzyżowaniach i rozjazdach) mogą w znaczący sposób zwiększyć efektywność systemu transportowego miast (tak w zakresie infrastruktury drogowej, jak i kolejowej)?</w:t>
                </w:r>
              </w:p>
            </w:tc>
            <w:tc>
              <w:tcPr>
                <w:tcW w:w="1250" w:type="pct"/>
              </w:tcPr>
              <w:p w14:paraId="5DE2A12B" w14:textId="1E3675C2" w:rsidR="00397C11" w:rsidRPr="009C3BAF" w:rsidRDefault="009F6417" w:rsidP="00167155">
                <w:pPr>
                  <w:spacing w:before="80" w:after="80"/>
                  <w:jc w:val="left"/>
                  <w:rPr>
                    <w:sz w:val="18"/>
                    <w:szCs w:val="18"/>
                  </w:rPr>
                </w:pPr>
                <w:r w:rsidRPr="009C3BAF">
                  <w:rPr>
                    <w:sz w:val="18"/>
                    <w:szCs w:val="18"/>
                  </w:rPr>
                  <w:t>Efektywność</w:t>
                </w:r>
              </w:p>
            </w:tc>
          </w:tr>
          <w:tr w:rsidR="00391608" w:rsidRPr="00391608" w14:paraId="6DFAC2D6" w14:textId="77777777" w:rsidTr="00167155">
            <w:trPr>
              <w:trHeight w:val="520"/>
            </w:trPr>
            <w:tc>
              <w:tcPr>
                <w:tcW w:w="405" w:type="pct"/>
              </w:tcPr>
              <w:p w14:paraId="3B7BA3B9" w14:textId="77777777" w:rsidR="00397C11" w:rsidRPr="009C3BAF" w:rsidRDefault="00397C11" w:rsidP="00167155">
                <w:pPr>
                  <w:spacing w:before="80" w:after="80"/>
                  <w:jc w:val="left"/>
                  <w:rPr>
                    <w:sz w:val="18"/>
                    <w:szCs w:val="18"/>
                  </w:rPr>
                </w:pPr>
                <w:r w:rsidRPr="009C3BAF">
                  <w:rPr>
                    <w:sz w:val="18"/>
                    <w:szCs w:val="18"/>
                  </w:rPr>
                  <w:t>14</w:t>
                </w:r>
              </w:p>
            </w:tc>
            <w:tc>
              <w:tcPr>
                <w:tcW w:w="3345" w:type="pct"/>
              </w:tcPr>
              <w:p w14:paraId="1144C0E8" w14:textId="77777777" w:rsidR="00397C11" w:rsidRPr="009C3BAF" w:rsidRDefault="00397C11" w:rsidP="00167155">
                <w:pPr>
                  <w:spacing w:before="80" w:after="80"/>
                  <w:jc w:val="left"/>
                  <w:rPr>
                    <w:sz w:val="18"/>
                    <w:szCs w:val="18"/>
                  </w:rPr>
                </w:pPr>
                <w:r w:rsidRPr="009C3BAF">
                  <w:rPr>
                    <w:sz w:val="18"/>
                    <w:szCs w:val="18"/>
                  </w:rPr>
                  <w:t>W jaki sposób realizacja POIiŚ przyczyniła się do zwiększenia efektywności przewozów (lepszego wykorzystania miejsc w taborze, zwiększenia liczby przejazdów, powiązania różnych środków transportu dzięki dostosowaniu rozkładu do potrzeb pasażerów, zliczaniu pasażerów itp.)?</w:t>
                </w:r>
              </w:p>
            </w:tc>
            <w:tc>
              <w:tcPr>
                <w:tcW w:w="1250" w:type="pct"/>
              </w:tcPr>
              <w:p w14:paraId="6FE45518" w14:textId="1E43D17A" w:rsidR="00397C11" w:rsidRPr="009C3BAF" w:rsidRDefault="009F6417" w:rsidP="00167155">
                <w:pPr>
                  <w:spacing w:before="80" w:after="80"/>
                  <w:jc w:val="left"/>
                  <w:rPr>
                    <w:sz w:val="18"/>
                    <w:szCs w:val="18"/>
                  </w:rPr>
                </w:pPr>
                <w:r w:rsidRPr="009C3BAF">
                  <w:rPr>
                    <w:sz w:val="18"/>
                    <w:szCs w:val="18"/>
                  </w:rPr>
                  <w:t>Efektywność</w:t>
                </w:r>
              </w:p>
            </w:tc>
          </w:tr>
          <w:tr w:rsidR="00391608" w:rsidRPr="00391608" w14:paraId="5F820116" w14:textId="77777777" w:rsidTr="00167155">
            <w:trPr>
              <w:cnfStyle w:val="000000100000" w:firstRow="0" w:lastRow="0" w:firstColumn="0" w:lastColumn="0" w:oddVBand="0" w:evenVBand="0" w:oddHBand="1" w:evenHBand="0" w:firstRowFirstColumn="0" w:firstRowLastColumn="0" w:lastRowFirstColumn="0" w:lastRowLastColumn="0"/>
              <w:trHeight w:val="80"/>
            </w:trPr>
            <w:tc>
              <w:tcPr>
                <w:tcW w:w="405" w:type="pct"/>
              </w:tcPr>
              <w:p w14:paraId="481181E7" w14:textId="77777777" w:rsidR="00397C11" w:rsidRPr="009C3BAF" w:rsidRDefault="00397C11" w:rsidP="00167155">
                <w:pPr>
                  <w:spacing w:before="80" w:after="80"/>
                  <w:jc w:val="left"/>
                  <w:rPr>
                    <w:sz w:val="18"/>
                    <w:szCs w:val="18"/>
                  </w:rPr>
                </w:pPr>
                <w:r w:rsidRPr="009C3BAF">
                  <w:rPr>
                    <w:sz w:val="18"/>
                    <w:szCs w:val="18"/>
                  </w:rPr>
                  <w:t>15</w:t>
                </w:r>
              </w:p>
            </w:tc>
            <w:tc>
              <w:tcPr>
                <w:tcW w:w="3345" w:type="pct"/>
              </w:tcPr>
              <w:p w14:paraId="62B165FD" w14:textId="77777777" w:rsidR="00397C11" w:rsidRPr="009C3BAF" w:rsidRDefault="00397C11" w:rsidP="00167155">
                <w:pPr>
                  <w:spacing w:before="80" w:after="80"/>
                  <w:jc w:val="left"/>
                  <w:rPr>
                    <w:sz w:val="18"/>
                    <w:szCs w:val="18"/>
                  </w:rPr>
                </w:pPr>
                <w:r w:rsidRPr="009C3BAF">
                  <w:rPr>
                    <w:sz w:val="18"/>
                    <w:szCs w:val="18"/>
                  </w:rPr>
                  <w:t>W jakim stopniu inwestycje z VI osi priorytetowej POIiŚ 2014-2020 wpływają na rozbudowę sieci szynowej oraz połączeń autobusowych?</w:t>
                </w:r>
              </w:p>
            </w:tc>
            <w:tc>
              <w:tcPr>
                <w:tcW w:w="1250" w:type="pct"/>
              </w:tcPr>
              <w:p w14:paraId="58A4760C" w14:textId="5B55CBA9" w:rsidR="00397C11" w:rsidRPr="009C3BAF" w:rsidRDefault="003E0236" w:rsidP="00167155">
                <w:pPr>
                  <w:spacing w:before="80" w:after="80"/>
                  <w:jc w:val="left"/>
                  <w:rPr>
                    <w:sz w:val="18"/>
                    <w:szCs w:val="18"/>
                  </w:rPr>
                </w:pPr>
                <w:r w:rsidRPr="009C3BAF">
                  <w:rPr>
                    <w:sz w:val="18"/>
                    <w:szCs w:val="18"/>
                  </w:rPr>
                  <w:t>Oddziaływanie/wpływ</w:t>
                </w:r>
              </w:p>
            </w:tc>
          </w:tr>
          <w:tr w:rsidR="00391608" w:rsidRPr="00391608" w14:paraId="5905D794" w14:textId="77777777" w:rsidTr="00167155">
            <w:trPr>
              <w:trHeight w:val="80"/>
            </w:trPr>
            <w:tc>
              <w:tcPr>
                <w:tcW w:w="405" w:type="pct"/>
              </w:tcPr>
              <w:p w14:paraId="197092B8" w14:textId="77777777" w:rsidR="00397C11" w:rsidRPr="009C3BAF" w:rsidRDefault="00397C11" w:rsidP="00167155">
                <w:pPr>
                  <w:spacing w:before="80" w:after="80"/>
                  <w:jc w:val="left"/>
                  <w:rPr>
                    <w:sz w:val="18"/>
                    <w:szCs w:val="18"/>
                  </w:rPr>
                </w:pPr>
                <w:r w:rsidRPr="009C3BAF">
                  <w:rPr>
                    <w:sz w:val="18"/>
                    <w:szCs w:val="18"/>
                  </w:rPr>
                  <w:t>16</w:t>
                </w:r>
              </w:p>
            </w:tc>
            <w:tc>
              <w:tcPr>
                <w:tcW w:w="3345" w:type="pct"/>
              </w:tcPr>
              <w:p w14:paraId="0EB95BA3" w14:textId="77777777" w:rsidR="00397C11" w:rsidRPr="009C3BAF" w:rsidRDefault="00397C11" w:rsidP="00167155">
                <w:pPr>
                  <w:spacing w:before="80" w:after="80"/>
                  <w:jc w:val="left"/>
                  <w:rPr>
                    <w:sz w:val="18"/>
                    <w:szCs w:val="18"/>
                  </w:rPr>
                </w:pPr>
                <w:r w:rsidRPr="009C3BAF">
                  <w:rPr>
                    <w:sz w:val="18"/>
                    <w:szCs w:val="18"/>
                  </w:rPr>
                  <w:t>Czy i w jaki sposób projekty VI OP POIiŚ wpływają na konkurencyjność zbiorowego transportu miejskiego? Jaki jest podział zadań przewozowych?</w:t>
                </w:r>
              </w:p>
            </w:tc>
            <w:tc>
              <w:tcPr>
                <w:tcW w:w="1250" w:type="pct"/>
              </w:tcPr>
              <w:p w14:paraId="64252BD1" w14:textId="0505267A" w:rsidR="00397C11" w:rsidRPr="009C3BAF" w:rsidRDefault="00167155" w:rsidP="00167155">
                <w:pPr>
                  <w:spacing w:before="80" w:after="80"/>
                  <w:jc w:val="left"/>
                  <w:rPr>
                    <w:sz w:val="18"/>
                    <w:szCs w:val="18"/>
                  </w:rPr>
                </w:pPr>
                <w:r w:rsidRPr="009C3BAF">
                  <w:rPr>
                    <w:sz w:val="18"/>
                    <w:szCs w:val="18"/>
                  </w:rPr>
                  <w:t>Oddziaływanie/wpływ</w:t>
                </w:r>
              </w:p>
            </w:tc>
          </w:tr>
          <w:tr w:rsidR="00391608" w:rsidRPr="00391608" w14:paraId="5189C5A8" w14:textId="77777777" w:rsidTr="00167155">
            <w:trPr>
              <w:cnfStyle w:val="000000100000" w:firstRow="0" w:lastRow="0" w:firstColumn="0" w:lastColumn="0" w:oddVBand="0" w:evenVBand="0" w:oddHBand="1" w:evenHBand="0" w:firstRowFirstColumn="0" w:firstRowLastColumn="0" w:lastRowFirstColumn="0" w:lastRowLastColumn="0"/>
              <w:trHeight w:val="80"/>
            </w:trPr>
            <w:tc>
              <w:tcPr>
                <w:tcW w:w="405" w:type="pct"/>
              </w:tcPr>
              <w:p w14:paraId="502C1D06" w14:textId="77777777" w:rsidR="00397C11" w:rsidRPr="009C3BAF" w:rsidRDefault="00397C11" w:rsidP="00167155">
                <w:pPr>
                  <w:spacing w:before="80" w:after="80"/>
                  <w:jc w:val="left"/>
                  <w:rPr>
                    <w:sz w:val="18"/>
                    <w:szCs w:val="18"/>
                  </w:rPr>
                </w:pPr>
                <w:r w:rsidRPr="009C3BAF">
                  <w:rPr>
                    <w:sz w:val="18"/>
                    <w:szCs w:val="18"/>
                  </w:rPr>
                  <w:lastRenderedPageBreak/>
                  <w:t>17</w:t>
                </w:r>
              </w:p>
            </w:tc>
            <w:tc>
              <w:tcPr>
                <w:tcW w:w="3345" w:type="pct"/>
              </w:tcPr>
              <w:p w14:paraId="47623FA7" w14:textId="2676EC67" w:rsidR="00397C11" w:rsidRPr="009C3BAF" w:rsidRDefault="00397C11" w:rsidP="00167155">
                <w:pPr>
                  <w:spacing w:before="80" w:after="80"/>
                  <w:jc w:val="left"/>
                  <w:rPr>
                    <w:sz w:val="18"/>
                    <w:szCs w:val="18"/>
                  </w:rPr>
                </w:pPr>
                <w:r w:rsidRPr="009C3BAF">
                  <w:rPr>
                    <w:sz w:val="18"/>
                    <w:szCs w:val="18"/>
                  </w:rPr>
                  <w:t>Czy i w jakim stopniu inwestycje z VI OP POIiŚ 2014-2020 wpływają na poprawę dostępności komunikacyjnej wewnątrz miast i mi</w:t>
                </w:r>
                <w:r w:rsidR="00167155" w:rsidRPr="009C3BAF">
                  <w:rPr>
                    <w:sz w:val="18"/>
                    <w:szCs w:val="18"/>
                  </w:rPr>
                  <w:t>ę</w:t>
                </w:r>
                <w:r w:rsidRPr="009C3BAF">
                  <w:rPr>
                    <w:sz w:val="18"/>
                    <w:szCs w:val="18"/>
                  </w:rPr>
                  <w:t>dzy miastami a ich obszarami funkcjonalnymi?</w:t>
                </w:r>
              </w:p>
            </w:tc>
            <w:tc>
              <w:tcPr>
                <w:tcW w:w="1250" w:type="pct"/>
              </w:tcPr>
              <w:p w14:paraId="2D41DE78" w14:textId="21DBFDF1" w:rsidR="00397C11" w:rsidRPr="009C3BAF" w:rsidRDefault="00167155" w:rsidP="00167155">
                <w:pPr>
                  <w:spacing w:before="80" w:after="80"/>
                  <w:jc w:val="left"/>
                  <w:rPr>
                    <w:sz w:val="18"/>
                    <w:szCs w:val="18"/>
                  </w:rPr>
                </w:pPr>
                <w:r w:rsidRPr="009C3BAF">
                  <w:rPr>
                    <w:sz w:val="18"/>
                    <w:szCs w:val="18"/>
                  </w:rPr>
                  <w:t>Oddziaływanie/wpływ</w:t>
                </w:r>
              </w:p>
            </w:tc>
          </w:tr>
        </w:tbl>
        <w:p w14:paraId="2D708F54" w14:textId="77777777" w:rsidR="00397C11" w:rsidRPr="00391608" w:rsidRDefault="00397C11" w:rsidP="00DE4EAE">
          <w:pPr>
            <w:pStyle w:val="rdo"/>
            <w:rPr>
              <w:color w:val="auto"/>
            </w:rPr>
          </w:pPr>
          <w:r w:rsidRPr="00391608">
            <w:rPr>
              <w:color w:val="auto"/>
            </w:rPr>
            <w:t>Źródło: opracowanie własne.</w:t>
          </w:r>
        </w:p>
        <w:p w14:paraId="20AB94AB" w14:textId="3542DD94" w:rsidR="00397C11" w:rsidRPr="00391608" w:rsidRDefault="007C7EE2" w:rsidP="00A81BC0">
          <w:r w:rsidRPr="00391608">
            <w:t xml:space="preserve">Celem badania nie była odpowiedź na powyższe pytania badawcze, a przedstawienie rekomendacji metodycznych do odpowiedzi na pytania w badaniu </w:t>
          </w:r>
          <w:r w:rsidRPr="00307E9E">
            <w:rPr>
              <w:i/>
            </w:rPr>
            <w:t>ex</w:t>
          </w:r>
          <w:r w:rsidR="00760E00">
            <w:rPr>
              <w:i/>
            </w:rPr>
            <w:t xml:space="preserve"> </w:t>
          </w:r>
          <w:r w:rsidRPr="00307E9E">
            <w:rPr>
              <w:i/>
            </w:rPr>
            <w:t>post</w:t>
          </w:r>
          <w:r w:rsidRPr="00391608">
            <w:t xml:space="preserve"> planowanym do realizacji w 2023 r. Rekomendacje opisano w rozdziale </w:t>
          </w:r>
          <w:r w:rsidRPr="00391608">
            <w:fldChar w:fldCharType="begin"/>
          </w:r>
          <w:r w:rsidRPr="00391608">
            <w:instrText xml:space="preserve"> REF _Ref24032079 \n \h </w:instrText>
          </w:r>
          <w:r w:rsidRPr="00391608">
            <w:fldChar w:fldCharType="separate"/>
          </w:r>
          <w:r w:rsidR="00C93FD7">
            <w:t>4.6</w:t>
          </w:r>
          <w:r w:rsidRPr="00391608">
            <w:fldChar w:fldCharType="end"/>
          </w:r>
          <w:r w:rsidRPr="00391608">
            <w:t>.</w:t>
          </w:r>
        </w:p>
        <w:p w14:paraId="05BB5CC0" w14:textId="3C04B954" w:rsidR="00C44352" w:rsidRPr="00A81BC0" w:rsidRDefault="00C93FD7" w:rsidP="00A81BC0"/>
      </w:sdtContent>
    </w:sdt>
    <w:p w14:paraId="6E21D49B" w14:textId="783ED9D7" w:rsidR="00F06D0A" w:rsidRPr="00391608" w:rsidRDefault="007E4250" w:rsidP="009707CB">
      <w:pPr>
        <w:pStyle w:val="Nagwek1"/>
      </w:pPr>
      <w:bookmarkStart w:id="16" w:name="_Toc27125321"/>
      <w:r w:rsidRPr="00391608">
        <w:lastRenderedPageBreak/>
        <w:t>M</w:t>
      </w:r>
      <w:r w:rsidR="002C75A3" w:rsidRPr="00391608">
        <w:t>e</w:t>
      </w:r>
      <w:r w:rsidRPr="00391608">
        <w:t xml:space="preserve">todyka </w:t>
      </w:r>
      <w:r w:rsidR="009B7FB9" w:rsidRPr="00391608">
        <w:t>badania</w:t>
      </w:r>
      <w:bookmarkEnd w:id="16"/>
    </w:p>
    <w:p w14:paraId="3F9BE710" w14:textId="7C7BBD67" w:rsidR="00971C92" w:rsidRPr="00391608" w:rsidRDefault="00971C92" w:rsidP="009707CB">
      <w:pPr>
        <w:pStyle w:val="Nagwek2"/>
        <w:rPr>
          <w:color w:val="auto"/>
        </w:rPr>
      </w:pPr>
      <w:bookmarkStart w:id="17" w:name="_Toc529789035"/>
      <w:bookmarkStart w:id="18" w:name="_Toc529789036"/>
      <w:bookmarkStart w:id="19" w:name="_Toc529789037"/>
      <w:bookmarkStart w:id="20" w:name="_Toc529789038"/>
      <w:bookmarkStart w:id="21" w:name="_Toc529789039"/>
      <w:bookmarkStart w:id="22" w:name="_Toc529789040"/>
      <w:bookmarkStart w:id="23" w:name="_Toc529789041"/>
      <w:bookmarkStart w:id="24" w:name="_Toc529789042"/>
      <w:bookmarkStart w:id="25" w:name="_Toc529789043"/>
      <w:bookmarkStart w:id="26" w:name="_Toc529789044"/>
      <w:bookmarkStart w:id="27" w:name="_Toc529789045"/>
      <w:bookmarkStart w:id="28" w:name="_Toc529789046"/>
      <w:bookmarkStart w:id="29" w:name="_Toc529789047"/>
      <w:bookmarkStart w:id="30" w:name="_Toc27125322"/>
      <w:bookmarkEnd w:id="17"/>
      <w:bookmarkEnd w:id="18"/>
      <w:bookmarkEnd w:id="19"/>
      <w:bookmarkEnd w:id="20"/>
      <w:bookmarkEnd w:id="21"/>
      <w:bookmarkEnd w:id="22"/>
      <w:bookmarkEnd w:id="23"/>
      <w:bookmarkEnd w:id="24"/>
      <w:bookmarkEnd w:id="25"/>
      <w:bookmarkEnd w:id="26"/>
      <w:bookmarkEnd w:id="27"/>
      <w:bookmarkEnd w:id="28"/>
      <w:bookmarkEnd w:id="29"/>
      <w:r w:rsidRPr="00391608">
        <w:rPr>
          <w:color w:val="auto"/>
        </w:rPr>
        <w:t xml:space="preserve">Metodyka badania </w:t>
      </w:r>
      <w:r w:rsidR="00BC44DC" w:rsidRPr="00391608">
        <w:rPr>
          <w:color w:val="auto"/>
        </w:rPr>
        <w:t xml:space="preserve">pilotażowego </w:t>
      </w:r>
      <w:r w:rsidRPr="00391608">
        <w:rPr>
          <w:color w:val="auto"/>
        </w:rPr>
        <w:t>z 2018 r.</w:t>
      </w:r>
      <w:bookmarkEnd w:id="30"/>
    </w:p>
    <w:p w14:paraId="5AEAC3FE" w14:textId="6B36D662" w:rsidR="00FF08AB" w:rsidRPr="00391608" w:rsidRDefault="00FF08AB" w:rsidP="00FF08AB">
      <w:r w:rsidRPr="00391608">
        <w:t>Koncepcja badania pilotażowego polegała na realizacji czterech celów badania poprzez ich połączenie w dwa pakiety</w:t>
      </w:r>
      <w:r w:rsidR="007A44E3">
        <w:t xml:space="preserve"> zadań</w:t>
      </w:r>
      <w:r w:rsidRPr="00391608">
        <w:t xml:space="preserve"> – jeden mający na celu udoskonalenie systemu pomiaru wpływu projektów oraz drugi – mający na celu obliczenie wskaźników bazowych</w:t>
      </w:r>
      <w:r w:rsidR="005F6C99">
        <w:t xml:space="preserve"> (por. </w:t>
      </w:r>
      <w:r w:rsidR="005F6C99">
        <w:fldChar w:fldCharType="begin"/>
      </w:r>
      <w:r w:rsidR="005F6C99">
        <w:instrText xml:space="preserve"> REF _Ref531083947 \h </w:instrText>
      </w:r>
      <w:r w:rsidR="005F6C99">
        <w:fldChar w:fldCharType="separate"/>
      </w:r>
      <w:r w:rsidR="00C93FD7" w:rsidRPr="00391608">
        <w:t xml:space="preserve">Tabela </w:t>
      </w:r>
      <w:r w:rsidR="00C93FD7">
        <w:rPr>
          <w:noProof/>
        </w:rPr>
        <w:t>2</w:t>
      </w:r>
      <w:r w:rsidR="005F6C99">
        <w:fldChar w:fldCharType="end"/>
      </w:r>
      <w:r w:rsidR="005F6C99">
        <w:t>)</w:t>
      </w:r>
      <w:r w:rsidRPr="00391608">
        <w:t>.</w:t>
      </w:r>
    </w:p>
    <w:p w14:paraId="6E7F1F7E" w14:textId="48068FDD" w:rsidR="00124944" w:rsidRPr="00391608" w:rsidRDefault="00124944" w:rsidP="00310D6A">
      <w:pPr>
        <w:pStyle w:val="rdo"/>
      </w:pPr>
      <w:bookmarkStart w:id="31" w:name="_Ref531083947"/>
      <w:bookmarkStart w:id="32" w:name="_Toc27125360"/>
      <w:r w:rsidRPr="00391608">
        <w:t xml:space="preserve">Tabela </w:t>
      </w:r>
      <w:r w:rsidRPr="00391608">
        <w:rPr>
          <w:noProof/>
        </w:rPr>
        <w:fldChar w:fldCharType="begin"/>
      </w:r>
      <w:r w:rsidRPr="00391608">
        <w:rPr>
          <w:noProof/>
        </w:rPr>
        <w:instrText xml:space="preserve"> SEQ Tabela \* ARABIC </w:instrText>
      </w:r>
      <w:r w:rsidRPr="00391608">
        <w:rPr>
          <w:noProof/>
        </w:rPr>
        <w:fldChar w:fldCharType="separate"/>
      </w:r>
      <w:r w:rsidR="00C93FD7">
        <w:rPr>
          <w:noProof/>
        </w:rPr>
        <w:t>2</w:t>
      </w:r>
      <w:r w:rsidRPr="00391608">
        <w:rPr>
          <w:noProof/>
        </w:rPr>
        <w:fldChar w:fldCharType="end"/>
      </w:r>
      <w:bookmarkEnd w:id="31"/>
      <w:r w:rsidRPr="00391608">
        <w:t>. Powiązanie pakietów zadań i pojedynczych zadań z celami badania</w:t>
      </w:r>
      <w:bookmarkEnd w:id="32"/>
      <w:r w:rsidRPr="00391608">
        <w:t xml:space="preserve"> </w:t>
      </w:r>
    </w:p>
    <w:tbl>
      <w:tblPr>
        <w:tblStyle w:val="WolanskiCorpTabela"/>
        <w:tblW w:w="5000" w:type="pct"/>
        <w:tblLook w:val="04A0" w:firstRow="1" w:lastRow="0" w:firstColumn="1" w:lastColumn="0" w:noHBand="0" w:noVBand="1"/>
      </w:tblPr>
      <w:tblGrid>
        <w:gridCol w:w="2420"/>
        <w:gridCol w:w="3627"/>
        <w:gridCol w:w="3024"/>
      </w:tblGrid>
      <w:tr w:rsidR="00391608" w:rsidRPr="00391608" w14:paraId="08D39941" w14:textId="77777777" w:rsidTr="00402A6C">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334" w:type="pct"/>
          </w:tcPr>
          <w:p w14:paraId="1DE81159" w14:textId="77777777" w:rsidR="00124944" w:rsidRPr="00310D6A" w:rsidRDefault="00124944" w:rsidP="00402A6C">
            <w:pPr>
              <w:rPr>
                <w:sz w:val="18"/>
                <w:szCs w:val="18"/>
              </w:rPr>
            </w:pPr>
            <w:r w:rsidRPr="00310D6A">
              <w:rPr>
                <w:sz w:val="18"/>
                <w:szCs w:val="18"/>
              </w:rPr>
              <w:t>Pakiet zadań</w:t>
            </w:r>
          </w:p>
        </w:tc>
        <w:tc>
          <w:tcPr>
            <w:tcW w:w="1999" w:type="pct"/>
          </w:tcPr>
          <w:p w14:paraId="6AEE3E73" w14:textId="77777777" w:rsidR="00124944" w:rsidRPr="00310D6A" w:rsidRDefault="00124944" w:rsidP="00402A6C">
            <w:pPr>
              <w:cnfStyle w:val="100000000000" w:firstRow="1" w:lastRow="0" w:firstColumn="0" w:lastColumn="0" w:oddVBand="0" w:evenVBand="0" w:oddHBand="0" w:evenHBand="0" w:firstRowFirstColumn="0" w:firstRowLastColumn="0" w:lastRowFirstColumn="0" w:lastRowLastColumn="0"/>
              <w:rPr>
                <w:sz w:val="18"/>
                <w:szCs w:val="18"/>
              </w:rPr>
            </w:pPr>
            <w:r w:rsidRPr="00310D6A">
              <w:rPr>
                <w:sz w:val="18"/>
                <w:szCs w:val="18"/>
              </w:rPr>
              <w:t>Cele</w:t>
            </w:r>
          </w:p>
        </w:tc>
        <w:tc>
          <w:tcPr>
            <w:tcW w:w="1667" w:type="pct"/>
          </w:tcPr>
          <w:p w14:paraId="50DEA7AE" w14:textId="77777777" w:rsidR="00124944" w:rsidRPr="00310D6A" w:rsidRDefault="00124944" w:rsidP="00402A6C">
            <w:pPr>
              <w:jc w:val="left"/>
              <w:cnfStyle w:val="100000000000" w:firstRow="1" w:lastRow="0" w:firstColumn="0" w:lastColumn="0" w:oddVBand="0" w:evenVBand="0" w:oddHBand="0" w:evenHBand="0" w:firstRowFirstColumn="0" w:firstRowLastColumn="0" w:lastRowFirstColumn="0" w:lastRowLastColumn="0"/>
              <w:rPr>
                <w:sz w:val="18"/>
                <w:szCs w:val="18"/>
              </w:rPr>
            </w:pPr>
            <w:r w:rsidRPr="00310D6A">
              <w:rPr>
                <w:sz w:val="18"/>
                <w:szCs w:val="18"/>
              </w:rPr>
              <w:t>Zadania</w:t>
            </w:r>
          </w:p>
        </w:tc>
      </w:tr>
      <w:tr w:rsidR="00391608" w:rsidRPr="00391608" w14:paraId="287FDA0D" w14:textId="77777777" w:rsidTr="00402A6C">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334" w:type="pct"/>
            <w:vAlign w:val="top"/>
          </w:tcPr>
          <w:p w14:paraId="38AAFA53" w14:textId="77777777" w:rsidR="00124944" w:rsidRPr="00310D6A" w:rsidRDefault="00124944" w:rsidP="00402A6C">
            <w:pPr>
              <w:jc w:val="left"/>
              <w:rPr>
                <w:sz w:val="18"/>
                <w:szCs w:val="18"/>
              </w:rPr>
            </w:pPr>
            <w:r w:rsidRPr="00310D6A">
              <w:rPr>
                <w:sz w:val="18"/>
                <w:szCs w:val="18"/>
              </w:rPr>
              <w:t>Pakiet 1.</w:t>
            </w:r>
          </w:p>
          <w:p w14:paraId="12522656" w14:textId="77777777" w:rsidR="00124944" w:rsidRPr="00310D6A" w:rsidRDefault="00124944" w:rsidP="00402A6C">
            <w:pPr>
              <w:jc w:val="left"/>
              <w:rPr>
                <w:sz w:val="18"/>
                <w:szCs w:val="18"/>
              </w:rPr>
            </w:pPr>
            <w:r w:rsidRPr="00310D6A">
              <w:rPr>
                <w:sz w:val="18"/>
                <w:szCs w:val="18"/>
              </w:rPr>
              <w:t>Udoskonalenie systemu pomiaru wpływu projektów VI OP</w:t>
            </w:r>
          </w:p>
        </w:tc>
        <w:tc>
          <w:tcPr>
            <w:tcW w:w="1999" w:type="pct"/>
            <w:vAlign w:val="top"/>
          </w:tcPr>
          <w:p w14:paraId="74955F18" w14:textId="77777777" w:rsidR="00124944" w:rsidRPr="00310D6A" w:rsidRDefault="00124944" w:rsidP="001B2A4E">
            <w:pPr>
              <w:pStyle w:val="Bezodstpw"/>
              <w:numPr>
                <w:ilvl w:val="0"/>
                <w:numId w:val="18"/>
              </w:numPr>
              <w:tabs>
                <w:tab w:val="clear" w:pos="284"/>
                <w:tab w:val="left" w:pos="325"/>
              </w:tabs>
              <w:ind w:left="325" w:hanging="325"/>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Weryfikacja przyjętych przez Zamawiającego założeń i proponowanych narzędzi badawczych i wskazanie ich mocnych i słabych stron.</w:t>
            </w:r>
          </w:p>
          <w:p w14:paraId="216E2238" w14:textId="77777777" w:rsidR="00124944" w:rsidRPr="00310D6A" w:rsidRDefault="00124944" w:rsidP="001B2A4E">
            <w:pPr>
              <w:pStyle w:val="Bezodstpw"/>
              <w:numPr>
                <w:ilvl w:val="0"/>
                <w:numId w:val="18"/>
              </w:numPr>
              <w:tabs>
                <w:tab w:val="clear" w:pos="284"/>
                <w:tab w:val="left" w:pos="325"/>
              </w:tabs>
              <w:ind w:left="325" w:hanging="325"/>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Sprawdzenie, czy przyjęty kierunek (metody i narzędzia badawcze) pozwoli zbadać wpływ projektów zrealizowanych w ramach VI OP.</w:t>
            </w:r>
          </w:p>
          <w:p w14:paraId="1923739F" w14:textId="77777777" w:rsidR="00124944" w:rsidRPr="00310D6A" w:rsidRDefault="00124944" w:rsidP="001B2A4E">
            <w:pPr>
              <w:pStyle w:val="Bezodstpw"/>
              <w:numPr>
                <w:ilvl w:val="0"/>
                <w:numId w:val="18"/>
              </w:numPr>
              <w:tabs>
                <w:tab w:val="clear" w:pos="284"/>
                <w:tab w:val="left" w:pos="325"/>
              </w:tabs>
              <w:ind w:left="325" w:hanging="325"/>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Wskazanie możliwych alternatyw.</w:t>
            </w:r>
          </w:p>
        </w:tc>
        <w:tc>
          <w:tcPr>
            <w:tcW w:w="1667" w:type="pct"/>
            <w:vAlign w:val="top"/>
          </w:tcPr>
          <w:p w14:paraId="001753DC"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Szczegółowy przegląd literatury.</w:t>
            </w:r>
          </w:p>
          <w:p w14:paraId="19F8E223"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Odtworzenie logiki interwencji.</w:t>
            </w:r>
          </w:p>
          <w:p w14:paraId="7C080991"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Określenie pełnej, wstępne listy wskaźników.</w:t>
            </w:r>
          </w:p>
          <w:p w14:paraId="5B63F7A7"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Uzgodnienie struktury baz wskaźników z Zamawiającym.</w:t>
            </w:r>
          </w:p>
          <w:p w14:paraId="2520B2BD"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Wykonanie bazy danych wskaźników dla perspektywy 2007-2013.</w:t>
            </w:r>
          </w:p>
          <w:p w14:paraId="7275B3CE" w14:textId="77777777" w:rsidR="00124944" w:rsidRPr="00310D6A" w:rsidRDefault="00124944" w:rsidP="001B2A4E">
            <w:pPr>
              <w:pStyle w:val="Bezodstpw"/>
              <w:numPr>
                <w:ilvl w:val="0"/>
                <w:numId w:val="16"/>
              </w:numPr>
              <w:tabs>
                <w:tab w:val="clear" w:pos="284"/>
                <w:tab w:val="left" w:pos="322"/>
              </w:tabs>
              <w:ind w:left="322" w:hanging="322"/>
              <w:cnfStyle w:val="000000100000" w:firstRow="0" w:lastRow="0" w:firstColumn="0" w:lastColumn="0" w:oddVBand="0" w:evenVBand="0" w:oddHBand="1" w:evenHBand="0" w:firstRowFirstColumn="0" w:firstRowLastColumn="0" w:lastRowFirstColumn="0" w:lastRowLastColumn="0"/>
              <w:rPr>
                <w:sz w:val="18"/>
                <w:szCs w:val="18"/>
              </w:rPr>
            </w:pPr>
            <w:r w:rsidRPr="00310D6A">
              <w:rPr>
                <w:sz w:val="18"/>
                <w:szCs w:val="18"/>
              </w:rPr>
              <w:t>Analiza efektu netto.</w:t>
            </w:r>
          </w:p>
        </w:tc>
      </w:tr>
      <w:tr w:rsidR="00391608" w:rsidRPr="00391608" w14:paraId="1AFA158F" w14:textId="77777777" w:rsidTr="00402A6C">
        <w:tc>
          <w:tcPr>
            <w:cnfStyle w:val="001000000000" w:firstRow="0" w:lastRow="0" w:firstColumn="1" w:lastColumn="0" w:oddVBand="0" w:evenVBand="0" w:oddHBand="0" w:evenHBand="0" w:firstRowFirstColumn="0" w:firstRowLastColumn="0" w:lastRowFirstColumn="0" w:lastRowLastColumn="0"/>
            <w:tcW w:w="1334" w:type="pct"/>
            <w:vAlign w:val="top"/>
          </w:tcPr>
          <w:p w14:paraId="4BDCF412" w14:textId="77777777" w:rsidR="00124944" w:rsidRPr="00310D6A" w:rsidRDefault="00124944" w:rsidP="00402A6C">
            <w:pPr>
              <w:jc w:val="left"/>
              <w:rPr>
                <w:sz w:val="18"/>
                <w:szCs w:val="18"/>
              </w:rPr>
            </w:pPr>
            <w:r w:rsidRPr="00310D6A">
              <w:rPr>
                <w:sz w:val="18"/>
                <w:szCs w:val="18"/>
              </w:rPr>
              <w:t>Pakiet 2.</w:t>
            </w:r>
          </w:p>
          <w:p w14:paraId="768C3E16" w14:textId="77777777" w:rsidR="00124944" w:rsidRPr="00310D6A" w:rsidRDefault="00124944" w:rsidP="00402A6C">
            <w:pPr>
              <w:jc w:val="left"/>
              <w:rPr>
                <w:sz w:val="18"/>
                <w:szCs w:val="18"/>
              </w:rPr>
            </w:pPr>
            <w:r w:rsidRPr="00310D6A">
              <w:rPr>
                <w:sz w:val="18"/>
                <w:szCs w:val="18"/>
              </w:rPr>
              <w:t>Obliczenie wartości wskaźników bazowych</w:t>
            </w:r>
          </w:p>
        </w:tc>
        <w:tc>
          <w:tcPr>
            <w:tcW w:w="1999" w:type="pct"/>
            <w:vAlign w:val="top"/>
          </w:tcPr>
          <w:p w14:paraId="7D36D33D" w14:textId="77777777" w:rsidR="00124944" w:rsidRPr="00310D6A" w:rsidRDefault="00124944" w:rsidP="001B2A4E">
            <w:pPr>
              <w:pStyle w:val="Bezodstpw"/>
              <w:numPr>
                <w:ilvl w:val="0"/>
                <w:numId w:val="18"/>
              </w:numPr>
              <w:tabs>
                <w:tab w:val="clear" w:pos="284"/>
                <w:tab w:val="left" w:pos="325"/>
              </w:tabs>
              <w:ind w:left="325" w:hanging="325"/>
              <w:cnfStyle w:val="000000000000" w:firstRow="0" w:lastRow="0" w:firstColumn="0" w:lastColumn="0" w:oddVBand="0" w:evenVBand="0" w:oddHBand="0" w:evenHBand="0" w:firstRowFirstColumn="0" w:firstRowLastColumn="0" w:lastRowFirstColumn="0" w:lastRowLastColumn="0"/>
              <w:rPr>
                <w:sz w:val="18"/>
                <w:szCs w:val="18"/>
              </w:rPr>
            </w:pPr>
            <w:r w:rsidRPr="00310D6A">
              <w:rPr>
                <w:sz w:val="18"/>
                <w:szCs w:val="18"/>
              </w:rPr>
              <w:t>Obliczenie wartości wskaźników bazowych (stanu przed realizacją projektów.</w:t>
            </w:r>
          </w:p>
        </w:tc>
        <w:tc>
          <w:tcPr>
            <w:tcW w:w="1667" w:type="pct"/>
            <w:vAlign w:val="top"/>
          </w:tcPr>
          <w:p w14:paraId="3B52D81A" w14:textId="77777777" w:rsidR="00124944" w:rsidRPr="00310D6A" w:rsidRDefault="00124944" w:rsidP="001B2A4E">
            <w:pPr>
              <w:pStyle w:val="Bezodstpw"/>
              <w:numPr>
                <w:ilvl w:val="0"/>
                <w:numId w:val="17"/>
              </w:numPr>
              <w:tabs>
                <w:tab w:val="clear" w:pos="284"/>
                <w:tab w:val="left" w:pos="322"/>
              </w:tabs>
              <w:ind w:left="322" w:hanging="322"/>
              <w:cnfStyle w:val="000000000000" w:firstRow="0" w:lastRow="0" w:firstColumn="0" w:lastColumn="0" w:oddVBand="0" w:evenVBand="0" w:oddHBand="0" w:evenHBand="0" w:firstRowFirstColumn="0" w:firstRowLastColumn="0" w:lastRowFirstColumn="0" w:lastRowLastColumn="0"/>
              <w:rPr>
                <w:sz w:val="18"/>
                <w:szCs w:val="18"/>
              </w:rPr>
            </w:pPr>
            <w:r w:rsidRPr="00310D6A">
              <w:rPr>
                <w:sz w:val="18"/>
                <w:szCs w:val="18"/>
              </w:rPr>
              <w:t>Określenie narzędzi i metodyki badania.</w:t>
            </w:r>
          </w:p>
          <w:p w14:paraId="74392A8B" w14:textId="77777777" w:rsidR="00124944" w:rsidRPr="00310D6A" w:rsidRDefault="00124944" w:rsidP="001B2A4E">
            <w:pPr>
              <w:pStyle w:val="Bezodstpw"/>
              <w:numPr>
                <w:ilvl w:val="0"/>
                <w:numId w:val="17"/>
              </w:numPr>
              <w:tabs>
                <w:tab w:val="clear" w:pos="284"/>
                <w:tab w:val="left" w:pos="322"/>
              </w:tabs>
              <w:ind w:left="322" w:hanging="322"/>
              <w:cnfStyle w:val="000000000000" w:firstRow="0" w:lastRow="0" w:firstColumn="0" w:lastColumn="0" w:oddVBand="0" w:evenVBand="0" w:oddHBand="0" w:evenHBand="0" w:firstRowFirstColumn="0" w:firstRowLastColumn="0" w:lastRowFirstColumn="0" w:lastRowLastColumn="0"/>
              <w:rPr>
                <w:sz w:val="18"/>
                <w:szCs w:val="18"/>
              </w:rPr>
            </w:pPr>
            <w:r w:rsidRPr="00310D6A">
              <w:rPr>
                <w:sz w:val="18"/>
                <w:szCs w:val="18"/>
              </w:rPr>
              <w:t xml:space="preserve">Badanie gospodarstw domowych – </w:t>
            </w:r>
            <w:proofErr w:type="spellStart"/>
            <w:r w:rsidRPr="00310D6A">
              <w:rPr>
                <w:i/>
                <w:sz w:val="18"/>
                <w:szCs w:val="18"/>
              </w:rPr>
              <w:t>modal</w:t>
            </w:r>
            <w:proofErr w:type="spellEnd"/>
            <w:r w:rsidRPr="00310D6A">
              <w:rPr>
                <w:i/>
                <w:sz w:val="18"/>
                <w:szCs w:val="18"/>
              </w:rPr>
              <w:t xml:space="preserve"> </w:t>
            </w:r>
            <w:proofErr w:type="spellStart"/>
            <w:r w:rsidRPr="00310D6A">
              <w:rPr>
                <w:i/>
                <w:sz w:val="18"/>
                <w:szCs w:val="18"/>
              </w:rPr>
              <w:t>split</w:t>
            </w:r>
            <w:proofErr w:type="spellEnd"/>
            <w:r w:rsidRPr="00310D6A">
              <w:rPr>
                <w:sz w:val="18"/>
                <w:szCs w:val="18"/>
              </w:rPr>
              <w:t>, poziom satysfakcji, zachowania komunikacyjne.</w:t>
            </w:r>
          </w:p>
          <w:p w14:paraId="5022132D" w14:textId="77777777" w:rsidR="00124944" w:rsidRPr="00310D6A" w:rsidRDefault="00124944" w:rsidP="001B2A4E">
            <w:pPr>
              <w:pStyle w:val="Bezodstpw"/>
              <w:numPr>
                <w:ilvl w:val="0"/>
                <w:numId w:val="17"/>
              </w:numPr>
              <w:tabs>
                <w:tab w:val="clear" w:pos="284"/>
                <w:tab w:val="left" w:pos="322"/>
              </w:tabs>
              <w:cnfStyle w:val="000000000000" w:firstRow="0" w:lastRow="0" w:firstColumn="0" w:lastColumn="0" w:oddVBand="0" w:evenVBand="0" w:oddHBand="0" w:evenHBand="0" w:firstRowFirstColumn="0" w:firstRowLastColumn="0" w:lastRowFirstColumn="0" w:lastRowLastColumn="0"/>
              <w:rPr>
                <w:sz w:val="18"/>
                <w:szCs w:val="18"/>
              </w:rPr>
            </w:pPr>
            <w:r w:rsidRPr="00310D6A">
              <w:rPr>
                <w:sz w:val="18"/>
                <w:szCs w:val="18"/>
              </w:rPr>
              <w:t>Interpretacja wyników badań gospodarstw domowych metodą uporządkowanej regresji logistycznej</w:t>
            </w:r>
          </w:p>
          <w:p w14:paraId="464688C7" w14:textId="77777777" w:rsidR="00124944" w:rsidRPr="00310D6A" w:rsidRDefault="00124944" w:rsidP="001B2A4E">
            <w:pPr>
              <w:pStyle w:val="Bezodstpw"/>
              <w:numPr>
                <w:ilvl w:val="0"/>
                <w:numId w:val="17"/>
              </w:numPr>
              <w:tabs>
                <w:tab w:val="clear" w:pos="284"/>
                <w:tab w:val="left" w:pos="322"/>
              </w:tabs>
              <w:ind w:left="322" w:hanging="322"/>
              <w:cnfStyle w:val="000000000000" w:firstRow="0" w:lastRow="0" w:firstColumn="0" w:lastColumn="0" w:oddVBand="0" w:evenVBand="0" w:oddHBand="0" w:evenHBand="0" w:firstRowFirstColumn="0" w:firstRowLastColumn="0" w:lastRowFirstColumn="0" w:lastRowLastColumn="0"/>
              <w:rPr>
                <w:sz w:val="18"/>
                <w:szCs w:val="18"/>
              </w:rPr>
            </w:pPr>
            <w:r w:rsidRPr="00310D6A">
              <w:rPr>
                <w:sz w:val="18"/>
                <w:szCs w:val="18"/>
              </w:rPr>
              <w:t>Stworzenie bazy danych o transporcie (czasy przejazdu, koszty itp.) w roku 2018.</w:t>
            </w:r>
          </w:p>
        </w:tc>
      </w:tr>
    </w:tbl>
    <w:p w14:paraId="4747714D" w14:textId="77777777" w:rsidR="00BC736D" w:rsidRPr="00391608" w:rsidRDefault="00BC736D" w:rsidP="00310D6A">
      <w:pPr>
        <w:pStyle w:val="rdo"/>
      </w:pPr>
      <w:r w:rsidRPr="00391608">
        <w:t>Źródło: opracowanie własne.</w:t>
      </w:r>
    </w:p>
    <w:p w14:paraId="415CBCB6" w14:textId="544C7348" w:rsidR="00FF08AB" w:rsidRPr="00391608" w:rsidRDefault="00FF08AB" w:rsidP="00FF08AB">
      <w:r w:rsidRPr="00391608">
        <w:t>Ważnym elementem pakietu 1 było odtworzenie logiki interwencji</w:t>
      </w:r>
      <w:r w:rsidR="00BC736D" w:rsidRPr="00391608">
        <w:t>,</w:t>
      </w:r>
      <w:r w:rsidRPr="00391608">
        <w:t xml:space="preserve"> na bazie której stworzono listę czynników potencjalnie oddziałujących na wskaźniki. Zgodnie z metodyką TBIE (</w:t>
      </w:r>
      <w:proofErr w:type="spellStart"/>
      <w:r w:rsidRPr="00391608">
        <w:rPr>
          <w:i/>
        </w:rPr>
        <w:t>Theory-Based</w:t>
      </w:r>
      <w:proofErr w:type="spellEnd"/>
      <w:r w:rsidRPr="00391608">
        <w:rPr>
          <w:i/>
        </w:rPr>
        <w:t xml:space="preserve"> </w:t>
      </w:r>
      <w:proofErr w:type="spellStart"/>
      <w:r w:rsidRPr="00391608">
        <w:rPr>
          <w:i/>
        </w:rPr>
        <w:t>Impact</w:t>
      </w:r>
      <w:proofErr w:type="spellEnd"/>
      <w:r w:rsidRPr="00391608">
        <w:rPr>
          <w:i/>
        </w:rPr>
        <w:t xml:space="preserve"> Evaluation)</w:t>
      </w:r>
      <w:r w:rsidRPr="00391608">
        <w:t xml:space="preserve"> stworzyło to teorię interwencji, która była następnie weryfikowana przy użyciu narzędzi badawczych. Pilotażowa weryfikacja nastąpiła dla perspektywy 2007-2013, w celu sprawdzenia skuteczności modelowania, jednakże właściwa weryfikacja nastąpi dopiero po zakończeniu perspektywy 2014-2020. </w:t>
      </w:r>
      <w:r w:rsidR="00BC736D" w:rsidRPr="00391608">
        <w:t xml:space="preserve">Metodykę badania pilotażowego przedstawia </w:t>
      </w:r>
      <w:r w:rsidR="00BC736D" w:rsidRPr="00391608">
        <w:fldChar w:fldCharType="begin"/>
      </w:r>
      <w:r w:rsidR="00BC736D" w:rsidRPr="00391608">
        <w:instrText xml:space="preserve"> REF _Ref23954051 \h </w:instrText>
      </w:r>
      <w:r w:rsidR="00BC736D" w:rsidRPr="00391608">
        <w:fldChar w:fldCharType="separate"/>
      </w:r>
      <w:r w:rsidR="00C93FD7" w:rsidRPr="00391608">
        <w:t xml:space="preserve">Tabela </w:t>
      </w:r>
      <w:r w:rsidR="00C93FD7">
        <w:rPr>
          <w:noProof/>
        </w:rPr>
        <w:t>3</w:t>
      </w:r>
      <w:r w:rsidR="00BC736D" w:rsidRPr="00391608">
        <w:fldChar w:fldCharType="end"/>
      </w:r>
      <w:r w:rsidR="00BC736D" w:rsidRPr="00391608">
        <w:t>.</w:t>
      </w:r>
    </w:p>
    <w:p w14:paraId="33F9E24F" w14:textId="4C2B1503" w:rsidR="00FF08AB" w:rsidRPr="00391608" w:rsidRDefault="00FF08AB" w:rsidP="00310D6A">
      <w:pPr>
        <w:pStyle w:val="rdo"/>
      </w:pPr>
      <w:bookmarkStart w:id="33" w:name="_Ref484531790"/>
      <w:bookmarkStart w:id="34" w:name="_Ref23954051"/>
      <w:bookmarkStart w:id="35" w:name="_Toc27125361"/>
      <w:r w:rsidRPr="00391608">
        <w:t xml:space="preserve">Tabela </w:t>
      </w:r>
      <w:r w:rsidRPr="00391608">
        <w:rPr>
          <w:noProof/>
        </w:rPr>
        <w:fldChar w:fldCharType="begin"/>
      </w:r>
      <w:r w:rsidRPr="00391608">
        <w:rPr>
          <w:noProof/>
        </w:rPr>
        <w:instrText xml:space="preserve"> SEQ Tabela \* ARABIC </w:instrText>
      </w:r>
      <w:r w:rsidRPr="00391608">
        <w:rPr>
          <w:noProof/>
        </w:rPr>
        <w:fldChar w:fldCharType="separate"/>
      </w:r>
      <w:r w:rsidR="00C93FD7">
        <w:rPr>
          <w:noProof/>
        </w:rPr>
        <w:t>3</w:t>
      </w:r>
      <w:r w:rsidRPr="00391608">
        <w:rPr>
          <w:noProof/>
        </w:rPr>
        <w:fldChar w:fldCharType="end"/>
      </w:r>
      <w:bookmarkEnd w:id="33"/>
      <w:bookmarkEnd w:id="34"/>
      <w:r w:rsidRPr="00391608">
        <w:t>. Metodyka badania</w:t>
      </w:r>
      <w:bookmarkEnd w:id="35"/>
    </w:p>
    <w:tbl>
      <w:tblPr>
        <w:tblStyle w:val="WolanskiCorpTabela4"/>
        <w:tblW w:w="5000" w:type="pct"/>
        <w:tblLook w:val="0420" w:firstRow="1" w:lastRow="0" w:firstColumn="0" w:lastColumn="0" w:noHBand="0" w:noVBand="1"/>
      </w:tblPr>
      <w:tblGrid>
        <w:gridCol w:w="504"/>
        <w:gridCol w:w="2957"/>
        <w:gridCol w:w="5610"/>
      </w:tblGrid>
      <w:tr w:rsidR="00391608" w:rsidRPr="00391608" w14:paraId="0C8623E9" w14:textId="77777777" w:rsidTr="001F3093">
        <w:trPr>
          <w:cnfStyle w:val="100000000000" w:firstRow="1" w:lastRow="0" w:firstColumn="0" w:lastColumn="0" w:oddVBand="0" w:evenVBand="0" w:oddHBand="0" w:evenHBand="0" w:firstRowFirstColumn="0" w:firstRowLastColumn="0" w:lastRowFirstColumn="0" w:lastRowLastColumn="0"/>
          <w:cantSplit w:val="0"/>
        </w:trPr>
        <w:tc>
          <w:tcPr>
            <w:tcW w:w="278" w:type="pct"/>
          </w:tcPr>
          <w:p w14:paraId="146BC00D" w14:textId="77777777" w:rsidR="00FF08AB" w:rsidRPr="00391608" w:rsidRDefault="00FF08AB" w:rsidP="00FF08AB">
            <w:pPr>
              <w:jc w:val="left"/>
              <w:rPr>
                <w:sz w:val="18"/>
              </w:rPr>
            </w:pPr>
            <w:r w:rsidRPr="00391608">
              <w:rPr>
                <w:sz w:val="18"/>
              </w:rPr>
              <w:t>LP.</w:t>
            </w:r>
          </w:p>
        </w:tc>
        <w:tc>
          <w:tcPr>
            <w:tcW w:w="1630" w:type="pct"/>
          </w:tcPr>
          <w:p w14:paraId="04B373EA" w14:textId="77777777" w:rsidR="00FF08AB" w:rsidRPr="00391608" w:rsidRDefault="00FF08AB" w:rsidP="00FF08AB">
            <w:pPr>
              <w:jc w:val="left"/>
              <w:rPr>
                <w:sz w:val="18"/>
              </w:rPr>
            </w:pPr>
            <w:bookmarkStart w:id="36" w:name="_Hlk508008634"/>
            <w:r w:rsidRPr="00391608">
              <w:rPr>
                <w:sz w:val="18"/>
              </w:rPr>
              <w:t>Metoda badawcza</w:t>
            </w:r>
          </w:p>
        </w:tc>
        <w:tc>
          <w:tcPr>
            <w:tcW w:w="3092" w:type="pct"/>
          </w:tcPr>
          <w:p w14:paraId="73728C88" w14:textId="77777777" w:rsidR="00FF08AB" w:rsidRPr="00391608" w:rsidRDefault="00FF08AB" w:rsidP="00FF08AB">
            <w:pPr>
              <w:rPr>
                <w:sz w:val="18"/>
              </w:rPr>
            </w:pPr>
            <w:r w:rsidRPr="00391608">
              <w:rPr>
                <w:sz w:val="18"/>
              </w:rPr>
              <w:t>Specyfikacja metody</w:t>
            </w:r>
          </w:p>
        </w:tc>
      </w:tr>
      <w:tr w:rsidR="00391608" w:rsidRPr="00391608" w14:paraId="603C5780" w14:textId="77777777" w:rsidTr="001F3093">
        <w:trPr>
          <w:cnfStyle w:val="000000100000" w:firstRow="0" w:lastRow="0" w:firstColumn="0" w:lastColumn="0" w:oddVBand="0" w:evenVBand="0" w:oddHBand="1" w:evenHBand="0" w:firstRowFirstColumn="0" w:firstRowLastColumn="0" w:lastRowFirstColumn="0" w:lastRowLastColumn="0"/>
          <w:cantSplit w:val="0"/>
        </w:trPr>
        <w:tc>
          <w:tcPr>
            <w:tcW w:w="278" w:type="pct"/>
            <w:vAlign w:val="top"/>
          </w:tcPr>
          <w:p w14:paraId="111C67B5" w14:textId="77777777" w:rsidR="00FF08AB" w:rsidRPr="00391608" w:rsidRDefault="00FF08AB" w:rsidP="00FF08AB">
            <w:pPr>
              <w:jc w:val="left"/>
              <w:rPr>
                <w:sz w:val="18"/>
              </w:rPr>
            </w:pPr>
            <w:bookmarkStart w:id="37" w:name="_Hlk517508319"/>
            <w:r w:rsidRPr="00391608">
              <w:rPr>
                <w:sz w:val="18"/>
              </w:rPr>
              <w:t>1.</w:t>
            </w:r>
          </w:p>
        </w:tc>
        <w:tc>
          <w:tcPr>
            <w:tcW w:w="1630" w:type="pct"/>
            <w:vAlign w:val="top"/>
          </w:tcPr>
          <w:p w14:paraId="09C337DD" w14:textId="75C5B9D7" w:rsidR="00FF08AB" w:rsidRPr="00391608" w:rsidRDefault="00FF08AB" w:rsidP="00CC650F">
            <w:pPr>
              <w:jc w:val="left"/>
              <w:rPr>
                <w:sz w:val="18"/>
              </w:rPr>
            </w:pPr>
            <w:r w:rsidRPr="00391608">
              <w:rPr>
                <w:sz w:val="18"/>
              </w:rPr>
              <w:t>Analiza danych zastanych w</w:t>
            </w:r>
            <w:r w:rsidR="00CC650F">
              <w:rPr>
                <w:sz w:val="18"/>
              </w:rPr>
              <w:t> </w:t>
            </w:r>
            <w:r w:rsidRPr="00391608">
              <w:rPr>
                <w:sz w:val="18"/>
              </w:rPr>
              <w:t>zakresie dokumentów źródłowych.</w:t>
            </w:r>
          </w:p>
        </w:tc>
        <w:tc>
          <w:tcPr>
            <w:tcW w:w="3092" w:type="pct"/>
            <w:vAlign w:val="top"/>
          </w:tcPr>
          <w:p w14:paraId="2142DA1A" w14:textId="77777777" w:rsidR="00FF08AB" w:rsidRPr="00391608" w:rsidRDefault="00FF08AB" w:rsidP="00FF08AB">
            <w:pPr>
              <w:jc w:val="left"/>
              <w:rPr>
                <w:sz w:val="18"/>
              </w:rPr>
            </w:pPr>
            <w:r w:rsidRPr="00391608">
              <w:rPr>
                <w:sz w:val="18"/>
              </w:rPr>
              <w:t>Analiza dokumentów programowych.</w:t>
            </w:r>
          </w:p>
          <w:p w14:paraId="1CB5CF7F" w14:textId="0BAE5244" w:rsidR="00FF08AB" w:rsidRPr="00391608" w:rsidRDefault="00FF08AB" w:rsidP="00CC650F">
            <w:pPr>
              <w:rPr>
                <w:sz w:val="18"/>
              </w:rPr>
            </w:pPr>
            <w:r w:rsidRPr="00391608">
              <w:rPr>
                <w:sz w:val="18"/>
              </w:rPr>
              <w:lastRenderedPageBreak/>
              <w:t>Analiza raportów z badań – w tym kwestii metodycznych i</w:t>
            </w:r>
            <w:r w:rsidR="003865EA">
              <w:rPr>
                <w:sz w:val="18"/>
              </w:rPr>
              <w:t> </w:t>
            </w:r>
            <w:r w:rsidRPr="00391608">
              <w:rPr>
                <w:sz w:val="18"/>
              </w:rPr>
              <w:t>wnioskowych.</w:t>
            </w:r>
          </w:p>
          <w:p w14:paraId="05E5E985" w14:textId="77777777" w:rsidR="00FF08AB" w:rsidRPr="00391608" w:rsidRDefault="00FF08AB" w:rsidP="00FF08AB">
            <w:pPr>
              <w:jc w:val="left"/>
              <w:rPr>
                <w:sz w:val="18"/>
              </w:rPr>
            </w:pPr>
            <w:r w:rsidRPr="00391608">
              <w:rPr>
                <w:sz w:val="18"/>
              </w:rPr>
              <w:t>Analiza źródeł statystycznych.</w:t>
            </w:r>
          </w:p>
        </w:tc>
      </w:tr>
      <w:tr w:rsidR="00391608" w:rsidRPr="00391608" w14:paraId="4DC54497" w14:textId="77777777" w:rsidTr="001F3093">
        <w:trPr>
          <w:cantSplit w:val="0"/>
        </w:trPr>
        <w:tc>
          <w:tcPr>
            <w:tcW w:w="278" w:type="pct"/>
            <w:vAlign w:val="top"/>
          </w:tcPr>
          <w:p w14:paraId="05F5AE95" w14:textId="77777777" w:rsidR="00FF08AB" w:rsidRPr="00391608" w:rsidRDefault="00FF08AB" w:rsidP="00FF08AB">
            <w:pPr>
              <w:jc w:val="left"/>
              <w:rPr>
                <w:sz w:val="18"/>
              </w:rPr>
            </w:pPr>
            <w:r w:rsidRPr="00391608">
              <w:rPr>
                <w:sz w:val="18"/>
              </w:rPr>
              <w:lastRenderedPageBreak/>
              <w:t>2.</w:t>
            </w:r>
          </w:p>
        </w:tc>
        <w:tc>
          <w:tcPr>
            <w:tcW w:w="1630" w:type="pct"/>
            <w:vAlign w:val="top"/>
          </w:tcPr>
          <w:p w14:paraId="3D373EE1" w14:textId="2D2F4473" w:rsidR="00FF08AB" w:rsidRPr="00391608" w:rsidRDefault="00FF08AB" w:rsidP="00CC650F">
            <w:pPr>
              <w:rPr>
                <w:sz w:val="18"/>
              </w:rPr>
            </w:pPr>
            <w:r w:rsidRPr="00391608">
              <w:rPr>
                <w:sz w:val="18"/>
              </w:rPr>
              <w:t xml:space="preserve">Badania CAPI metodą </w:t>
            </w:r>
            <w:proofErr w:type="spellStart"/>
            <w:r w:rsidR="00391608" w:rsidRPr="008B4CB1">
              <w:rPr>
                <w:i/>
                <w:sz w:val="18"/>
              </w:rPr>
              <w:t>random</w:t>
            </w:r>
            <w:proofErr w:type="spellEnd"/>
            <w:r w:rsidR="00391608" w:rsidRPr="008B4CB1">
              <w:rPr>
                <w:i/>
                <w:sz w:val="18"/>
              </w:rPr>
              <w:t xml:space="preserve"> </w:t>
            </w:r>
            <w:proofErr w:type="spellStart"/>
            <w:r w:rsidRPr="008B4CB1">
              <w:rPr>
                <w:i/>
                <w:sz w:val="18"/>
              </w:rPr>
              <w:t>route</w:t>
            </w:r>
            <w:proofErr w:type="spellEnd"/>
            <w:r w:rsidR="007A44E3">
              <w:rPr>
                <w:sz w:val="18"/>
              </w:rPr>
              <w:t>.</w:t>
            </w:r>
          </w:p>
        </w:tc>
        <w:tc>
          <w:tcPr>
            <w:tcW w:w="3092" w:type="pct"/>
            <w:vAlign w:val="top"/>
          </w:tcPr>
          <w:p w14:paraId="0B7412C9" w14:textId="77777777" w:rsidR="00FF08AB" w:rsidRPr="00391608" w:rsidRDefault="00FF08AB" w:rsidP="00CC650F">
            <w:pPr>
              <w:rPr>
                <w:sz w:val="18"/>
              </w:rPr>
            </w:pPr>
            <w:r w:rsidRPr="00391608">
              <w:rPr>
                <w:sz w:val="18"/>
              </w:rPr>
              <w:t>Badanie zostało wykonane zgodne ze wskazanymi przez Zamawiającego wytycznymi GUS na próbie reprezentatywnej założonej dla wybranych miast przy poziomie ufności co najmniej 95% i błędzie maksymalnym co najwyżej 5% (niezależnie od wielkości frakcji).</w:t>
            </w:r>
          </w:p>
          <w:p w14:paraId="7F0162B6" w14:textId="54857A5B" w:rsidR="00FF08AB" w:rsidRPr="00391608" w:rsidRDefault="00FF08AB" w:rsidP="00CC650F">
            <w:pPr>
              <w:rPr>
                <w:sz w:val="18"/>
              </w:rPr>
            </w:pPr>
            <w:r w:rsidRPr="00391608">
              <w:rPr>
                <w:sz w:val="18"/>
              </w:rPr>
              <w:t>Badanie zostało skierowane do reprezentatywnej próby ogółu mieszkańców</w:t>
            </w:r>
            <w:r w:rsidR="00391608">
              <w:rPr>
                <w:sz w:val="18"/>
              </w:rPr>
              <w:t>.</w:t>
            </w:r>
          </w:p>
          <w:p w14:paraId="7334DB12" w14:textId="41F0F8CC" w:rsidR="00FF08AB" w:rsidRPr="00391608" w:rsidRDefault="00FF08AB" w:rsidP="00CC650F">
            <w:pPr>
              <w:rPr>
                <w:sz w:val="18"/>
              </w:rPr>
            </w:pPr>
            <w:r w:rsidRPr="00391608">
              <w:rPr>
                <w:sz w:val="18"/>
              </w:rPr>
              <w:t>Badanie zostało rozszerzone o pytania dotyczące zachowań i preferencji transportowych i zawierało w ten sposób również wymagane przez Zamawiającego zestandaryzowane wywiady z mieszkańcami stałymi i czasowymi oraz osobami przebywającymi w mieście</w:t>
            </w:r>
            <w:r w:rsidR="00391608">
              <w:rPr>
                <w:sz w:val="18"/>
              </w:rPr>
              <w:t>.</w:t>
            </w:r>
          </w:p>
        </w:tc>
      </w:tr>
      <w:tr w:rsidR="00391608" w:rsidRPr="00391608" w14:paraId="61BEB50A" w14:textId="77777777" w:rsidTr="001F3093">
        <w:trPr>
          <w:cnfStyle w:val="000000100000" w:firstRow="0" w:lastRow="0" w:firstColumn="0" w:lastColumn="0" w:oddVBand="0" w:evenVBand="0" w:oddHBand="1" w:evenHBand="0" w:firstRowFirstColumn="0" w:firstRowLastColumn="0" w:lastRowFirstColumn="0" w:lastRowLastColumn="0"/>
          <w:cantSplit w:val="0"/>
        </w:trPr>
        <w:tc>
          <w:tcPr>
            <w:tcW w:w="278" w:type="pct"/>
            <w:vAlign w:val="top"/>
          </w:tcPr>
          <w:p w14:paraId="23E522DC" w14:textId="77777777" w:rsidR="00FF08AB" w:rsidRPr="00391608" w:rsidRDefault="00FF08AB" w:rsidP="00FF08AB">
            <w:pPr>
              <w:jc w:val="left"/>
              <w:rPr>
                <w:sz w:val="18"/>
              </w:rPr>
            </w:pPr>
            <w:r w:rsidRPr="00391608">
              <w:rPr>
                <w:sz w:val="18"/>
              </w:rPr>
              <w:t>3.</w:t>
            </w:r>
          </w:p>
        </w:tc>
        <w:tc>
          <w:tcPr>
            <w:tcW w:w="1630" w:type="pct"/>
            <w:vAlign w:val="top"/>
          </w:tcPr>
          <w:p w14:paraId="287708C5" w14:textId="77777777" w:rsidR="00FF08AB" w:rsidRPr="00391608" w:rsidRDefault="00FF08AB" w:rsidP="00CC650F">
            <w:pPr>
              <w:rPr>
                <w:sz w:val="18"/>
              </w:rPr>
            </w:pPr>
            <w:r w:rsidRPr="00391608">
              <w:rPr>
                <w:sz w:val="18"/>
              </w:rPr>
              <w:t>Zestandaryzowane wywiady z przedstawicielami przewoźników i operatorów.</w:t>
            </w:r>
          </w:p>
        </w:tc>
        <w:tc>
          <w:tcPr>
            <w:tcW w:w="3092" w:type="pct"/>
            <w:vAlign w:val="top"/>
          </w:tcPr>
          <w:p w14:paraId="799845E7" w14:textId="77777777" w:rsidR="00FF08AB" w:rsidRPr="00391608" w:rsidRDefault="00FF08AB" w:rsidP="00CC650F">
            <w:pPr>
              <w:rPr>
                <w:sz w:val="18"/>
              </w:rPr>
            </w:pPr>
            <w:r w:rsidRPr="00391608">
              <w:rPr>
                <w:sz w:val="18"/>
              </w:rPr>
              <w:t>Przynajmniej 1 wywiad w każdym obszarze funkcjonalnym miasta wojewódzkiego.</w:t>
            </w:r>
          </w:p>
        </w:tc>
      </w:tr>
      <w:tr w:rsidR="00391608" w:rsidRPr="00391608" w14:paraId="1317964F" w14:textId="77777777" w:rsidTr="001F3093">
        <w:trPr>
          <w:cantSplit w:val="0"/>
        </w:trPr>
        <w:tc>
          <w:tcPr>
            <w:tcW w:w="278" w:type="pct"/>
            <w:vAlign w:val="top"/>
          </w:tcPr>
          <w:p w14:paraId="6C341FDD" w14:textId="77777777" w:rsidR="00FF08AB" w:rsidRPr="00391608" w:rsidRDefault="00FF08AB" w:rsidP="00FF08AB">
            <w:pPr>
              <w:jc w:val="left"/>
              <w:rPr>
                <w:sz w:val="18"/>
              </w:rPr>
            </w:pPr>
            <w:r w:rsidRPr="00391608">
              <w:rPr>
                <w:sz w:val="18"/>
              </w:rPr>
              <w:t>4.</w:t>
            </w:r>
          </w:p>
        </w:tc>
        <w:tc>
          <w:tcPr>
            <w:tcW w:w="1630" w:type="pct"/>
            <w:vAlign w:val="top"/>
          </w:tcPr>
          <w:p w14:paraId="26B75C52" w14:textId="77777777" w:rsidR="00FF08AB" w:rsidRPr="00391608" w:rsidDel="009643E2" w:rsidRDefault="00FF08AB" w:rsidP="00FF08AB">
            <w:pPr>
              <w:jc w:val="left"/>
              <w:rPr>
                <w:sz w:val="18"/>
              </w:rPr>
            </w:pPr>
            <w:r w:rsidRPr="00391608">
              <w:rPr>
                <w:sz w:val="18"/>
              </w:rPr>
              <w:t>Studia przypadków.</w:t>
            </w:r>
          </w:p>
        </w:tc>
        <w:tc>
          <w:tcPr>
            <w:tcW w:w="3092" w:type="pct"/>
            <w:vAlign w:val="top"/>
          </w:tcPr>
          <w:p w14:paraId="635D7327" w14:textId="24B5FBAE" w:rsidR="00FF08AB" w:rsidRPr="00391608" w:rsidRDefault="00FF08AB" w:rsidP="00CC650F">
            <w:pPr>
              <w:rPr>
                <w:sz w:val="18"/>
              </w:rPr>
            </w:pPr>
            <w:r w:rsidRPr="00391608">
              <w:rPr>
                <w:sz w:val="18"/>
              </w:rPr>
              <w:t>Szczegółowe studia przypadków dotyczące czasu przejazdu w wybranych relacjach (łącznie 90 relacji – miejskich i</w:t>
            </w:r>
            <w:r w:rsidR="00CC650F">
              <w:rPr>
                <w:sz w:val="18"/>
              </w:rPr>
              <w:t> </w:t>
            </w:r>
            <w:r w:rsidRPr="00391608">
              <w:rPr>
                <w:sz w:val="18"/>
              </w:rPr>
              <w:t>aglomeracyjnych -w 13 ośrodkach wojewódzkich) w oparciu o</w:t>
            </w:r>
            <w:r w:rsidR="00CC650F">
              <w:rPr>
                <w:sz w:val="18"/>
              </w:rPr>
              <w:t> </w:t>
            </w:r>
            <w:r w:rsidRPr="00391608">
              <w:rPr>
                <w:sz w:val="18"/>
              </w:rPr>
              <w:t xml:space="preserve">dane z systemów nawigacji, rozkładów jazdy oraz przejazdy </w:t>
            </w:r>
            <w:r w:rsidR="00CC650F">
              <w:rPr>
                <w:sz w:val="18"/>
              </w:rPr>
              <w:t>e</w:t>
            </w:r>
            <w:r w:rsidRPr="00391608">
              <w:rPr>
                <w:sz w:val="18"/>
              </w:rPr>
              <w:t>ksperymentalne.</w:t>
            </w:r>
          </w:p>
        </w:tc>
      </w:tr>
      <w:tr w:rsidR="00391608" w:rsidRPr="00391608" w14:paraId="1916D89C" w14:textId="77777777" w:rsidTr="001F3093">
        <w:trPr>
          <w:cnfStyle w:val="000000100000" w:firstRow="0" w:lastRow="0" w:firstColumn="0" w:lastColumn="0" w:oddVBand="0" w:evenVBand="0" w:oddHBand="1" w:evenHBand="0" w:firstRowFirstColumn="0" w:firstRowLastColumn="0" w:lastRowFirstColumn="0" w:lastRowLastColumn="0"/>
          <w:cantSplit w:val="0"/>
        </w:trPr>
        <w:tc>
          <w:tcPr>
            <w:tcW w:w="278" w:type="pct"/>
            <w:vAlign w:val="top"/>
          </w:tcPr>
          <w:p w14:paraId="0AEE00D6" w14:textId="77777777" w:rsidR="00FF08AB" w:rsidRPr="00391608" w:rsidRDefault="00FF08AB" w:rsidP="00FF08AB">
            <w:pPr>
              <w:jc w:val="left"/>
              <w:rPr>
                <w:sz w:val="18"/>
              </w:rPr>
            </w:pPr>
            <w:r w:rsidRPr="00391608">
              <w:rPr>
                <w:sz w:val="18"/>
              </w:rPr>
              <w:t>5.</w:t>
            </w:r>
          </w:p>
        </w:tc>
        <w:tc>
          <w:tcPr>
            <w:tcW w:w="1630" w:type="pct"/>
            <w:vAlign w:val="top"/>
          </w:tcPr>
          <w:p w14:paraId="67A2C4B1" w14:textId="77777777" w:rsidR="00FF08AB" w:rsidRPr="00391608" w:rsidRDefault="00FF08AB" w:rsidP="00CC650F">
            <w:pPr>
              <w:rPr>
                <w:sz w:val="18"/>
              </w:rPr>
            </w:pPr>
            <w:r w:rsidRPr="00391608">
              <w:rPr>
                <w:sz w:val="18"/>
              </w:rPr>
              <w:t>Analiza ekonometryczna metodą SPSM (metoda dodatkowa).</w:t>
            </w:r>
          </w:p>
        </w:tc>
        <w:tc>
          <w:tcPr>
            <w:tcW w:w="3092" w:type="pct"/>
            <w:vAlign w:val="top"/>
          </w:tcPr>
          <w:p w14:paraId="6A60A7EB" w14:textId="77777777" w:rsidR="00FF08AB" w:rsidRPr="00391608" w:rsidRDefault="00FF08AB" w:rsidP="00CC650F">
            <w:pPr>
              <w:rPr>
                <w:sz w:val="18"/>
              </w:rPr>
            </w:pPr>
            <w:r w:rsidRPr="00391608">
              <w:rPr>
                <w:sz w:val="18"/>
              </w:rPr>
              <w:t>Modelowanie na bazie danych dla perspektywy 2007-2013, dla szerokiej gamy zmiennych objaśniających, dotyczących efektów transportowych i społeczno-gospodarczych.</w:t>
            </w:r>
          </w:p>
        </w:tc>
      </w:tr>
      <w:tr w:rsidR="00391608" w:rsidRPr="00391608" w14:paraId="437C89A2" w14:textId="77777777" w:rsidTr="001F3093">
        <w:trPr>
          <w:cantSplit w:val="0"/>
        </w:trPr>
        <w:tc>
          <w:tcPr>
            <w:tcW w:w="278" w:type="pct"/>
            <w:vAlign w:val="top"/>
          </w:tcPr>
          <w:p w14:paraId="1C80A447" w14:textId="77777777" w:rsidR="00FF08AB" w:rsidRPr="00391608" w:rsidRDefault="00FF08AB" w:rsidP="00FF08AB">
            <w:pPr>
              <w:jc w:val="left"/>
              <w:rPr>
                <w:sz w:val="18"/>
              </w:rPr>
            </w:pPr>
            <w:r w:rsidRPr="00391608">
              <w:rPr>
                <w:sz w:val="18"/>
              </w:rPr>
              <w:t>6.</w:t>
            </w:r>
          </w:p>
        </w:tc>
        <w:tc>
          <w:tcPr>
            <w:tcW w:w="1630" w:type="pct"/>
            <w:vAlign w:val="top"/>
          </w:tcPr>
          <w:p w14:paraId="0E2AF5D6" w14:textId="49647E04" w:rsidR="00FF08AB" w:rsidRPr="00391608" w:rsidRDefault="00FF08AB" w:rsidP="00CC650F">
            <w:pPr>
              <w:rPr>
                <w:sz w:val="18"/>
              </w:rPr>
            </w:pPr>
            <w:bookmarkStart w:id="38" w:name="_Hlk517440526"/>
            <w:r w:rsidRPr="00391608">
              <w:rPr>
                <w:sz w:val="18"/>
              </w:rPr>
              <w:t>Badanie ankietowe wśród organizatorów / operatorów komunikacji miejskiej</w:t>
            </w:r>
            <w:bookmarkEnd w:id="38"/>
            <w:r w:rsidR="00391608">
              <w:rPr>
                <w:sz w:val="18"/>
              </w:rPr>
              <w:t>.</w:t>
            </w:r>
          </w:p>
        </w:tc>
        <w:tc>
          <w:tcPr>
            <w:tcW w:w="3092" w:type="pct"/>
            <w:vAlign w:val="top"/>
          </w:tcPr>
          <w:p w14:paraId="2125D581" w14:textId="6A42D0B3" w:rsidR="00FF08AB" w:rsidRPr="00391608" w:rsidRDefault="00FF08AB" w:rsidP="00CC650F">
            <w:pPr>
              <w:rPr>
                <w:sz w:val="18"/>
              </w:rPr>
            </w:pPr>
            <w:r w:rsidRPr="00391608">
              <w:rPr>
                <w:sz w:val="18"/>
              </w:rPr>
              <w:t xml:space="preserve">Badanie ankietowe wśród wszystkich aktywnych (samodzielnie kontraktujących usługi z operatorami) organizatorów / działających na ich rzecz operatorów (w zależności od przyjętego modelu) komunikacji miejskiej w ośrodkach wojewódzkich, ich obszarach funkcjonalnych, zgodnie z zakresem interwencji </w:t>
            </w:r>
            <w:r w:rsidR="00391608" w:rsidRPr="00391608">
              <w:rPr>
                <w:sz w:val="18"/>
              </w:rPr>
              <w:t>POIiŚ</w:t>
            </w:r>
            <w:r w:rsidRPr="00391608">
              <w:rPr>
                <w:sz w:val="18"/>
              </w:rPr>
              <w:t xml:space="preserve"> 2014-2020.</w:t>
            </w:r>
          </w:p>
        </w:tc>
      </w:tr>
      <w:tr w:rsidR="00391608" w:rsidRPr="00391608" w14:paraId="6E72E7C3" w14:textId="77777777" w:rsidTr="001F3093">
        <w:trPr>
          <w:cnfStyle w:val="000000100000" w:firstRow="0" w:lastRow="0" w:firstColumn="0" w:lastColumn="0" w:oddVBand="0" w:evenVBand="0" w:oddHBand="1" w:evenHBand="0" w:firstRowFirstColumn="0" w:firstRowLastColumn="0" w:lastRowFirstColumn="0" w:lastRowLastColumn="0"/>
          <w:cantSplit w:val="0"/>
          <w:trHeight w:val="963"/>
        </w:trPr>
        <w:tc>
          <w:tcPr>
            <w:tcW w:w="278" w:type="pct"/>
            <w:vAlign w:val="top"/>
          </w:tcPr>
          <w:p w14:paraId="1BB8E88A" w14:textId="77777777" w:rsidR="00FF08AB" w:rsidRPr="00391608" w:rsidRDefault="00FF08AB" w:rsidP="00FF08AB">
            <w:pPr>
              <w:jc w:val="left"/>
              <w:rPr>
                <w:sz w:val="18"/>
              </w:rPr>
            </w:pPr>
            <w:r w:rsidRPr="00391608">
              <w:rPr>
                <w:sz w:val="18"/>
              </w:rPr>
              <w:t>7.</w:t>
            </w:r>
          </w:p>
        </w:tc>
        <w:tc>
          <w:tcPr>
            <w:tcW w:w="1630" w:type="pct"/>
            <w:vAlign w:val="top"/>
          </w:tcPr>
          <w:p w14:paraId="1FBDC40F" w14:textId="77777777" w:rsidR="00FF08AB" w:rsidRPr="00391608" w:rsidRDefault="00FF08AB" w:rsidP="00CC650F">
            <w:pPr>
              <w:rPr>
                <w:sz w:val="18"/>
              </w:rPr>
            </w:pPr>
            <w:r w:rsidRPr="00391608">
              <w:rPr>
                <w:sz w:val="18"/>
              </w:rPr>
              <w:t>Analiza ekonometryczna metodą uporządkowanej regresji logistycznej (</w:t>
            </w:r>
            <w:proofErr w:type="spellStart"/>
            <w:r w:rsidRPr="00391608">
              <w:rPr>
                <w:i/>
                <w:sz w:val="18"/>
              </w:rPr>
              <w:t>ordered</w:t>
            </w:r>
            <w:proofErr w:type="spellEnd"/>
            <w:r w:rsidRPr="00391608">
              <w:rPr>
                <w:i/>
                <w:sz w:val="18"/>
              </w:rPr>
              <w:t xml:space="preserve"> </w:t>
            </w:r>
            <w:proofErr w:type="spellStart"/>
            <w:r w:rsidRPr="00391608">
              <w:rPr>
                <w:i/>
                <w:sz w:val="18"/>
              </w:rPr>
              <w:t>logit</w:t>
            </w:r>
            <w:proofErr w:type="spellEnd"/>
            <w:r w:rsidRPr="00391608">
              <w:rPr>
                <w:sz w:val="18"/>
              </w:rPr>
              <w:t xml:space="preserve"> – metoda dodatkowa).</w:t>
            </w:r>
          </w:p>
        </w:tc>
        <w:tc>
          <w:tcPr>
            <w:tcW w:w="3092" w:type="pct"/>
            <w:vAlign w:val="top"/>
          </w:tcPr>
          <w:p w14:paraId="4E1749B1" w14:textId="313E9425" w:rsidR="00FF08AB" w:rsidRPr="00391608" w:rsidRDefault="00FF08AB" w:rsidP="00CC650F">
            <w:pPr>
              <w:rPr>
                <w:sz w:val="18"/>
              </w:rPr>
            </w:pPr>
            <w:r w:rsidRPr="00391608">
              <w:rPr>
                <w:sz w:val="18"/>
              </w:rPr>
              <w:t>Modelowanie determinant ogólnego postrzegania jakości komunikacji miejskiej na bazie odpowiedzi uzyskanych w wyniku zestandaryzowanych wywiadów z mieszkańcami stałymi i</w:t>
            </w:r>
            <w:r w:rsidR="00CC650F">
              <w:rPr>
                <w:sz w:val="18"/>
              </w:rPr>
              <w:t> </w:t>
            </w:r>
            <w:r w:rsidRPr="00391608">
              <w:rPr>
                <w:sz w:val="18"/>
              </w:rPr>
              <w:t>czasowymi oraz osobami przebywającymi w mieście</w:t>
            </w:r>
            <w:r w:rsidR="00391608">
              <w:rPr>
                <w:sz w:val="18"/>
              </w:rPr>
              <w:t>.</w:t>
            </w:r>
          </w:p>
        </w:tc>
      </w:tr>
    </w:tbl>
    <w:bookmarkEnd w:id="36"/>
    <w:bookmarkEnd w:id="37"/>
    <w:p w14:paraId="3649AE99" w14:textId="42E35ECA" w:rsidR="000B3C30" w:rsidRPr="00391608" w:rsidRDefault="00F77F31" w:rsidP="00DE4EAE">
      <w:pPr>
        <w:pStyle w:val="rdo"/>
      </w:pPr>
      <w:r w:rsidRPr="00391608">
        <w:t>Źródło: opracowanie własne.</w:t>
      </w:r>
    </w:p>
    <w:p w14:paraId="2A75645F" w14:textId="31590830" w:rsidR="00950F24" w:rsidRPr="00391608" w:rsidRDefault="00D324B7" w:rsidP="009707CB">
      <w:pPr>
        <w:pStyle w:val="Nagwek2"/>
        <w:rPr>
          <w:color w:val="auto"/>
        </w:rPr>
      </w:pPr>
      <w:bookmarkStart w:id="39" w:name="_Toc27125323"/>
      <w:r w:rsidRPr="00391608">
        <w:rPr>
          <w:color w:val="auto"/>
        </w:rPr>
        <w:lastRenderedPageBreak/>
        <w:t>Analiza danych zastanych</w:t>
      </w:r>
      <w:bookmarkEnd w:id="39"/>
    </w:p>
    <w:p w14:paraId="08FC345A" w14:textId="77777777" w:rsidR="00AC6306" w:rsidRPr="00391608" w:rsidRDefault="00AC6306" w:rsidP="00AC6306">
      <w:pPr>
        <w:pStyle w:val="Nagwek3"/>
      </w:pPr>
      <w:bookmarkStart w:id="40" w:name="_Toc12409974"/>
      <w:bookmarkStart w:id="41" w:name="_Toc27125324"/>
      <w:r w:rsidRPr="00391608">
        <w:t>Przegląd dokumentów</w:t>
      </w:r>
      <w:bookmarkEnd w:id="40"/>
      <w:bookmarkEnd w:id="41"/>
    </w:p>
    <w:p w14:paraId="4E71105A" w14:textId="4E0BF1A6" w:rsidR="00AC6306" w:rsidRPr="00391608" w:rsidRDefault="00AC6306" w:rsidP="00AC6306">
      <w:r w:rsidRPr="00391608">
        <w:t xml:space="preserve">Listę kluczowych dokumentów, które zostały poddane analizie, wraz z celem przeglądu zawiera </w:t>
      </w:r>
      <w:r w:rsidRPr="00391608">
        <w:fldChar w:fldCharType="begin"/>
      </w:r>
      <w:r w:rsidRPr="00391608">
        <w:instrText xml:space="preserve"> REF _Ref7178078 \h </w:instrText>
      </w:r>
      <w:r w:rsidRPr="00391608">
        <w:fldChar w:fldCharType="separate"/>
      </w:r>
      <w:r w:rsidR="00C93FD7" w:rsidRPr="00391608">
        <w:t xml:space="preserve">Tabela </w:t>
      </w:r>
      <w:r w:rsidR="00C93FD7">
        <w:rPr>
          <w:noProof/>
        </w:rPr>
        <w:t>4</w:t>
      </w:r>
      <w:r w:rsidRPr="00391608">
        <w:fldChar w:fldCharType="end"/>
      </w:r>
      <w:r w:rsidRPr="00391608">
        <w:t>.</w:t>
      </w:r>
      <w:r w:rsidR="00590760" w:rsidRPr="00391608">
        <w:t xml:space="preserve"> Głównym celem przeglądu było odtworzenie logiki interwencji, poznanie zasad wdrażania POIiŚ oraz pozyskanie danych do pilotażu Analizy Kosztów i Korzyści dla Warszawskiego Obszaru Funkcjonalnego.</w:t>
      </w:r>
    </w:p>
    <w:p w14:paraId="628D1FC0" w14:textId="6B53F9A3" w:rsidR="00AC6306" w:rsidRPr="00391608" w:rsidRDefault="00AC6306" w:rsidP="00310D6A">
      <w:pPr>
        <w:pStyle w:val="rdo"/>
      </w:pPr>
      <w:bookmarkStart w:id="42" w:name="_Ref7178078"/>
      <w:bookmarkStart w:id="43" w:name="_Toc27125362"/>
      <w:r w:rsidRPr="00391608">
        <w:t xml:space="preserve">Tabela </w:t>
      </w:r>
      <w:r w:rsidRPr="00391608">
        <w:rPr>
          <w:noProof/>
        </w:rPr>
        <w:fldChar w:fldCharType="begin"/>
      </w:r>
      <w:r w:rsidRPr="00391608">
        <w:rPr>
          <w:noProof/>
        </w:rPr>
        <w:instrText xml:space="preserve"> SEQ Tabela \* ARABIC </w:instrText>
      </w:r>
      <w:r w:rsidRPr="00391608">
        <w:rPr>
          <w:noProof/>
        </w:rPr>
        <w:fldChar w:fldCharType="separate"/>
      </w:r>
      <w:r w:rsidR="00C93FD7">
        <w:rPr>
          <w:noProof/>
        </w:rPr>
        <w:t>4</w:t>
      </w:r>
      <w:r w:rsidRPr="00391608">
        <w:rPr>
          <w:noProof/>
        </w:rPr>
        <w:fldChar w:fldCharType="end"/>
      </w:r>
      <w:bookmarkEnd w:id="42"/>
      <w:r w:rsidRPr="00391608">
        <w:t>. Lista przeglądu dokumentów wraz z jego celem</w:t>
      </w:r>
      <w:bookmarkEnd w:id="43"/>
    </w:p>
    <w:tbl>
      <w:tblPr>
        <w:tblStyle w:val="WolanskiCorpTabela2"/>
        <w:tblW w:w="0" w:type="auto"/>
        <w:tblLook w:val="0420" w:firstRow="1" w:lastRow="0" w:firstColumn="0" w:lastColumn="0" w:noHBand="0" w:noVBand="1"/>
      </w:tblPr>
      <w:tblGrid>
        <w:gridCol w:w="4678"/>
        <w:gridCol w:w="4361"/>
      </w:tblGrid>
      <w:tr w:rsidR="00391608" w:rsidRPr="001633D6" w14:paraId="049DDEE0" w14:textId="77777777" w:rsidTr="00AC6306">
        <w:trPr>
          <w:cnfStyle w:val="100000000000" w:firstRow="1" w:lastRow="0" w:firstColumn="0" w:lastColumn="0" w:oddVBand="0" w:evenVBand="0" w:oddHBand="0" w:evenHBand="0" w:firstRowFirstColumn="0" w:firstRowLastColumn="0" w:lastRowFirstColumn="0" w:lastRowLastColumn="0"/>
        </w:trPr>
        <w:tc>
          <w:tcPr>
            <w:tcW w:w="4678" w:type="dxa"/>
          </w:tcPr>
          <w:p w14:paraId="5B08032E" w14:textId="77777777" w:rsidR="00AC6306" w:rsidRPr="00310D6A" w:rsidRDefault="00AC6306" w:rsidP="001F3093">
            <w:pPr>
              <w:rPr>
                <w:sz w:val="18"/>
                <w:szCs w:val="18"/>
              </w:rPr>
            </w:pPr>
            <w:r w:rsidRPr="00310D6A">
              <w:rPr>
                <w:sz w:val="18"/>
                <w:szCs w:val="18"/>
              </w:rPr>
              <w:t>dokument</w:t>
            </w:r>
          </w:p>
        </w:tc>
        <w:tc>
          <w:tcPr>
            <w:tcW w:w="4361" w:type="dxa"/>
          </w:tcPr>
          <w:p w14:paraId="5D6EF445" w14:textId="77777777" w:rsidR="00AC6306" w:rsidRPr="00310D6A" w:rsidRDefault="00AC6306" w:rsidP="001F3093">
            <w:pPr>
              <w:rPr>
                <w:sz w:val="18"/>
                <w:szCs w:val="18"/>
              </w:rPr>
            </w:pPr>
            <w:r w:rsidRPr="00310D6A">
              <w:rPr>
                <w:sz w:val="18"/>
                <w:szCs w:val="18"/>
              </w:rPr>
              <w:t>cel przeglądu</w:t>
            </w:r>
          </w:p>
        </w:tc>
      </w:tr>
      <w:tr w:rsidR="00391608" w:rsidRPr="001633D6" w14:paraId="4D754F19"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377BE8C1" w14:textId="77777777" w:rsidR="00AC6306" w:rsidRPr="00310D6A" w:rsidRDefault="00AC6306" w:rsidP="001F3093">
            <w:pPr>
              <w:rPr>
                <w:sz w:val="18"/>
                <w:szCs w:val="18"/>
              </w:rPr>
            </w:pPr>
            <w:r w:rsidRPr="00310D6A">
              <w:rPr>
                <w:sz w:val="18"/>
                <w:szCs w:val="18"/>
              </w:rPr>
              <w:t>Program Operacyjny Infrastruktura i Środowisko 2014-2020</w:t>
            </w:r>
          </w:p>
        </w:tc>
        <w:tc>
          <w:tcPr>
            <w:tcW w:w="4361" w:type="dxa"/>
          </w:tcPr>
          <w:p w14:paraId="279D027D"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4A892772" w14:textId="77777777" w:rsidTr="00AC6306">
        <w:tc>
          <w:tcPr>
            <w:tcW w:w="4678" w:type="dxa"/>
          </w:tcPr>
          <w:p w14:paraId="28685C2F" w14:textId="77777777" w:rsidR="00AC6306" w:rsidRPr="00310D6A" w:rsidRDefault="00AC6306" w:rsidP="001F3093">
            <w:pPr>
              <w:rPr>
                <w:sz w:val="18"/>
                <w:szCs w:val="18"/>
              </w:rPr>
            </w:pPr>
            <w:r w:rsidRPr="00310D6A">
              <w:rPr>
                <w:sz w:val="18"/>
                <w:szCs w:val="18"/>
              </w:rPr>
              <w:t>Informacje o projektach (dokumentacja projektowa)</w:t>
            </w:r>
          </w:p>
        </w:tc>
        <w:tc>
          <w:tcPr>
            <w:tcW w:w="4361" w:type="dxa"/>
          </w:tcPr>
          <w:p w14:paraId="46A53258" w14:textId="77777777" w:rsidR="00AC6306" w:rsidRPr="00310D6A" w:rsidRDefault="00AC6306" w:rsidP="001F3093">
            <w:pPr>
              <w:rPr>
                <w:sz w:val="18"/>
                <w:szCs w:val="18"/>
              </w:rPr>
            </w:pPr>
            <w:r w:rsidRPr="00310D6A">
              <w:rPr>
                <w:sz w:val="18"/>
                <w:szCs w:val="18"/>
              </w:rPr>
              <w:t>Pozyskanie informacji o przebiegu i aspektach technicznych projektów, źródło danych do pilotażu AKK dla WOF</w:t>
            </w:r>
          </w:p>
        </w:tc>
      </w:tr>
      <w:tr w:rsidR="00391608" w:rsidRPr="001633D6" w14:paraId="42C24530"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460CF6E3" w14:textId="638C2BD7" w:rsidR="00AC6306" w:rsidRDefault="00AC6306" w:rsidP="001F3093">
            <w:pPr>
              <w:rPr>
                <w:sz w:val="18"/>
                <w:szCs w:val="18"/>
              </w:rPr>
            </w:pPr>
            <w:r w:rsidRPr="00310D6A">
              <w:rPr>
                <w:sz w:val="18"/>
                <w:szCs w:val="18"/>
              </w:rPr>
              <w:t>Badania ewaluacyjne przeprowadzone w okresie 2004-2017</w:t>
            </w:r>
            <w:r w:rsidR="008B6417">
              <w:rPr>
                <w:sz w:val="18"/>
                <w:szCs w:val="18"/>
              </w:rPr>
              <w:t>:</w:t>
            </w:r>
          </w:p>
          <w:p w14:paraId="137AC0AF" w14:textId="74F34EEF" w:rsidR="008B6417" w:rsidRDefault="008B6417" w:rsidP="001F3093">
            <w:pPr>
              <w:rPr>
                <w:sz w:val="18"/>
                <w:szCs w:val="18"/>
              </w:rPr>
            </w:pPr>
            <w:r>
              <w:rPr>
                <w:sz w:val="18"/>
                <w:szCs w:val="18"/>
              </w:rPr>
              <w:t>-</w:t>
            </w:r>
            <w:r w:rsidR="00AE21D2">
              <w:rPr>
                <w:sz w:val="18"/>
                <w:szCs w:val="18"/>
              </w:rPr>
              <w:t xml:space="preserve"> Adaptacja metodologii pomiaru efektu netto interwencji publicznych do potrzeb sektora infrastruktury transportowej SPOT 2004-2006</w:t>
            </w:r>
          </w:p>
          <w:p w14:paraId="724BA1E7" w14:textId="25139AD7" w:rsidR="009B5DE8" w:rsidRDefault="009B5DE8" w:rsidP="001F3093">
            <w:pPr>
              <w:rPr>
                <w:sz w:val="18"/>
                <w:szCs w:val="18"/>
              </w:rPr>
            </w:pPr>
            <w:r>
              <w:rPr>
                <w:sz w:val="18"/>
                <w:szCs w:val="18"/>
              </w:rPr>
              <w:t>- Badanie sposobu realizacji celów zrównoważonego rozwoju w Programie Operacyjnym Infrastruktura i Środowisko: efekty pespektywy 2007-2013 i pilotaż koncepcji badania wpływu na potrzeby perspektywy 2014-2020</w:t>
            </w:r>
          </w:p>
          <w:p w14:paraId="65554B1B" w14:textId="30F66075" w:rsidR="009B5DE8" w:rsidRDefault="009B5DE8" w:rsidP="009B5DE8">
            <w:pPr>
              <w:rPr>
                <w:sz w:val="18"/>
                <w:szCs w:val="18"/>
              </w:rPr>
            </w:pPr>
            <w:r>
              <w:rPr>
                <w:sz w:val="18"/>
                <w:szCs w:val="18"/>
              </w:rPr>
              <w:t xml:space="preserve">- Badanie </w:t>
            </w:r>
            <w:r w:rsidRPr="009B5DE8">
              <w:rPr>
                <w:i/>
                <w:sz w:val="18"/>
                <w:szCs w:val="18"/>
              </w:rPr>
              <w:t>ex</w:t>
            </w:r>
            <w:r w:rsidR="00760E00">
              <w:rPr>
                <w:i/>
                <w:sz w:val="18"/>
                <w:szCs w:val="18"/>
              </w:rPr>
              <w:t xml:space="preserve"> </w:t>
            </w:r>
            <w:r w:rsidRPr="009B5DE8">
              <w:rPr>
                <w:i/>
                <w:sz w:val="18"/>
                <w:szCs w:val="18"/>
              </w:rPr>
              <w:t>post</w:t>
            </w:r>
            <w:r>
              <w:rPr>
                <w:sz w:val="18"/>
                <w:szCs w:val="18"/>
              </w:rPr>
              <w:t xml:space="preserve"> wsparcia sektora transportu w PO </w:t>
            </w:r>
            <w:proofErr w:type="spellStart"/>
            <w:r>
              <w:rPr>
                <w:sz w:val="18"/>
                <w:szCs w:val="18"/>
              </w:rPr>
              <w:t>IiŚ</w:t>
            </w:r>
            <w:proofErr w:type="spellEnd"/>
            <w:r>
              <w:rPr>
                <w:sz w:val="18"/>
                <w:szCs w:val="18"/>
              </w:rPr>
              <w:t xml:space="preserve"> 2007-2013,</w:t>
            </w:r>
          </w:p>
          <w:p w14:paraId="3877559B" w14:textId="77777777" w:rsidR="00AE21D2" w:rsidRDefault="008B6417" w:rsidP="001F3093">
            <w:pPr>
              <w:rPr>
                <w:sz w:val="18"/>
                <w:szCs w:val="18"/>
              </w:rPr>
            </w:pPr>
            <w:r>
              <w:rPr>
                <w:sz w:val="18"/>
                <w:szCs w:val="18"/>
              </w:rPr>
              <w:t>-</w:t>
            </w:r>
            <w:r w:rsidR="009B5DE8">
              <w:rPr>
                <w:sz w:val="18"/>
                <w:szCs w:val="18"/>
              </w:rPr>
              <w:t xml:space="preserve"> </w:t>
            </w:r>
            <w:r>
              <w:rPr>
                <w:sz w:val="18"/>
                <w:szCs w:val="18"/>
              </w:rPr>
              <w:t>Efekty Transportowe Interwencji wspartych w ramach NSRO 2007-2013,</w:t>
            </w:r>
          </w:p>
          <w:p w14:paraId="0ABB1337" w14:textId="19796D3F" w:rsidR="008B6417" w:rsidRPr="00310D6A" w:rsidRDefault="008B6417" w:rsidP="001F3093">
            <w:pPr>
              <w:rPr>
                <w:sz w:val="18"/>
                <w:szCs w:val="18"/>
              </w:rPr>
            </w:pPr>
            <w:r>
              <w:rPr>
                <w:sz w:val="18"/>
                <w:szCs w:val="18"/>
              </w:rPr>
              <w:t>- Ewaluacja systemu realizacji instrumentu ZIT w</w:t>
            </w:r>
            <w:r w:rsidR="009B5DE8">
              <w:rPr>
                <w:sz w:val="18"/>
                <w:szCs w:val="18"/>
              </w:rPr>
              <w:t> </w:t>
            </w:r>
            <w:r>
              <w:rPr>
                <w:sz w:val="18"/>
                <w:szCs w:val="18"/>
              </w:rPr>
              <w:t>perspektywie finansowej UE na lata 2014-2020</w:t>
            </w:r>
            <w:r w:rsidR="00AE21D2">
              <w:rPr>
                <w:sz w:val="18"/>
                <w:szCs w:val="18"/>
              </w:rPr>
              <w:t>.</w:t>
            </w:r>
          </w:p>
        </w:tc>
        <w:tc>
          <w:tcPr>
            <w:tcW w:w="4361" w:type="dxa"/>
          </w:tcPr>
          <w:p w14:paraId="45DCCD71"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777C6DF9" w14:textId="77777777" w:rsidTr="00AC6306">
        <w:tc>
          <w:tcPr>
            <w:tcW w:w="4678" w:type="dxa"/>
          </w:tcPr>
          <w:p w14:paraId="31E513D0" w14:textId="77777777" w:rsidR="00AC6306" w:rsidRPr="00310D6A" w:rsidRDefault="00AC6306" w:rsidP="001F3093">
            <w:pPr>
              <w:rPr>
                <w:sz w:val="18"/>
                <w:szCs w:val="18"/>
              </w:rPr>
            </w:pPr>
            <w:r w:rsidRPr="00310D6A">
              <w:rPr>
                <w:sz w:val="18"/>
                <w:szCs w:val="18"/>
              </w:rPr>
              <w:t>Szczegółowy Opis Osi Priorytetowych Programu Operacyjnego Infrastruktura i Środowisko 2014-2020 wraz z załącznikami</w:t>
            </w:r>
          </w:p>
        </w:tc>
        <w:tc>
          <w:tcPr>
            <w:tcW w:w="4361" w:type="dxa"/>
          </w:tcPr>
          <w:p w14:paraId="3C35D014"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195C9E41"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7B93DA12" w14:textId="77777777" w:rsidR="00AC6306" w:rsidRPr="00310D6A" w:rsidRDefault="00AC6306" w:rsidP="001F3093">
            <w:pPr>
              <w:rPr>
                <w:sz w:val="18"/>
                <w:szCs w:val="18"/>
              </w:rPr>
            </w:pPr>
            <w:r w:rsidRPr="00310D6A">
              <w:rPr>
                <w:sz w:val="18"/>
                <w:szCs w:val="18"/>
              </w:rPr>
              <w:t>Analiza kosztów i korzyści projektów transportowych współfinansowanych ze środków Unii Europejskiej</w:t>
            </w:r>
          </w:p>
        </w:tc>
        <w:tc>
          <w:tcPr>
            <w:tcW w:w="4361" w:type="dxa"/>
          </w:tcPr>
          <w:p w14:paraId="7221E50A" w14:textId="77777777" w:rsidR="00AC6306" w:rsidRPr="00310D6A" w:rsidRDefault="00AC6306" w:rsidP="001F3093">
            <w:pPr>
              <w:rPr>
                <w:sz w:val="18"/>
                <w:szCs w:val="18"/>
              </w:rPr>
            </w:pPr>
            <w:r w:rsidRPr="00310D6A">
              <w:rPr>
                <w:sz w:val="18"/>
                <w:szCs w:val="18"/>
              </w:rPr>
              <w:t>Pozyskanie informacji o przebiegu i aspektach technicznych projektów, źródło danych do pilotażu AKK dla WOF</w:t>
            </w:r>
          </w:p>
        </w:tc>
      </w:tr>
      <w:tr w:rsidR="00391608" w:rsidRPr="001633D6" w14:paraId="43DE9762" w14:textId="77777777" w:rsidTr="00AC6306">
        <w:tc>
          <w:tcPr>
            <w:tcW w:w="4678" w:type="dxa"/>
          </w:tcPr>
          <w:p w14:paraId="112FF391" w14:textId="77777777" w:rsidR="00AC6306" w:rsidRPr="00310D6A" w:rsidRDefault="00AC6306" w:rsidP="001F3093">
            <w:pPr>
              <w:rPr>
                <w:sz w:val="18"/>
                <w:szCs w:val="18"/>
              </w:rPr>
            </w:pPr>
            <w:r w:rsidRPr="00310D6A">
              <w:rPr>
                <w:sz w:val="18"/>
                <w:szCs w:val="18"/>
              </w:rPr>
              <w:t>Niebieska Księga. Sektor Transportu Publicznego w miastach, aglomeracjach, regionach</w:t>
            </w:r>
          </w:p>
        </w:tc>
        <w:tc>
          <w:tcPr>
            <w:tcW w:w="4361" w:type="dxa"/>
          </w:tcPr>
          <w:p w14:paraId="779FADE1"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574EB3A2"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4D62742D" w14:textId="5FCDEFB3" w:rsidR="00AC6306" w:rsidRPr="00310D6A" w:rsidRDefault="00AC6306" w:rsidP="001F3093">
            <w:pPr>
              <w:rPr>
                <w:sz w:val="18"/>
                <w:szCs w:val="18"/>
              </w:rPr>
            </w:pPr>
            <w:r w:rsidRPr="00310D6A">
              <w:rPr>
                <w:sz w:val="18"/>
                <w:szCs w:val="18"/>
              </w:rPr>
              <w:lastRenderedPageBreak/>
              <w:t>Analiza podejścia badawczego</w:t>
            </w:r>
            <w:r w:rsidR="009B5DE8">
              <w:rPr>
                <w:sz w:val="18"/>
                <w:szCs w:val="18"/>
              </w:rPr>
              <w:t xml:space="preserve"> </w:t>
            </w:r>
            <w:r w:rsidRPr="00310D6A">
              <w:rPr>
                <w:sz w:val="18"/>
                <w:szCs w:val="18"/>
              </w:rPr>
              <w:t xml:space="preserve">i wypracowanie narzędzi do oceny wpływu wsparcia w ramach VI OP POIiŚ </w:t>
            </w:r>
            <w:r w:rsidR="009B5DE8">
              <w:rPr>
                <w:sz w:val="18"/>
                <w:szCs w:val="18"/>
              </w:rPr>
              <w:t xml:space="preserve">2014-2020 </w:t>
            </w:r>
            <w:r w:rsidRPr="00310D6A">
              <w:rPr>
                <w:sz w:val="18"/>
                <w:szCs w:val="18"/>
              </w:rPr>
              <w:t>– pilotaż</w:t>
            </w:r>
          </w:p>
        </w:tc>
        <w:tc>
          <w:tcPr>
            <w:tcW w:w="4361" w:type="dxa"/>
          </w:tcPr>
          <w:p w14:paraId="550FB990" w14:textId="77777777" w:rsidR="00AC6306" w:rsidRPr="00310D6A" w:rsidRDefault="00AC6306" w:rsidP="001F3093">
            <w:pPr>
              <w:rPr>
                <w:sz w:val="18"/>
                <w:szCs w:val="18"/>
              </w:rPr>
            </w:pPr>
            <w:r w:rsidRPr="00310D6A">
              <w:rPr>
                <w:sz w:val="18"/>
                <w:szCs w:val="18"/>
              </w:rPr>
              <w:t>Podsumowanie badania pilotażowego i wyzwania badawcze</w:t>
            </w:r>
          </w:p>
        </w:tc>
      </w:tr>
      <w:tr w:rsidR="00391608" w:rsidRPr="001633D6" w14:paraId="53614737" w14:textId="77777777" w:rsidTr="00AC6306">
        <w:tc>
          <w:tcPr>
            <w:tcW w:w="4678" w:type="dxa"/>
          </w:tcPr>
          <w:p w14:paraId="5DC55337" w14:textId="77777777" w:rsidR="00AC6306" w:rsidRPr="00310D6A" w:rsidRDefault="00AC6306" w:rsidP="001F3093">
            <w:pPr>
              <w:rPr>
                <w:sz w:val="18"/>
                <w:szCs w:val="18"/>
              </w:rPr>
            </w:pPr>
            <w:r w:rsidRPr="00310D6A">
              <w:rPr>
                <w:sz w:val="18"/>
                <w:szCs w:val="18"/>
              </w:rPr>
              <w:t>Rozporządzenie Parlamentu Europejskiego i Rady (UE) nr 1303/2013 z dnia 17 grudnia 2013 r.</w:t>
            </w:r>
          </w:p>
        </w:tc>
        <w:tc>
          <w:tcPr>
            <w:tcW w:w="4361" w:type="dxa"/>
          </w:tcPr>
          <w:p w14:paraId="76165FAC" w14:textId="77777777" w:rsidR="00AC6306" w:rsidRPr="00310D6A" w:rsidRDefault="00AC6306" w:rsidP="001F3093">
            <w:pPr>
              <w:rPr>
                <w:sz w:val="18"/>
                <w:szCs w:val="18"/>
              </w:rPr>
            </w:pPr>
            <w:r w:rsidRPr="00310D6A">
              <w:rPr>
                <w:sz w:val="18"/>
                <w:szCs w:val="18"/>
              </w:rPr>
              <w:t>Przegląd zapisów dotyczących POIiŚ, w szczególności zasad wdrażania</w:t>
            </w:r>
          </w:p>
        </w:tc>
      </w:tr>
      <w:tr w:rsidR="00391608" w:rsidRPr="001633D6" w14:paraId="646BA920"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55F5DB07" w14:textId="77777777" w:rsidR="00AC6306" w:rsidRPr="00310D6A" w:rsidRDefault="00AC6306" w:rsidP="001F3093">
            <w:pPr>
              <w:rPr>
                <w:sz w:val="18"/>
                <w:szCs w:val="18"/>
              </w:rPr>
            </w:pPr>
            <w:r w:rsidRPr="00310D6A">
              <w:rPr>
                <w:sz w:val="18"/>
                <w:szCs w:val="18"/>
              </w:rPr>
              <w:t xml:space="preserve">Rozporządzenia Wykonawczego Komisji (UE) nr 215/2014 z dnia 7 marca 2014 r. </w:t>
            </w:r>
          </w:p>
        </w:tc>
        <w:tc>
          <w:tcPr>
            <w:tcW w:w="4361" w:type="dxa"/>
          </w:tcPr>
          <w:p w14:paraId="53E07169" w14:textId="77777777" w:rsidR="00AC6306" w:rsidRPr="00310D6A" w:rsidRDefault="00AC6306" w:rsidP="001F3093">
            <w:pPr>
              <w:rPr>
                <w:sz w:val="18"/>
                <w:szCs w:val="18"/>
              </w:rPr>
            </w:pPr>
            <w:r w:rsidRPr="00310D6A">
              <w:rPr>
                <w:sz w:val="18"/>
                <w:szCs w:val="18"/>
              </w:rPr>
              <w:t>Przegląd zapisów dotyczących POIiŚ, w szczególności zasad wdrażania</w:t>
            </w:r>
          </w:p>
        </w:tc>
      </w:tr>
      <w:tr w:rsidR="00391608" w:rsidRPr="001633D6" w14:paraId="17C1FB27" w14:textId="77777777" w:rsidTr="00AC6306">
        <w:tc>
          <w:tcPr>
            <w:tcW w:w="4678" w:type="dxa"/>
          </w:tcPr>
          <w:p w14:paraId="1144249E" w14:textId="77777777" w:rsidR="00AC6306" w:rsidRPr="00310D6A" w:rsidRDefault="00AC6306" w:rsidP="001F3093">
            <w:pPr>
              <w:rPr>
                <w:sz w:val="18"/>
                <w:szCs w:val="18"/>
              </w:rPr>
            </w:pPr>
            <w:r w:rsidRPr="00310D6A">
              <w:rPr>
                <w:sz w:val="18"/>
                <w:szCs w:val="18"/>
              </w:rPr>
              <w:t xml:space="preserve">Rozporządzenia Parlamentu Europejskiego i Rady (UE) nr 1300/2013 z dnia 17 grudnia 2013 r. </w:t>
            </w:r>
          </w:p>
        </w:tc>
        <w:tc>
          <w:tcPr>
            <w:tcW w:w="4361" w:type="dxa"/>
          </w:tcPr>
          <w:p w14:paraId="7E3D7BC4" w14:textId="77777777" w:rsidR="00AC6306" w:rsidRPr="00310D6A" w:rsidRDefault="00AC6306" w:rsidP="001F3093">
            <w:pPr>
              <w:jc w:val="left"/>
              <w:rPr>
                <w:sz w:val="18"/>
                <w:szCs w:val="18"/>
              </w:rPr>
            </w:pPr>
            <w:r w:rsidRPr="00310D6A">
              <w:rPr>
                <w:sz w:val="18"/>
                <w:szCs w:val="18"/>
              </w:rPr>
              <w:t>Przegląd zapisów dotyczących POIiŚ, w szczególności zasad wdrażania</w:t>
            </w:r>
          </w:p>
        </w:tc>
      </w:tr>
      <w:tr w:rsidR="00391608" w:rsidRPr="001633D6" w14:paraId="34E1134E"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07CCBED8" w14:textId="77777777" w:rsidR="00AC6306" w:rsidRPr="00310D6A" w:rsidRDefault="00AC6306" w:rsidP="001F3093">
            <w:pPr>
              <w:rPr>
                <w:sz w:val="18"/>
                <w:szCs w:val="18"/>
              </w:rPr>
            </w:pPr>
            <w:r w:rsidRPr="00310D6A">
              <w:rPr>
                <w:sz w:val="18"/>
                <w:szCs w:val="18"/>
              </w:rPr>
              <w:t xml:space="preserve">Rozporządzenia Parlamentu Europejskiego i Rady (UE) nr 1301/2013 z dnia 17 grudnia 2013 r. </w:t>
            </w:r>
          </w:p>
        </w:tc>
        <w:tc>
          <w:tcPr>
            <w:tcW w:w="4361" w:type="dxa"/>
          </w:tcPr>
          <w:p w14:paraId="54C2165F" w14:textId="77777777" w:rsidR="00AC6306" w:rsidRPr="00310D6A" w:rsidRDefault="00AC6306" w:rsidP="001F3093">
            <w:pPr>
              <w:jc w:val="left"/>
              <w:rPr>
                <w:sz w:val="18"/>
                <w:szCs w:val="18"/>
              </w:rPr>
            </w:pPr>
            <w:r w:rsidRPr="00310D6A">
              <w:rPr>
                <w:sz w:val="18"/>
                <w:szCs w:val="18"/>
              </w:rPr>
              <w:t>Przegląd zapisów dotyczących POIiŚ, w szczególności zasad wdrażania</w:t>
            </w:r>
          </w:p>
        </w:tc>
      </w:tr>
      <w:tr w:rsidR="00391608" w:rsidRPr="001633D6" w14:paraId="067A8E86" w14:textId="77777777" w:rsidTr="00AC6306">
        <w:tc>
          <w:tcPr>
            <w:tcW w:w="4678" w:type="dxa"/>
          </w:tcPr>
          <w:p w14:paraId="39AE542E" w14:textId="77777777" w:rsidR="00AC6306" w:rsidRPr="00310D6A" w:rsidRDefault="00AC6306" w:rsidP="001F3093">
            <w:pPr>
              <w:rPr>
                <w:sz w:val="18"/>
                <w:szCs w:val="18"/>
              </w:rPr>
            </w:pPr>
            <w:r w:rsidRPr="00310D6A">
              <w:rPr>
                <w:sz w:val="18"/>
                <w:szCs w:val="18"/>
              </w:rPr>
              <w:t>Ustawa z dnia 11 lipca 2014 r. o zasadach realizacji programów w zakresie polityki spójności finansowanych w perspektywie finansowej 2014–2020</w:t>
            </w:r>
          </w:p>
        </w:tc>
        <w:tc>
          <w:tcPr>
            <w:tcW w:w="4361" w:type="dxa"/>
          </w:tcPr>
          <w:p w14:paraId="6FE02F11" w14:textId="77777777" w:rsidR="00AC6306" w:rsidRPr="00310D6A" w:rsidRDefault="00AC6306" w:rsidP="001F3093">
            <w:pPr>
              <w:jc w:val="left"/>
              <w:rPr>
                <w:sz w:val="18"/>
                <w:szCs w:val="18"/>
              </w:rPr>
            </w:pPr>
            <w:r w:rsidRPr="00310D6A">
              <w:rPr>
                <w:sz w:val="18"/>
                <w:szCs w:val="18"/>
              </w:rPr>
              <w:t>Przegląd zapisów dotyczących POIiŚ, w szczególności zasad wdrażania</w:t>
            </w:r>
          </w:p>
        </w:tc>
      </w:tr>
      <w:tr w:rsidR="00391608" w:rsidRPr="001633D6" w14:paraId="228376A8"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26BA5B29" w14:textId="77777777" w:rsidR="00AC6306" w:rsidRPr="00310D6A" w:rsidRDefault="00AC6306" w:rsidP="001F3093">
            <w:pPr>
              <w:rPr>
                <w:sz w:val="18"/>
                <w:szCs w:val="18"/>
              </w:rPr>
            </w:pPr>
            <w:r w:rsidRPr="00310D6A">
              <w:rPr>
                <w:sz w:val="18"/>
                <w:szCs w:val="18"/>
              </w:rPr>
              <w:t>Strategia Europa 2020</w:t>
            </w:r>
          </w:p>
        </w:tc>
        <w:tc>
          <w:tcPr>
            <w:tcW w:w="4361" w:type="dxa"/>
          </w:tcPr>
          <w:p w14:paraId="5647FB60"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6C400BC7" w14:textId="77777777" w:rsidTr="00AC6306">
        <w:tc>
          <w:tcPr>
            <w:tcW w:w="4678" w:type="dxa"/>
          </w:tcPr>
          <w:p w14:paraId="286BCA46" w14:textId="77777777" w:rsidR="00AC6306" w:rsidRPr="00310D6A" w:rsidRDefault="00AC6306" w:rsidP="001F3093">
            <w:pPr>
              <w:rPr>
                <w:sz w:val="18"/>
                <w:szCs w:val="18"/>
              </w:rPr>
            </w:pPr>
            <w:r w:rsidRPr="00310D6A">
              <w:rPr>
                <w:sz w:val="18"/>
                <w:szCs w:val="18"/>
              </w:rPr>
              <w:t>Umowa Partnerstwa na lata 2014-2020 (UP 2014-2020)</w:t>
            </w:r>
          </w:p>
        </w:tc>
        <w:tc>
          <w:tcPr>
            <w:tcW w:w="4361" w:type="dxa"/>
          </w:tcPr>
          <w:p w14:paraId="4A3B9E98"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4E18B39D"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7010B3F9" w14:textId="77777777" w:rsidR="00AC6306" w:rsidRPr="00310D6A" w:rsidRDefault="00AC6306" w:rsidP="001F3093">
            <w:pPr>
              <w:rPr>
                <w:sz w:val="18"/>
                <w:szCs w:val="18"/>
              </w:rPr>
            </w:pPr>
            <w:r w:rsidRPr="00310D6A">
              <w:rPr>
                <w:sz w:val="18"/>
                <w:szCs w:val="18"/>
              </w:rPr>
              <w:t>Strategia na rzecz Odpowiedzialnego Rozwoju (SOR) do roku 2020 (z perspektywą do 2030 r.)</w:t>
            </w:r>
          </w:p>
        </w:tc>
        <w:tc>
          <w:tcPr>
            <w:tcW w:w="4361" w:type="dxa"/>
          </w:tcPr>
          <w:p w14:paraId="4BD539D6"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36A35A04" w14:textId="77777777" w:rsidTr="00AC6306">
        <w:tc>
          <w:tcPr>
            <w:tcW w:w="4678" w:type="dxa"/>
          </w:tcPr>
          <w:p w14:paraId="0C38A698" w14:textId="77777777" w:rsidR="00AC6306" w:rsidRDefault="00AC6306" w:rsidP="001F3093">
            <w:pPr>
              <w:rPr>
                <w:sz w:val="18"/>
                <w:szCs w:val="18"/>
              </w:rPr>
            </w:pPr>
            <w:r w:rsidRPr="00310D6A">
              <w:rPr>
                <w:sz w:val="18"/>
                <w:szCs w:val="18"/>
              </w:rPr>
              <w:t>Aktualne projekty strategii stanowiące instrumenty realizacji SOR oraz dokumenty wykonawcz</w:t>
            </w:r>
            <w:r w:rsidR="00AE21D2">
              <w:rPr>
                <w:sz w:val="18"/>
                <w:szCs w:val="18"/>
              </w:rPr>
              <w:t>e</w:t>
            </w:r>
            <w:r w:rsidRPr="00310D6A">
              <w:rPr>
                <w:sz w:val="18"/>
                <w:szCs w:val="18"/>
              </w:rPr>
              <w:t xml:space="preserve"> do tych strategii</w:t>
            </w:r>
            <w:r w:rsidR="00AE21D2">
              <w:rPr>
                <w:sz w:val="18"/>
                <w:szCs w:val="18"/>
              </w:rPr>
              <w:t>:</w:t>
            </w:r>
          </w:p>
          <w:p w14:paraId="38AABD03" w14:textId="57BD1952" w:rsidR="00AE21D2" w:rsidRDefault="00AE21D2" w:rsidP="001F3093">
            <w:pPr>
              <w:rPr>
                <w:sz w:val="18"/>
                <w:szCs w:val="18"/>
              </w:rPr>
            </w:pPr>
            <w:r>
              <w:rPr>
                <w:sz w:val="18"/>
                <w:szCs w:val="18"/>
              </w:rPr>
              <w:t xml:space="preserve">- </w:t>
            </w:r>
            <w:r w:rsidR="006C6495" w:rsidRPr="006C6495">
              <w:rPr>
                <w:sz w:val="18"/>
                <w:szCs w:val="18"/>
              </w:rPr>
              <w:t>Dokument Implementacyjn</w:t>
            </w:r>
            <w:r w:rsidR="006C6495">
              <w:rPr>
                <w:sz w:val="18"/>
                <w:szCs w:val="18"/>
              </w:rPr>
              <w:t>y</w:t>
            </w:r>
            <w:r w:rsidR="006C6495" w:rsidRPr="006C6495">
              <w:rPr>
                <w:sz w:val="18"/>
                <w:szCs w:val="18"/>
              </w:rPr>
              <w:t xml:space="preserve"> do Strategii Rozwoju Transportu</w:t>
            </w:r>
            <w:r w:rsidR="006C6495">
              <w:rPr>
                <w:sz w:val="18"/>
                <w:szCs w:val="18"/>
              </w:rPr>
              <w:t>,</w:t>
            </w:r>
          </w:p>
          <w:p w14:paraId="0C814BBD" w14:textId="5877A586" w:rsidR="006C6495" w:rsidRDefault="006C6495" w:rsidP="001F3093">
            <w:pPr>
              <w:rPr>
                <w:sz w:val="18"/>
                <w:szCs w:val="18"/>
              </w:rPr>
            </w:pPr>
            <w:r>
              <w:rPr>
                <w:sz w:val="18"/>
                <w:szCs w:val="18"/>
              </w:rPr>
              <w:t xml:space="preserve">- </w:t>
            </w:r>
            <w:r w:rsidRPr="006C6495">
              <w:rPr>
                <w:sz w:val="18"/>
                <w:szCs w:val="18"/>
              </w:rPr>
              <w:t>Strategia Zrównoważonego Rozwoju Transportu do 2030 roku</w:t>
            </w:r>
            <w:r>
              <w:rPr>
                <w:sz w:val="18"/>
                <w:szCs w:val="18"/>
              </w:rPr>
              <w:t>,</w:t>
            </w:r>
          </w:p>
          <w:p w14:paraId="24AF64F4" w14:textId="0115E18C" w:rsidR="006C6495" w:rsidRPr="00310D6A" w:rsidRDefault="006C6495" w:rsidP="001F3093">
            <w:pPr>
              <w:rPr>
                <w:sz w:val="18"/>
                <w:szCs w:val="18"/>
              </w:rPr>
            </w:pPr>
            <w:r>
              <w:rPr>
                <w:sz w:val="18"/>
                <w:szCs w:val="18"/>
              </w:rPr>
              <w:t xml:space="preserve">- </w:t>
            </w:r>
            <w:r w:rsidRPr="006C6495">
              <w:rPr>
                <w:sz w:val="18"/>
                <w:szCs w:val="18"/>
              </w:rPr>
              <w:t>S</w:t>
            </w:r>
            <w:r>
              <w:rPr>
                <w:sz w:val="18"/>
                <w:szCs w:val="18"/>
              </w:rPr>
              <w:t>prawozdanie</w:t>
            </w:r>
            <w:r w:rsidRPr="006C6495">
              <w:rPr>
                <w:sz w:val="18"/>
                <w:szCs w:val="18"/>
              </w:rPr>
              <w:t xml:space="preserve"> z przebiegu i wyników konsultacji społecznych projektu Strategii Zrównoważonego Rozwoju Transportu do 2030 roku</w:t>
            </w:r>
            <w:r>
              <w:rPr>
                <w:sz w:val="18"/>
                <w:szCs w:val="18"/>
              </w:rPr>
              <w:t>.</w:t>
            </w:r>
          </w:p>
        </w:tc>
        <w:tc>
          <w:tcPr>
            <w:tcW w:w="4361" w:type="dxa"/>
          </w:tcPr>
          <w:p w14:paraId="77C0B316" w14:textId="77777777" w:rsidR="00AC6306" w:rsidRPr="00310D6A" w:rsidRDefault="00AC6306" w:rsidP="001F3093">
            <w:pPr>
              <w:rPr>
                <w:sz w:val="18"/>
                <w:szCs w:val="18"/>
              </w:rPr>
            </w:pPr>
            <w:r w:rsidRPr="00310D6A">
              <w:rPr>
                <w:sz w:val="18"/>
                <w:szCs w:val="18"/>
              </w:rPr>
              <w:t>Odtworzenie logiki interwencji</w:t>
            </w:r>
          </w:p>
        </w:tc>
      </w:tr>
      <w:tr w:rsidR="00391608" w:rsidRPr="001633D6" w14:paraId="734041CF" w14:textId="77777777" w:rsidTr="00AC6306">
        <w:trPr>
          <w:cnfStyle w:val="000000100000" w:firstRow="0" w:lastRow="0" w:firstColumn="0" w:lastColumn="0" w:oddVBand="0" w:evenVBand="0" w:oddHBand="1" w:evenHBand="0" w:firstRowFirstColumn="0" w:firstRowLastColumn="0" w:lastRowFirstColumn="0" w:lastRowLastColumn="0"/>
        </w:trPr>
        <w:tc>
          <w:tcPr>
            <w:tcW w:w="4678" w:type="dxa"/>
          </w:tcPr>
          <w:p w14:paraId="1ED7DD64" w14:textId="1C63908A" w:rsidR="006C6495" w:rsidRDefault="00AC6306" w:rsidP="001F3093">
            <w:pPr>
              <w:rPr>
                <w:sz w:val="18"/>
                <w:szCs w:val="18"/>
              </w:rPr>
            </w:pPr>
            <w:r w:rsidRPr="00310D6A">
              <w:rPr>
                <w:sz w:val="18"/>
                <w:szCs w:val="18"/>
              </w:rPr>
              <w:lastRenderedPageBreak/>
              <w:t>Pozostałe wytyczne i zalecenia Komisji Europejskiej</w:t>
            </w:r>
            <w:r w:rsidR="006C6495">
              <w:rPr>
                <w:sz w:val="18"/>
                <w:szCs w:val="18"/>
              </w:rPr>
              <w:t>:</w:t>
            </w:r>
          </w:p>
          <w:p w14:paraId="19AC658B" w14:textId="0C5044A1" w:rsidR="00AC6306" w:rsidRDefault="003439C9" w:rsidP="001F3093">
            <w:pPr>
              <w:rPr>
                <w:sz w:val="18"/>
                <w:szCs w:val="18"/>
              </w:rPr>
            </w:pPr>
            <w:r>
              <w:rPr>
                <w:sz w:val="18"/>
                <w:szCs w:val="18"/>
              </w:rPr>
              <w:t xml:space="preserve">- COM(2011) 681, Odnowiona strategia UE na lata 2011-2014 dotycząca społecznej odpowiedzialności przedsiębiorstw (CSR, </w:t>
            </w:r>
            <w:proofErr w:type="spellStart"/>
            <w:r w:rsidRPr="003439C9">
              <w:rPr>
                <w:i/>
                <w:sz w:val="18"/>
                <w:szCs w:val="18"/>
              </w:rPr>
              <w:t>Corporate</w:t>
            </w:r>
            <w:proofErr w:type="spellEnd"/>
            <w:r w:rsidRPr="003439C9">
              <w:rPr>
                <w:i/>
                <w:sz w:val="18"/>
                <w:szCs w:val="18"/>
              </w:rPr>
              <w:t xml:space="preserve"> </w:t>
            </w:r>
            <w:proofErr w:type="spellStart"/>
            <w:r w:rsidRPr="003439C9">
              <w:rPr>
                <w:i/>
                <w:sz w:val="18"/>
                <w:szCs w:val="18"/>
              </w:rPr>
              <w:t>Social</w:t>
            </w:r>
            <w:proofErr w:type="spellEnd"/>
            <w:r w:rsidRPr="003439C9">
              <w:rPr>
                <w:i/>
                <w:sz w:val="18"/>
                <w:szCs w:val="18"/>
              </w:rPr>
              <w:t xml:space="preserve"> </w:t>
            </w:r>
            <w:proofErr w:type="spellStart"/>
            <w:r w:rsidRPr="003439C9">
              <w:rPr>
                <w:i/>
                <w:sz w:val="18"/>
                <w:szCs w:val="18"/>
              </w:rPr>
              <w:t>Responsibility</w:t>
            </w:r>
            <w:proofErr w:type="spellEnd"/>
            <w:r>
              <w:rPr>
                <w:sz w:val="18"/>
                <w:szCs w:val="18"/>
              </w:rPr>
              <w:t>),</w:t>
            </w:r>
          </w:p>
          <w:p w14:paraId="18D01863" w14:textId="77777777" w:rsidR="003439C9" w:rsidRDefault="003439C9" w:rsidP="003439C9">
            <w:pPr>
              <w:rPr>
                <w:sz w:val="18"/>
                <w:szCs w:val="18"/>
              </w:rPr>
            </w:pPr>
            <w:r>
              <w:rPr>
                <w:sz w:val="18"/>
                <w:szCs w:val="18"/>
              </w:rPr>
              <w:t>- COM(2013) 913, Wspólne dążenie do osiągnięcia konkurencyjnej i zasobooszczędnej mobilności w miastach,</w:t>
            </w:r>
          </w:p>
          <w:p w14:paraId="33C10B38" w14:textId="6840D93A" w:rsidR="006C6495" w:rsidRPr="00310D6A" w:rsidRDefault="006C6495" w:rsidP="003439C9">
            <w:pPr>
              <w:rPr>
                <w:sz w:val="18"/>
                <w:szCs w:val="18"/>
              </w:rPr>
            </w:pPr>
            <w:r>
              <w:rPr>
                <w:sz w:val="18"/>
                <w:szCs w:val="18"/>
              </w:rPr>
              <w:t xml:space="preserve">- </w:t>
            </w:r>
            <w:r w:rsidR="003439C9">
              <w:rPr>
                <w:sz w:val="18"/>
                <w:szCs w:val="18"/>
              </w:rPr>
              <w:t xml:space="preserve">COM(2016) 501, </w:t>
            </w:r>
            <w:r w:rsidR="00A17CC1">
              <w:rPr>
                <w:sz w:val="18"/>
                <w:szCs w:val="18"/>
              </w:rPr>
              <w:t>Europejska Strategia na Rzecz Mobilności Niskoemisyjnej</w:t>
            </w:r>
            <w:r w:rsidR="003439C9">
              <w:rPr>
                <w:sz w:val="18"/>
                <w:szCs w:val="18"/>
              </w:rPr>
              <w:t>.</w:t>
            </w:r>
          </w:p>
        </w:tc>
        <w:tc>
          <w:tcPr>
            <w:tcW w:w="4361" w:type="dxa"/>
          </w:tcPr>
          <w:p w14:paraId="0FD82CED" w14:textId="77777777" w:rsidR="00AC6306" w:rsidRPr="00310D6A" w:rsidRDefault="00AC6306" w:rsidP="001F3093">
            <w:pPr>
              <w:jc w:val="left"/>
              <w:rPr>
                <w:sz w:val="18"/>
                <w:szCs w:val="18"/>
              </w:rPr>
            </w:pPr>
            <w:r w:rsidRPr="00310D6A">
              <w:rPr>
                <w:sz w:val="18"/>
                <w:szCs w:val="18"/>
              </w:rPr>
              <w:t>Uzupełnienie przeglądu pozostałych dokumentów</w:t>
            </w:r>
          </w:p>
        </w:tc>
      </w:tr>
    </w:tbl>
    <w:p w14:paraId="03298782" w14:textId="77777777" w:rsidR="00AC6306" w:rsidRPr="001633D6" w:rsidRDefault="00AC6306" w:rsidP="00AC6306">
      <w:pPr>
        <w:pStyle w:val="rdo"/>
        <w:rPr>
          <w:color w:val="auto"/>
        </w:rPr>
      </w:pPr>
      <w:bookmarkStart w:id="44" w:name="_Hlk23953751"/>
      <w:r w:rsidRPr="001633D6">
        <w:rPr>
          <w:color w:val="auto"/>
        </w:rPr>
        <w:t>Źródło: opracowanie własne.</w:t>
      </w:r>
    </w:p>
    <w:p w14:paraId="17859C01" w14:textId="77777777" w:rsidR="00AC6306" w:rsidRPr="001633D6" w:rsidRDefault="00AC6306" w:rsidP="00AC6306">
      <w:pPr>
        <w:pStyle w:val="Nagwek3"/>
      </w:pPr>
      <w:bookmarkStart w:id="45" w:name="_Toc12409975"/>
      <w:bookmarkStart w:id="46" w:name="_Toc27125325"/>
      <w:bookmarkEnd w:id="44"/>
      <w:r w:rsidRPr="001633D6">
        <w:t>Analiza danych statystycznych</w:t>
      </w:r>
      <w:bookmarkEnd w:id="45"/>
      <w:bookmarkEnd w:id="46"/>
    </w:p>
    <w:p w14:paraId="7BBE7DE5" w14:textId="2B30959A" w:rsidR="00AC6306" w:rsidRPr="001633D6" w:rsidRDefault="00AC6306" w:rsidP="00AC6306">
      <w:r w:rsidRPr="001633D6">
        <w:t>Listę kategorii danych statystycznych</w:t>
      </w:r>
      <w:r w:rsidR="002E25DD" w:rsidRPr="001633D6">
        <w:t>, które przeanalizowano</w:t>
      </w:r>
      <w:r w:rsidRPr="001633D6">
        <w:t xml:space="preserve"> </w:t>
      </w:r>
      <w:r w:rsidR="002E25DD" w:rsidRPr="001633D6">
        <w:t>w</w:t>
      </w:r>
      <w:r w:rsidRPr="001633D6">
        <w:t xml:space="preserve">raz ze źródłem i celem analizy zawiera </w:t>
      </w:r>
      <w:r w:rsidRPr="001633D6">
        <w:fldChar w:fldCharType="begin"/>
      </w:r>
      <w:r w:rsidRPr="001633D6">
        <w:instrText xml:space="preserve"> REF _Ref7178866 \h </w:instrText>
      </w:r>
      <w:r w:rsidRPr="001633D6">
        <w:fldChar w:fldCharType="separate"/>
      </w:r>
      <w:r w:rsidR="00C93FD7" w:rsidRPr="001633D6">
        <w:t xml:space="preserve">Tabela </w:t>
      </w:r>
      <w:r w:rsidR="00C93FD7">
        <w:rPr>
          <w:noProof/>
        </w:rPr>
        <w:t>5</w:t>
      </w:r>
      <w:r w:rsidRPr="001633D6">
        <w:fldChar w:fldCharType="end"/>
      </w:r>
      <w:r w:rsidRPr="001633D6">
        <w:t xml:space="preserve">. </w:t>
      </w:r>
    </w:p>
    <w:p w14:paraId="55F0A87C" w14:textId="510CD1F1" w:rsidR="00AC6306" w:rsidRPr="001633D6" w:rsidRDefault="00AC6306" w:rsidP="00AC6306">
      <w:pPr>
        <w:pStyle w:val="Legenda"/>
        <w:rPr>
          <w:color w:val="auto"/>
        </w:rPr>
      </w:pPr>
      <w:bookmarkStart w:id="47" w:name="_Ref7178866"/>
      <w:bookmarkStart w:id="48" w:name="_Toc27125363"/>
      <w:r w:rsidRPr="001633D6">
        <w:rPr>
          <w:color w:val="auto"/>
        </w:rPr>
        <w:t xml:space="preserve">Tabela </w:t>
      </w:r>
      <w:r w:rsidRPr="001633D6">
        <w:rPr>
          <w:noProof/>
          <w:color w:val="auto"/>
        </w:rPr>
        <w:fldChar w:fldCharType="begin"/>
      </w:r>
      <w:r w:rsidRPr="001633D6">
        <w:rPr>
          <w:noProof/>
          <w:color w:val="auto"/>
        </w:rPr>
        <w:instrText xml:space="preserve"> SEQ Tabela \* ARABIC </w:instrText>
      </w:r>
      <w:r w:rsidRPr="001633D6">
        <w:rPr>
          <w:noProof/>
          <w:color w:val="auto"/>
        </w:rPr>
        <w:fldChar w:fldCharType="separate"/>
      </w:r>
      <w:r w:rsidR="00C93FD7">
        <w:rPr>
          <w:noProof/>
          <w:color w:val="auto"/>
        </w:rPr>
        <w:t>5</w:t>
      </w:r>
      <w:r w:rsidRPr="001633D6">
        <w:rPr>
          <w:noProof/>
          <w:color w:val="auto"/>
        </w:rPr>
        <w:fldChar w:fldCharType="end"/>
      </w:r>
      <w:bookmarkEnd w:id="47"/>
      <w:r w:rsidRPr="001633D6">
        <w:rPr>
          <w:color w:val="auto"/>
        </w:rPr>
        <w:t xml:space="preserve">. Lista kategorii </w:t>
      </w:r>
      <w:r w:rsidR="002E25DD" w:rsidRPr="001633D6">
        <w:rPr>
          <w:color w:val="auto"/>
        </w:rPr>
        <w:t xml:space="preserve">przeanalizowanych </w:t>
      </w:r>
      <w:r w:rsidRPr="001633D6">
        <w:rPr>
          <w:color w:val="auto"/>
        </w:rPr>
        <w:t xml:space="preserve">danych statystycznych </w:t>
      </w:r>
      <w:r w:rsidR="002E25DD" w:rsidRPr="001633D6">
        <w:rPr>
          <w:color w:val="auto"/>
        </w:rPr>
        <w:t>z</w:t>
      </w:r>
      <w:r w:rsidRPr="001633D6">
        <w:rPr>
          <w:color w:val="auto"/>
        </w:rPr>
        <w:t>e źródłem i celem analizy</w:t>
      </w:r>
      <w:bookmarkEnd w:id="48"/>
    </w:p>
    <w:tbl>
      <w:tblPr>
        <w:tblStyle w:val="WolanskiCorpTabela2"/>
        <w:tblW w:w="0" w:type="auto"/>
        <w:tblLook w:val="0420" w:firstRow="1" w:lastRow="0" w:firstColumn="0" w:lastColumn="0" w:noHBand="0" w:noVBand="1"/>
      </w:tblPr>
      <w:tblGrid>
        <w:gridCol w:w="2883"/>
        <w:gridCol w:w="2861"/>
        <w:gridCol w:w="2759"/>
      </w:tblGrid>
      <w:tr w:rsidR="00391608" w:rsidRPr="001633D6" w14:paraId="6BD20CF6" w14:textId="77777777" w:rsidTr="001F3093">
        <w:trPr>
          <w:cnfStyle w:val="100000000000" w:firstRow="1" w:lastRow="0" w:firstColumn="0" w:lastColumn="0" w:oddVBand="0" w:evenVBand="0" w:oddHBand="0" w:evenHBand="0" w:firstRowFirstColumn="0" w:firstRowLastColumn="0" w:lastRowFirstColumn="0" w:lastRowLastColumn="0"/>
        </w:trPr>
        <w:tc>
          <w:tcPr>
            <w:tcW w:w="2883" w:type="dxa"/>
          </w:tcPr>
          <w:p w14:paraId="0C7C8547" w14:textId="77777777" w:rsidR="00AC6306" w:rsidRPr="00310D6A" w:rsidRDefault="00AC6306" w:rsidP="001F3093">
            <w:pPr>
              <w:rPr>
                <w:sz w:val="18"/>
                <w:szCs w:val="18"/>
              </w:rPr>
            </w:pPr>
            <w:r w:rsidRPr="00310D6A">
              <w:rPr>
                <w:sz w:val="18"/>
                <w:szCs w:val="18"/>
              </w:rPr>
              <w:t>Źródło danych</w:t>
            </w:r>
          </w:p>
        </w:tc>
        <w:tc>
          <w:tcPr>
            <w:tcW w:w="2861" w:type="dxa"/>
          </w:tcPr>
          <w:p w14:paraId="20119B4F" w14:textId="77777777" w:rsidR="00AC6306" w:rsidRPr="00310D6A" w:rsidRDefault="00AC6306" w:rsidP="001F3093">
            <w:pPr>
              <w:jc w:val="left"/>
              <w:rPr>
                <w:sz w:val="18"/>
                <w:szCs w:val="18"/>
              </w:rPr>
            </w:pPr>
            <w:r w:rsidRPr="00310D6A">
              <w:rPr>
                <w:sz w:val="18"/>
                <w:szCs w:val="18"/>
              </w:rPr>
              <w:t>kategoria danych</w:t>
            </w:r>
          </w:p>
        </w:tc>
        <w:tc>
          <w:tcPr>
            <w:tcW w:w="2759" w:type="dxa"/>
          </w:tcPr>
          <w:p w14:paraId="5E7FE71C" w14:textId="77777777" w:rsidR="00AC6306" w:rsidRPr="00310D6A" w:rsidRDefault="00AC6306" w:rsidP="001F3093">
            <w:pPr>
              <w:rPr>
                <w:sz w:val="18"/>
                <w:szCs w:val="18"/>
              </w:rPr>
            </w:pPr>
            <w:r w:rsidRPr="00310D6A">
              <w:rPr>
                <w:sz w:val="18"/>
                <w:szCs w:val="18"/>
              </w:rPr>
              <w:t>cel analizy</w:t>
            </w:r>
          </w:p>
        </w:tc>
      </w:tr>
      <w:tr w:rsidR="00391608" w:rsidRPr="001633D6" w14:paraId="4F60F606" w14:textId="77777777" w:rsidTr="001F3093">
        <w:trPr>
          <w:cnfStyle w:val="000000100000" w:firstRow="0" w:lastRow="0" w:firstColumn="0" w:lastColumn="0" w:oddVBand="0" w:evenVBand="0" w:oddHBand="1" w:evenHBand="0" w:firstRowFirstColumn="0" w:firstRowLastColumn="0" w:lastRowFirstColumn="0" w:lastRowLastColumn="0"/>
        </w:trPr>
        <w:tc>
          <w:tcPr>
            <w:tcW w:w="2883" w:type="dxa"/>
          </w:tcPr>
          <w:p w14:paraId="744839DE" w14:textId="77777777" w:rsidR="00AC6306" w:rsidRPr="00310D6A" w:rsidRDefault="00AC6306" w:rsidP="001F3093">
            <w:pPr>
              <w:rPr>
                <w:sz w:val="18"/>
                <w:szCs w:val="18"/>
              </w:rPr>
            </w:pPr>
            <w:r w:rsidRPr="00310D6A">
              <w:rPr>
                <w:sz w:val="18"/>
                <w:szCs w:val="18"/>
              </w:rPr>
              <w:t>BDL GUS</w:t>
            </w:r>
          </w:p>
        </w:tc>
        <w:tc>
          <w:tcPr>
            <w:tcW w:w="2861" w:type="dxa"/>
          </w:tcPr>
          <w:p w14:paraId="11E0E746" w14:textId="77777777" w:rsidR="00AC6306" w:rsidRPr="00310D6A" w:rsidRDefault="00AC6306" w:rsidP="001F3093">
            <w:pPr>
              <w:jc w:val="left"/>
              <w:rPr>
                <w:sz w:val="18"/>
                <w:szCs w:val="18"/>
              </w:rPr>
            </w:pPr>
            <w:r w:rsidRPr="00310D6A">
              <w:rPr>
                <w:sz w:val="18"/>
                <w:szCs w:val="18"/>
              </w:rPr>
              <w:t>Wskaźniki kontekstowe dot. interwencji</w:t>
            </w:r>
          </w:p>
        </w:tc>
        <w:tc>
          <w:tcPr>
            <w:tcW w:w="2759" w:type="dxa"/>
          </w:tcPr>
          <w:p w14:paraId="7C151203" w14:textId="77777777" w:rsidR="00AC6306" w:rsidRPr="00310D6A" w:rsidRDefault="00AC6306" w:rsidP="001F3093">
            <w:pPr>
              <w:jc w:val="left"/>
              <w:rPr>
                <w:sz w:val="18"/>
                <w:szCs w:val="18"/>
              </w:rPr>
            </w:pPr>
            <w:r w:rsidRPr="00310D6A">
              <w:rPr>
                <w:sz w:val="18"/>
                <w:szCs w:val="18"/>
              </w:rPr>
              <w:t>Pozyskanie wartości obligatoryjnych wskaźników rezultatu do badania</w:t>
            </w:r>
          </w:p>
        </w:tc>
      </w:tr>
      <w:tr w:rsidR="002E25DD" w:rsidRPr="001633D6" w14:paraId="4EF34B9E" w14:textId="77777777" w:rsidTr="001F3093">
        <w:tc>
          <w:tcPr>
            <w:tcW w:w="2883" w:type="dxa"/>
          </w:tcPr>
          <w:p w14:paraId="55CB249D" w14:textId="77777777" w:rsidR="00AC6306" w:rsidRPr="00310D6A" w:rsidRDefault="00AC6306" w:rsidP="001F3093">
            <w:pPr>
              <w:rPr>
                <w:sz w:val="18"/>
                <w:szCs w:val="18"/>
              </w:rPr>
            </w:pPr>
            <w:r w:rsidRPr="00310D6A">
              <w:rPr>
                <w:sz w:val="18"/>
                <w:szCs w:val="18"/>
              </w:rPr>
              <w:t xml:space="preserve">API Google </w:t>
            </w:r>
            <w:proofErr w:type="spellStart"/>
            <w:r w:rsidRPr="00310D6A">
              <w:rPr>
                <w:sz w:val="18"/>
                <w:szCs w:val="18"/>
              </w:rPr>
              <w:t>Maps</w:t>
            </w:r>
            <w:proofErr w:type="spellEnd"/>
          </w:p>
        </w:tc>
        <w:tc>
          <w:tcPr>
            <w:tcW w:w="2861" w:type="dxa"/>
          </w:tcPr>
          <w:p w14:paraId="6D486C1B" w14:textId="77777777" w:rsidR="00AC6306" w:rsidRPr="00310D6A" w:rsidRDefault="00AC6306" w:rsidP="001F3093">
            <w:pPr>
              <w:jc w:val="left"/>
              <w:rPr>
                <w:sz w:val="18"/>
                <w:szCs w:val="18"/>
              </w:rPr>
            </w:pPr>
            <w:r w:rsidRPr="00310D6A">
              <w:rPr>
                <w:sz w:val="18"/>
                <w:szCs w:val="18"/>
              </w:rPr>
              <w:t>Dane o realnych czasach przejazdu transportem indywidualnym</w:t>
            </w:r>
          </w:p>
        </w:tc>
        <w:tc>
          <w:tcPr>
            <w:tcW w:w="2759" w:type="dxa"/>
          </w:tcPr>
          <w:p w14:paraId="0E68362E" w14:textId="77777777" w:rsidR="00AC6306" w:rsidRPr="00310D6A" w:rsidRDefault="00AC6306" w:rsidP="001F3093">
            <w:pPr>
              <w:jc w:val="left"/>
              <w:rPr>
                <w:sz w:val="18"/>
                <w:szCs w:val="18"/>
              </w:rPr>
            </w:pPr>
            <w:r w:rsidRPr="00310D6A">
              <w:rPr>
                <w:sz w:val="18"/>
                <w:szCs w:val="18"/>
              </w:rPr>
              <w:t>Pozyskanie wartości obligatoryjnych wskaźników rezultatu do badania</w:t>
            </w:r>
          </w:p>
        </w:tc>
      </w:tr>
      <w:tr w:rsidR="002E25DD" w:rsidRPr="001633D6" w14:paraId="35617792" w14:textId="77777777" w:rsidTr="001F3093">
        <w:trPr>
          <w:cnfStyle w:val="000000100000" w:firstRow="0" w:lastRow="0" w:firstColumn="0" w:lastColumn="0" w:oddVBand="0" w:evenVBand="0" w:oddHBand="1" w:evenHBand="0" w:firstRowFirstColumn="0" w:firstRowLastColumn="0" w:lastRowFirstColumn="0" w:lastRowLastColumn="0"/>
        </w:trPr>
        <w:tc>
          <w:tcPr>
            <w:tcW w:w="2883" w:type="dxa"/>
          </w:tcPr>
          <w:p w14:paraId="66A8BC1F" w14:textId="77777777" w:rsidR="00AC6306" w:rsidRPr="00310D6A" w:rsidRDefault="00AC6306" w:rsidP="001F3093">
            <w:pPr>
              <w:jc w:val="left"/>
              <w:rPr>
                <w:sz w:val="18"/>
                <w:szCs w:val="18"/>
              </w:rPr>
            </w:pPr>
            <w:r w:rsidRPr="00310D6A">
              <w:rPr>
                <w:sz w:val="18"/>
                <w:szCs w:val="18"/>
              </w:rPr>
              <w:t>Bazy organizatorów transportu publicznego (ITS, autokomputery)</w:t>
            </w:r>
          </w:p>
        </w:tc>
        <w:tc>
          <w:tcPr>
            <w:tcW w:w="2861" w:type="dxa"/>
          </w:tcPr>
          <w:p w14:paraId="7245D54A" w14:textId="77777777" w:rsidR="00AC6306" w:rsidRPr="00310D6A" w:rsidRDefault="00AC6306" w:rsidP="001F3093">
            <w:pPr>
              <w:jc w:val="left"/>
              <w:rPr>
                <w:sz w:val="18"/>
                <w:szCs w:val="18"/>
              </w:rPr>
            </w:pPr>
            <w:r w:rsidRPr="00310D6A">
              <w:rPr>
                <w:sz w:val="18"/>
                <w:szCs w:val="18"/>
              </w:rPr>
              <w:t>Dane o realnych czasach przejazdu transportem publicznym</w:t>
            </w:r>
          </w:p>
        </w:tc>
        <w:tc>
          <w:tcPr>
            <w:tcW w:w="2759" w:type="dxa"/>
          </w:tcPr>
          <w:p w14:paraId="7C146487" w14:textId="77777777" w:rsidR="00AC6306" w:rsidRPr="00310D6A" w:rsidRDefault="00AC6306" w:rsidP="001F3093">
            <w:pPr>
              <w:jc w:val="left"/>
              <w:rPr>
                <w:sz w:val="18"/>
                <w:szCs w:val="18"/>
              </w:rPr>
            </w:pPr>
            <w:r w:rsidRPr="00310D6A">
              <w:rPr>
                <w:sz w:val="18"/>
                <w:szCs w:val="18"/>
              </w:rPr>
              <w:t>Pozyskanie wartości obligatoryjnych wskaźników rezultatu do badania</w:t>
            </w:r>
          </w:p>
        </w:tc>
      </w:tr>
      <w:tr w:rsidR="002E25DD" w:rsidRPr="001633D6" w14:paraId="39C4D179" w14:textId="77777777" w:rsidTr="001F3093">
        <w:tc>
          <w:tcPr>
            <w:tcW w:w="2883" w:type="dxa"/>
          </w:tcPr>
          <w:p w14:paraId="7734DE7F" w14:textId="77777777" w:rsidR="00AC6306" w:rsidRPr="00310D6A" w:rsidRDefault="00AC6306" w:rsidP="001F3093">
            <w:pPr>
              <w:rPr>
                <w:sz w:val="18"/>
                <w:szCs w:val="18"/>
              </w:rPr>
            </w:pPr>
            <w:r w:rsidRPr="00310D6A">
              <w:rPr>
                <w:sz w:val="18"/>
                <w:szCs w:val="18"/>
              </w:rPr>
              <w:t>SEWIK</w:t>
            </w:r>
          </w:p>
        </w:tc>
        <w:tc>
          <w:tcPr>
            <w:tcW w:w="2861" w:type="dxa"/>
          </w:tcPr>
          <w:p w14:paraId="4248B2C3" w14:textId="77777777" w:rsidR="00AC6306" w:rsidRPr="00310D6A" w:rsidRDefault="00AC6306" w:rsidP="001F3093">
            <w:pPr>
              <w:jc w:val="left"/>
              <w:rPr>
                <w:sz w:val="18"/>
                <w:szCs w:val="18"/>
              </w:rPr>
            </w:pPr>
            <w:r w:rsidRPr="00310D6A">
              <w:rPr>
                <w:sz w:val="18"/>
                <w:szCs w:val="18"/>
              </w:rPr>
              <w:t>Dane o liczbie wypadków z udziałem pojazdów komunikacji miejskiej i liczbie ofiar śmiertelnych wypadków drogowych</w:t>
            </w:r>
          </w:p>
        </w:tc>
        <w:tc>
          <w:tcPr>
            <w:tcW w:w="2759" w:type="dxa"/>
          </w:tcPr>
          <w:p w14:paraId="79FEA9CB" w14:textId="77777777" w:rsidR="00AC6306" w:rsidRPr="00310D6A" w:rsidRDefault="00AC6306" w:rsidP="001F3093">
            <w:pPr>
              <w:jc w:val="left"/>
              <w:rPr>
                <w:sz w:val="18"/>
                <w:szCs w:val="18"/>
              </w:rPr>
            </w:pPr>
            <w:r w:rsidRPr="00310D6A">
              <w:rPr>
                <w:sz w:val="18"/>
                <w:szCs w:val="18"/>
              </w:rPr>
              <w:t>Pozyskanie wartości obligatoryjnych wskaźników rezultatu do badania</w:t>
            </w:r>
          </w:p>
        </w:tc>
      </w:tr>
      <w:tr w:rsidR="002E25DD" w:rsidRPr="001633D6" w14:paraId="0EF32E14" w14:textId="77777777" w:rsidTr="001F3093">
        <w:trPr>
          <w:cnfStyle w:val="000000100000" w:firstRow="0" w:lastRow="0" w:firstColumn="0" w:lastColumn="0" w:oddVBand="0" w:evenVBand="0" w:oddHBand="1" w:evenHBand="0" w:firstRowFirstColumn="0" w:firstRowLastColumn="0" w:lastRowFirstColumn="0" w:lastRowLastColumn="0"/>
        </w:trPr>
        <w:tc>
          <w:tcPr>
            <w:tcW w:w="2883" w:type="dxa"/>
          </w:tcPr>
          <w:p w14:paraId="4EA4EB31" w14:textId="77777777" w:rsidR="00AC6306" w:rsidRPr="00310D6A" w:rsidRDefault="00AC6306" w:rsidP="001F3093">
            <w:pPr>
              <w:jc w:val="left"/>
              <w:rPr>
                <w:sz w:val="18"/>
                <w:szCs w:val="18"/>
              </w:rPr>
            </w:pPr>
            <w:r w:rsidRPr="00310D6A">
              <w:rPr>
                <w:sz w:val="18"/>
                <w:szCs w:val="18"/>
              </w:rPr>
              <w:t>Baza danych z badania pilotażowego</w:t>
            </w:r>
          </w:p>
        </w:tc>
        <w:tc>
          <w:tcPr>
            <w:tcW w:w="2861" w:type="dxa"/>
          </w:tcPr>
          <w:p w14:paraId="27DFA7A5" w14:textId="77777777" w:rsidR="00AC6306" w:rsidRPr="00310D6A" w:rsidRDefault="00AC6306" w:rsidP="001F3093">
            <w:pPr>
              <w:jc w:val="left"/>
              <w:rPr>
                <w:sz w:val="18"/>
                <w:szCs w:val="18"/>
              </w:rPr>
            </w:pPr>
            <w:r w:rsidRPr="00310D6A">
              <w:rPr>
                <w:sz w:val="18"/>
                <w:szCs w:val="18"/>
              </w:rPr>
              <w:t>Wskaźniki kontekstowe dot. interwencji</w:t>
            </w:r>
          </w:p>
        </w:tc>
        <w:tc>
          <w:tcPr>
            <w:tcW w:w="2759" w:type="dxa"/>
          </w:tcPr>
          <w:p w14:paraId="4A2F2D8C" w14:textId="77777777" w:rsidR="00AC6306" w:rsidRPr="00310D6A" w:rsidRDefault="00AC6306" w:rsidP="001F3093">
            <w:pPr>
              <w:jc w:val="left"/>
              <w:rPr>
                <w:sz w:val="18"/>
                <w:szCs w:val="18"/>
              </w:rPr>
            </w:pPr>
            <w:r w:rsidRPr="00310D6A">
              <w:rPr>
                <w:sz w:val="18"/>
                <w:szCs w:val="18"/>
              </w:rPr>
              <w:t>Pozyskanie wartości obligatoryjnych wskaźników produktu i rezultatu do badania</w:t>
            </w:r>
          </w:p>
        </w:tc>
      </w:tr>
    </w:tbl>
    <w:p w14:paraId="223B5D0E" w14:textId="77777777" w:rsidR="00AC6306" w:rsidRPr="001633D6" w:rsidRDefault="00AC6306" w:rsidP="00AC6306">
      <w:pPr>
        <w:pStyle w:val="rdo"/>
        <w:rPr>
          <w:color w:val="auto"/>
        </w:rPr>
      </w:pPr>
      <w:r w:rsidRPr="001633D6">
        <w:rPr>
          <w:color w:val="auto"/>
        </w:rPr>
        <w:t>Źródło: opracowanie własne.</w:t>
      </w:r>
    </w:p>
    <w:p w14:paraId="22368730" w14:textId="20ED0AE4" w:rsidR="00FE6EF8" w:rsidRPr="001633D6" w:rsidRDefault="00FE6EF8" w:rsidP="00FE6EF8">
      <w:pPr>
        <w:pStyle w:val="Nagwek2"/>
        <w:rPr>
          <w:color w:val="auto"/>
        </w:rPr>
      </w:pPr>
      <w:bookmarkStart w:id="49" w:name="_Toc27125326"/>
      <w:r w:rsidRPr="001633D6">
        <w:rPr>
          <w:color w:val="auto"/>
        </w:rPr>
        <w:lastRenderedPageBreak/>
        <w:t>Analizy przestrzenne</w:t>
      </w:r>
      <w:bookmarkEnd w:id="49"/>
    </w:p>
    <w:p w14:paraId="758E6704" w14:textId="25AE5F02" w:rsidR="00AE04BA" w:rsidRPr="001633D6" w:rsidRDefault="00AE04BA" w:rsidP="00AE04BA">
      <w:r w:rsidRPr="001633D6">
        <w:t>W ramach analizy przestrzennej w niniejszym badaniu oznaczono:</w:t>
      </w:r>
    </w:p>
    <w:p w14:paraId="7313058D" w14:textId="7FA6142A" w:rsidR="00AE04BA" w:rsidRPr="001633D6" w:rsidRDefault="00AE04BA" w:rsidP="001B2A4E">
      <w:pPr>
        <w:pStyle w:val="Akapitzlist"/>
        <w:numPr>
          <w:ilvl w:val="0"/>
          <w:numId w:val="41"/>
        </w:numPr>
      </w:pPr>
      <w:r w:rsidRPr="001633D6">
        <w:t>dokładną lokalizację najważniejszych inwestycji infrastrukturalnych w transport miejski wspartych w ramach POIiŚ w latach 2007-2013 i 2014-2020 (na podstawie dokumentacji projektowej oraz KSI SIMIK 07-13 i SL2014);</w:t>
      </w:r>
    </w:p>
    <w:p w14:paraId="3BC8F13A" w14:textId="3E341437" w:rsidR="00AE04BA" w:rsidRPr="001633D6" w:rsidRDefault="00AE04BA" w:rsidP="001B2A4E">
      <w:pPr>
        <w:pStyle w:val="Akapitzlist"/>
        <w:numPr>
          <w:ilvl w:val="0"/>
          <w:numId w:val="41"/>
        </w:numPr>
      </w:pPr>
      <w:r w:rsidRPr="001633D6">
        <w:t>lokalizację miejsc krytycznych sieci drogowych, w których występują niedobory przepustowości (na podstawie wywiadów IDI z organizatorami transportu).</w:t>
      </w:r>
    </w:p>
    <w:p w14:paraId="26DB136A" w14:textId="145FBA57" w:rsidR="00AE04BA" w:rsidRPr="001633D6" w:rsidRDefault="00AE04BA" w:rsidP="00AE04BA">
      <w:r w:rsidRPr="001633D6">
        <w:t>Powyższe dane zostały dołączone do raportu w formie plików GIS (por.</w:t>
      </w:r>
      <w:r w:rsidR="00F91ED6" w:rsidRPr="001633D6">
        <w:t xml:space="preserve"> </w:t>
      </w:r>
      <w:r w:rsidR="00CE3BA8" w:rsidRPr="001633D6">
        <w:fldChar w:fldCharType="begin"/>
      </w:r>
      <w:r w:rsidR="00CE3BA8" w:rsidRPr="001633D6">
        <w:instrText xml:space="preserve"> REF Załącznik13 \h </w:instrText>
      </w:r>
      <w:r w:rsidR="00CE3BA8" w:rsidRPr="001633D6">
        <w:fldChar w:fldCharType="separate"/>
      </w:r>
      <w:r w:rsidR="00C93FD7" w:rsidRPr="00CE65CD">
        <w:rPr>
          <w:color w:val="000000" w:themeColor="text1"/>
        </w:rPr>
        <w:t>Załącznik 13</w:t>
      </w:r>
      <w:r w:rsidR="00CE3BA8" w:rsidRPr="001633D6">
        <w:fldChar w:fldCharType="end"/>
      </w:r>
      <w:r w:rsidRPr="001633D6">
        <w:t>).</w:t>
      </w:r>
    </w:p>
    <w:p w14:paraId="6C71915A" w14:textId="77777777" w:rsidR="00FE6EF8" w:rsidRPr="001633D6" w:rsidRDefault="00FE6EF8" w:rsidP="00FE6EF8">
      <w:pPr>
        <w:pStyle w:val="Nagwek2"/>
        <w:rPr>
          <w:color w:val="auto"/>
        </w:rPr>
      </w:pPr>
      <w:bookmarkStart w:id="50" w:name="_Toc27125327"/>
      <w:r w:rsidRPr="001633D6">
        <w:rPr>
          <w:color w:val="auto"/>
        </w:rPr>
        <w:t>Metody logiczne</w:t>
      </w:r>
      <w:bookmarkEnd w:id="50"/>
    </w:p>
    <w:p w14:paraId="16AEF72B" w14:textId="78A2ACED" w:rsidR="000E7AD3" w:rsidRPr="001633D6" w:rsidRDefault="000E7AD3" w:rsidP="000E7AD3">
      <w:r w:rsidRPr="001633D6">
        <w:t xml:space="preserve">W badaniu opartym na TDE </w:t>
      </w:r>
      <w:r w:rsidR="00B57095">
        <w:t>(</w:t>
      </w:r>
      <w:proofErr w:type="spellStart"/>
      <w:r w:rsidR="00B57095" w:rsidRPr="00B57095">
        <w:rPr>
          <w:i/>
        </w:rPr>
        <w:t>Theory-driven</w:t>
      </w:r>
      <w:proofErr w:type="spellEnd"/>
      <w:r w:rsidR="00B57095" w:rsidRPr="00B57095">
        <w:rPr>
          <w:i/>
        </w:rPr>
        <w:t xml:space="preserve"> </w:t>
      </w:r>
      <w:proofErr w:type="spellStart"/>
      <w:r w:rsidR="00B57095" w:rsidRPr="00B57095">
        <w:rPr>
          <w:i/>
        </w:rPr>
        <w:t>evaluation</w:t>
      </w:r>
      <w:proofErr w:type="spellEnd"/>
      <w:r w:rsidR="00B57095">
        <w:t xml:space="preserve">) </w:t>
      </w:r>
      <w:r w:rsidRPr="001633D6">
        <w:t xml:space="preserve">najpierw odtwarza się – w formie schematu logicznego – </w:t>
      </w:r>
      <w:r w:rsidR="00297D1B">
        <w:t>normatywny</w:t>
      </w:r>
      <w:r w:rsidRPr="001633D6">
        <w:t>, czyli zakładany przebieg realizacji interwencji i jej efektów. W tym celu stosuje się modele logiczne (metoda powszechnie stosowana do projektowania i oceny interwencji publicznych</w:t>
      </w:r>
      <w:r w:rsidRPr="001633D6">
        <w:rPr>
          <w:rStyle w:val="Odwoanieprzypisudolnego"/>
        </w:rPr>
        <w:footnoteReference w:id="2"/>
      </w:r>
      <w:r w:rsidRPr="001633D6">
        <w:t xml:space="preserve">). Punktem wyjścia do prawidłowego określenia celów programu musi być precyzyjna diagnoza i sformułowanie problemu. W wyniku przeprowadzonych analiz otrzymuje się wstępną koncepcję programu. W celu weryfikacji prawidłowości założeń koncepcji warto przełożyć ją na model logiczny. Model logiczny interwencji składa się z następujących elementów: </w:t>
      </w:r>
    </w:p>
    <w:p w14:paraId="514CF2C1" w14:textId="77777777" w:rsidR="000E7AD3" w:rsidRPr="001633D6" w:rsidRDefault="000E7AD3" w:rsidP="001B2A4E">
      <w:pPr>
        <w:pStyle w:val="Akapitzlist"/>
        <w:numPr>
          <w:ilvl w:val="0"/>
          <w:numId w:val="6"/>
        </w:numPr>
      </w:pPr>
      <w:r w:rsidRPr="001633D6">
        <w:t>przesłanki (opierając się na dowodach…) – opis problemów, na które odpowiedzią ma być interwencja;</w:t>
      </w:r>
    </w:p>
    <w:p w14:paraId="1009B08E" w14:textId="77777777" w:rsidR="000E7AD3" w:rsidRPr="001633D6" w:rsidRDefault="000E7AD3" w:rsidP="001B2A4E">
      <w:pPr>
        <w:pStyle w:val="Akapitzlist"/>
        <w:numPr>
          <w:ilvl w:val="0"/>
          <w:numId w:val="6"/>
        </w:numPr>
      </w:pPr>
      <w:r w:rsidRPr="001633D6">
        <w:t>plan wdrażania (jeśli wesprzemy…) – opis działań/wsparcia/typów projektów;</w:t>
      </w:r>
    </w:p>
    <w:p w14:paraId="5EC6F447" w14:textId="77777777" w:rsidR="000E7AD3" w:rsidRPr="001633D6" w:rsidRDefault="000E7AD3" w:rsidP="001B2A4E">
      <w:pPr>
        <w:pStyle w:val="Akapitzlist"/>
        <w:numPr>
          <w:ilvl w:val="0"/>
          <w:numId w:val="6"/>
        </w:numPr>
      </w:pPr>
      <w:r w:rsidRPr="001633D6">
        <w:t>mechanizm (to nastąpi…) – opis zakładanych produktów lub rezultatów bezpośrednich;</w:t>
      </w:r>
    </w:p>
    <w:p w14:paraId="11962695" w14:textId="77777777" w:rsidR="000E7AD3" w:rsidRPr="001633D6" w:rsidRDefault="000E7AD3" w:rsidP="001B2A4E">
      <w:pPr>
        <w:pStyle w:val="Akapitzlist"/>
        <w:numPr>
          <w:ilvl w:val="0"/>
          <w:numId w:val="6"/>
        </w:numPr>
        <w:spacing w:after="0"/>
      </w:pPr>
      <w:r w:rsidRPr="001633D6">
        <w:t>oczekiwana zmiana (i dzięki temu osiągniemy…) – opis zakładanych rezultatów bezpośrednich lub pośrednich w odniesieniu do zakładanych celów szczegółowych.</w:t>
      </w:r>
    </w:p>
    <w:p w14:paraId="1DA8D2D4" w14:textId="7353222E" w:rsidR="00A81BC0" w:rsidRPr="001633D6" w:rsidRDefault="003A11A5" w:rsidP="00A81BC0">
      <w:r w:rsidRPr="001633D6">
        <w:t xml:space="preserve">Na etapie raportu metodycznego </w:t>
      </w:r>
      <w:r w:rsidR="000E7AD3" w:rsidRPr="001633D6">
        <w:t>z</w:t>
      </w:r>
      <w:r w:rsidRPr="001633D6">
        <w:t xml:space="preserve">aktualizowano logikę interwencji </w:t>
      </w:r>
      <w:r w:rsidR="000E7AD3" w:rsidRPr="001633D6">
        <w:t>z badania pilotażowego</w:t>
      </w:r>
      <w:r w:rsidR="0017272B">
        <w:t>, a</w:t>
      </w:r>
      <w:r w:rsidR="00C531FB" w:rsidRPr="001633D6">
        <w:t> </w:t>
      </w:r>
      <w:r w:rsidR="000E7AD3" w:rsidRPr="001633D6">
        <w:t>przedsta</w:t>
      </w:r>
      <w:r w:rsidR="0017272B">
        <w:t>wia</w:t>
      </w:r>
      <w:r w:rsidR="000E7AD3" w:rsidRPr="001633D6">
        <w:t xml:space="preserve"> ją </w:t>
      </w:r>
      <w:r w:rsidR="000E7AD3" w:rsidRPr="001633D6">
        <w:fldChar w:fldCharType="begin"/>
      </w:r>
      <w:r w:rsidR="000E7AD3" w:rsidRPr="001633D6">
        <w:instrText xml:space="preserve"> REF _Ref522198087 \h </w:instrText>
      </w:r>
      <w:r w:rsidR="000E7AD3" w:rsidRPr="001633D6">
        <w:fldChar w:fldCharType="separate"/>
      </w:r>
      <w:r w:rsidR="00C93FD7" w:rsidRPr="001633D6">
        <w:t xml:space="preserve">Tabela </w:t>
      </w:r>
      <w:r w:rsidR="00C93FD7">
        <w:rPr>
          <w:noProof/>
        </w:rPr>
        <w:t>6</w:t>
      </w:r>
      <w:r w:rsidR="000E7AD3" w:rsidRPr="001633D6">
        <w:fldChar w:fldCharType="end"/>
      </w:r>
      <w:r w:rsidRPr="001633D6">
        <w:t>.</w:t>
      </w:r>
      <w:r w:rsidR="000E7AD3" w:rsidRPr="001633D6">
        <w:t xml:space="preserve"> </w:t>
      </w:r>
    </w:p>
    <w:p w14:paraId="28236190" w14:textId="0058D440" w:rsidR="003A11A5" w:rsidRPr="001633D6" w:rsidRDefault="003A11A5" w:rsidP="003A11A5">
      <w:pPr>
        <w:pStyle w:val="Legenda"/>
        <w:rPr>
          <w:color w:val="auto"/>
        </w:rPr>
      </w:pPr>
      <w:bookmarkStart w:id="52" w:name="_Ref522198087"/>
      <w:bookmarkStart w:id="53" w:name="_Toc27125364"/>
      <w:r w:rsidRPr="001633D6">
        <w:rPr>
          <w:color w:val="auto"/>
        </w:rPr>
        <w:lastRenderedPageBreak/>
        <w:t xml:space="preserve">Tabela </w:t>
      </w:r>
      <w:r w:rsidRPr="001633D6">
        <w:rPr>
          <w:noProof/>
          <w:color w:val="auto"/>
        </w:rPr>
        <w:fldChar w:fldCharType="begin"/>
      </w:r>
      <w:r w:rsidRPr="001633D6">
        <w:rPr>
          <w:noProof/>
          <w:color w:val="auto"/>
        </w:rPr>
        <w:instrText xml:space="preserve"> SEQ Tabela \* ARABIC </w:instrText>
      </w:r>
      <w:r w:rsidRPr="001633D6">
        <w:rPr>
          <w:noProof/>
          <w:color w:val="auto"/>
        </w:rPr>
        <w:fldChar w:fldCharType="separate"/>
      </w:r>
      <w:r w:rsidR="00C93FD7">
        <w:rPr>
          <w:noProof/>
          <w:color w:val="auto"/>
        </w:rPr>
        <w:t>6</w:t>
      </w:r>
      <w:r w:rsidRPr="001633D6">
        <w:rPr>
          <w:noProof/>
          <w:color w:val="auto"/>
        </w:rPr>
        <w:fldChar w:fldCharType="end"/>
      </w:r>
      <w:bookmarkEnd w:id="52"/>
      <w:r w:rsidRPr="001633D6">
        <w:rPr>
          <w:color w:val="auto"/>
        </w:rPr>
        <w:t>. Logika interwencji VI OP POIiŚ 2014-2020</w:t>
      </w:r>
      <w:bookmarkEnd w:id="53"/>
    </w:p>
    <w:tbl>
      <w:tblPr>
        <w:tblStyle w:val="WolanskiCorpTabela1"/>
        <w:tblW w:w="9356" w:type="dxa"/>
        <w:tblLook w:val="04A0" w:firstRow="1" w:lastRow="0" w:firstColumn="1" w:lastColumn="0" w:noHBand="0" w:noVBand="1"/>
      </w:tblPr>
      <w:tblGrid>
        <w:gridCol w:w="794"/>
        <w:gridCol w:w="8562"/>
      </w:tblGrid>
      <w:tr w:rsidR="00C531FB" w:rsidRPr="00C531FB" w14:paraId="67941FE6" w14:textId="77777777" w:rsidTr="009A40F8">
        <w:trPr>
          <w:cnfStyle w:val="100000000000" w:firstRow="1" w:lastRow="0" w:firstColumn="0" w:lastColumn="0" w:oddVBand="0" w:evenVBand="0" w:oddHBand="0" w:evenHBand="0" w:firstRowFirstColumn="0" w:firstRowLastColumn="0" w:lastRowFirstColumn="0" w:lastRowLastColumn="0"/>
          <w:trHeight w:val="1372"/>
        </w:trPr>
        <w:tc>
          <w:tcPr>
            <w:cnfStyle w:val="001000000000" w:firstRow="0" w:lastRow="0" w:firstColumn="1" w:lastColumn="0" w:oddVBand="0" w:evenVBand="0" w:oddHBand="0" w:evenHBand="0" w:firstRowFirstColumn="0" w:firstRowLastColumn="0" w:lastRowFirstColumn="0" w:lastRowLastColumn="0"/>
            <w:tcW w:w="794" w:type="dxa"/>
            <w:textDirection w:val="btLr"/>
          </w:tcPr>
          <w:p w14:paraId="70629DA9" w14:textId="77777777" w:rsidR="003A11A5" w:rsidRPr="00310D6A" w:rsidRDefault="003A11A5" w:rsidP="00356E82">
            <w:pPr>
              <w:keepNext/>
              <w:spacing w:before="0" w:after="0" w:line="240" w:lineRule="auto"/>
              <w:ind w:left="113" w:right="113"/>
              <w:jc w:val="center"/>
              <w:rPr>
                <w:rFonts w:eastAsia="Lora" w:cs="Times New Roman"/>
                <w:iCs/>
                <w:sz w:val="18"/>
                <w:szCs w:val="18"/>
              </w:rPr>
            </w:pPr>
            <w:r w:rsidRPr="00310D6A">
              <w:rPr>
                <w:rFonts w:eastAsia="Lora" w:cs="Times New Roman"/>
                <w:iCs/>
                <w:sz w:val="18"/>
                <w:szCs w:val="18"/>
              </w:rPr>
              <w:t>Przesłanki</w:t>
            </w:r>
          </w:p>
        </w:tc>
        <w:tc>
          <w:tcPr>
            <w:tcW w:w="8562" w:type="dxa"/>
            <w:shd w:val="clear" w:color="auto" w:fill="auto"/>
          </w:tcPr>
          <w:p w14:paraId="1247601F" w14:textId="22261302" w:rsidR="003A11A5" w:rsidRPr="009A40F8" w:rsidRDefault="009A40F8" w:rsidP="00356E82">
            <w:pPr>
              <w:keepN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rPr>
            </w:pPr>
            <w:r w:rsidRPr="009A40F8">
              <w:rPr>
                <w:rFonts w:asciiTheme="minorHAnsi" w:hAnsiTheme="minorHAnsi"/>
                <w:b w:val="0"/>
                <w:caps w:val="0"/>
                <w:sz w:val="18"/>
              </w:rPr>
              <w:t>Wzrost udziału transportu indywidualnego w obsłudze komunikacyjnej aglomeracji</w:t>
            </w:r>
          </w:p>
          <w:p w14:paraId="573F4553" w14:textId="0ACBED02" w:rsidR="003A11A5" w:rsidRPr="009A40F8" w:rsidRDefault="009A40F8" w:rsidP="00356E82">
            <w:pPr>
              <w:keepN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rPr>
            </w:pPr>
            <w:r w:rsidRPr="009A40F8">
              <w:rPr>
                <w:rFonts w:asciiTheme="minorHAnsi" w:hAnsiTheme="minorHAnsi"/>
                <w:b w:val="0"/>
                <w:caps w:val="0"/>
                <w:sz w:val="18"/>
              </w:rPr>
              <w:t>Wzrost liczby podróży miejskich i podmiejskich</w:t>
            </w:r>
          </w:p>
          <w:p w14:paraId="3153669B" w14:textId="1F2C226E" w:rsidR="003A11A5" w:rsidRPr="009A40F8" w:rsidRDefault="009A40F8" w:rsidP="00356E82">
            <w:pPr>
              <w:keepNext/>
              <w:spacing w:before="0"/>
              <w:jc w:val="left"/>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18"/>
              </w:rPr>
            </w:pPr>
            <w:r w:rsidRPr="009A40F8">
              <w:rPr>
                <w:rFonts w:asciiTheme="minorHAnsi" w:hAnsiTheme="minorHAnsi"/>
                <w:b w:val="0"/>
                <w:caps w:val="0"/>
                <w:sz w:val="18"/>
              </w:rPr>
              <w:t>Duże oddziaływanie transportu indywidualnego na środowisko (hałas, zanieczyszczenie powietrza)</w:t>
            </w:r>
          </w:p>
        </w:tc>
      </w:tr>
      <w:tr w:rsidR="00C531FB" w:rsidRPr="00C531FB" w14:paraId="2886F90A" w14:textId="77777777" w:rsidTr="009A40F8">
        <w:trPr>
          <w:cnfStyle w:val="000000100000" w:firstRow="0" w:lastRow="0" w:firstColumn="0" w:lastColumn="0" w:oddVBand="0" w:evenVBand="0" w:oddHBand="1" w:evenHBand="0" w:firstRowFirstColumn="0" w:firstRowLastColumn="0" w:lastRowFirstColumn="0" w:lastRowLastColumn="0"/>
          <w:trHeight w:val="4985"/>
        </w:trPr>
        <w:tc>
          <w:tcPr>
            <w:cnfStyle w:val="001000000000" w:firstRow="0" w:lastRow="0" w:firstColumn="1" w:lastColumn="0" w:oddVBand="0" w:evenVBand="0" w:oddHBand="0" w:evenHBand="0" w:firstRowFirstColumn="0" w:firstRowLastColumn="0" w:lastRowFirstColumn="0" w:lastRowLastColumn="0"/>
            <w:tcW w:w="794" w:type="dxa"/>
            <w:textDirection w:val="btLr"/>
          </w:tcPr>
          <w:p w14:paraId="3898A15B" w14:textId="77777777" w:rsidR="003A11A5" w:rsidRPr="00310D6A" w:rsidRDefault="003A11A5" w:rsidP="00356E82">
            <w:pPr>
              <w:spacing w:before="0" w:after="0" w:line="240" w:lineRule="auto"/>
              <w:ind w:left="113" w:right="113"/>
              <w:jc w:val="center"/>
              <w:rPr>
                <w:rFonts w:eastAsia="Lora" w:cs="Times New Roman"/>
                <w:iCs/>
                <w:sz w:val="18"/>
                <w:szCs w:val="18"/>
              </w:rPr>
            </w:pPr>
            <w:r w:rsidRPr="00310D6A">
              <w:rPr>
                <w:rFonts w:eastAsia="Lora" w:cs="Times New Roman"/>
                <w:iCs/>
                <w:sz w:val="18"/>
                <w:szCs w:val="18"/>
              </w:rPr>
              <w:t>Typy projektów</w:t>
            </w:r>
          </w:p>
        </w:tc>
        <w:tc>
          <w:tcPr>
            <w:tcW w:w="8562" w:type="dxa"/>
          </w:tcPr>
          <w:p w14:paraId="527301FD" w14:textId="77777777" w:rsidR="003A11A5" w:rsidRPr="001633D6" w:rsidRDefault="003A11A5" w:rsidP="001B2A4E">
            <w:pPr>
              <w:pStyle w:val="Akapitzlist"/>
              <w:numPr>
                <w:ilvl w:val="0"/>
                <w:numId w:val="4"/>
              </w:numPr>
              <w:tabs>
                <w:tab w:val="clear" w:pos="284"/>
                <w:tab w:val="left" w:pos="201"/>
              </w:tabs>
              <w:spacing w:before="0"/>
              <w:ind w:left="201" w:hanging="201"/>
              <w:cnfStyle w:val="000000100000" w:firstRow="0" w:lastRow="0" w:firstColumn="0" w:lastColumn="0" w:oddVBand="0" w:evenVBand="0" w:oddHBand="1" w:evenHBand="0" w:firstRowFirstColumn="0" w:firstRowLastColumn="0" w:lastRowFirstColumn="0" w:lastRowLastColumn="0"/>
              <w:rPr>
                <w:sz w:val="18"/>
              </w:rPr>
            </w:pPr>
            <w:r w:rsidRPr="001633D6">
              <w:rPr>
                <w:sz w:val="18"/>
              </w:rPr>
              <w:t>Inwestycje infrastrukturalne: adaptacja, budowa, przebudowa, rozbudowa sieci transportu miejskiego, w tym m.in.:</w:t>
            </w:r>
          </w:p>
          <w:p w14:paraId="21203043"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budowa, przebudowa, rozbudowa układu torowego na trasach, pętlach, bocznicach oraz zajezdniach,</w:t>
            </w:r>
          </w:p>
          <w:p w14:paraId="6AE83CA6"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budowa linii metra,</w:t>
            </w:r>
          </w:p>
          <w:p w14:paraId="6A6BA2FD"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budowa, przebudowa, rozbudowa sieci energetycznej i podstacji trakcyjnych tramwajowych, trolejbusowych,</w:t>
            </w:r>
          </w:p>
          <w:p w14:paraId="3E58B953"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przebudowa, rozbudowa dróg mająca na celu wprowadzenie ruchu uprzywilejowanego lub uprzywilejowanie ruchu istniejącego pojazdów publicznego transportu zbiorowego,</w:t>
            </w:r>
          </w:p>
          <w:p w14:paraId="6CCA70D4"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wyposażenie dróg, ulic, torowisk w obiekty inżynieryjne i niezbędne urządzenia drogowe/ zakup niezbędnego sprzętu służącego bezpieczeństwu ruchu pojazdów transportu publicznego,</w:t>
            </w:r>
          </w:p>
          <w:p w14:paraId="2D576064"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wyposażenie dróg, ulic w infrastrukturę służącą obsłudze transportu publicznego (np. zatoki, podjazdy, zjazdy) oraz pasażerów (np. przystanki, wyspy),</w:t>
            </w:r>
          </w:p>
          <w:p w14:paraId="0C199B0C"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budowa, przebudowa i rozbudowa węzłów przesiadkowych w tym systemy parkingów „</w:t>
            </w:r>
            <w:r w:rsidRPr="001633D6">
              <w:rPr>
                <w:i/>
                <w:iCs/>
                <w:sz w:val="18"/>
              </w:rPr>
              <w:t xml:space="preserve">Park &amp; </w:t>
            </w:r>
            <w:proofErr w:type="spellStart"/>
            <w:r w:rsidRPr="001633D6">
              <w:rPr>
                <w:i/>
                <w:iCs/>
                <w:sz w:val="18"/>
              </w:rPr>
              <w:t>Ride</w:t>
            </w:r>
            <w:proofErr w:type="spellEnd"/>
            <w:r w:rsidRPr="001633D6">
              <w:rPr>
                <w:sz w:val="18"/>
              </w:rPr>
              <w:t>” oraz „</w:t>
            </w:r>
            <w:proofErr w:type="spellStart"/>
            <w:r w:rsidRPr="001633D6">
              <w:rPr>
                <w:i/>
                <w:iCs/>
                <w:sz w:val="18"/>
              </w:rPr>
              <w:t>Bike</w:t>
            </w:r>
            <w:proofErr w:type="spellEnd"/>
            <w:r w:rsidRPr="001633D6">
              <w:rPr>
                <w:i/>
                <w:iCs/>
                <w:sz w:val="18"/>
              </w:rPr>
              <w:t xml:space="preserve"> &amp; </w:t>
            </w:r>
            <w:proofErr w:type="spellStart"/>
            <w:r w:rsidRPr="001633D6">
              <w:rPr>
                <w:i/>
                <w:iCs/>
                <w:sz w:val="18"/>
              </w:rPr>
              <w:t>Ride</w:t>
            </w:r>
            <w:proofErr w:type="spellEnd"/>
            <w:r w:rsidRPr="001633D6">
              <w:rPr>
                <w:sz w:val="18"/>
              </w:rPr>
              <w:t>”;</w:t>
            </w:r>
          </w:p>
          <w:p w14:paraId="4D5DD01C" w14:textId="77777777" w:rsidR="003A11A5" w:rsidRPr="001633D6" w:rsidRDefault="003A11A5" w:rsidP="001B2A4E">
            <w:pPr>
              <w:pStyle w:val="Akapitzlist"/>
              <w:numPr>
                <w:ilvl w:val="0"/>
                <w:numId w:val="5"/>
              </w:numPr>
              <w:tabs>
                <w:tab w:val="clear" w:pos="284"/>
                <w:tab w:val="left" w:pos="201"/>
              </w:tabs>
              <w:spacing w:before="0"/>
              <w:ind w:left="343" w:hanging="142"/>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budowa systemów transportowych PRT.</w:t>
            </w:r>
          </w:p>
          <w:p w14:paraId="23059738" w14:textId="77777777" w:rsidR="003A11A5" w:rsidRPr="001633D6" w:rsidRDefault="003A11A5" w:rsidP="001B2A4E">
            <w:pPr>
              <w:pStyle w:val="Akapitzlist"/>
              <w:numPr>
                <w:ilvl w:val="0"/>
                <w:numId w:val="4"/>
              </w:numPr>
              <w:tabs>
                <w:tab w:val="clear" w:pos="284"/>
                <w:tab w:val="left" w:pos="201"/>
              </w:tabs>
              <w:spacing w:before="0"/>
              <w:ind w:left="201" w:hanging="201"/>
              <w:cnfStyle w:val="000000100000" w:firstRow="0" w:lastRow="0" w:firstColumn="0" w:lastColumn="0" w:oddVBand="0" w:evenVBand="0" w:oddHBand="1" w:evenHBand="0" w:firstRowFirstColumn="0" w:firstRowLastColumn="0" w:lastRowFirstColumn="0" w:lastRowLastColumn="0"/>
              <w:rPr>
                <w:sz w:val="18"/>
              </w:rPr>
            </w:pPr>
            <w:r w:rsidRPr="001633D6">
              <w:rPr>
                <w:sz w:val="18"/>
              </w:rPr>
              <w:t>Inwestycje taborowe: zakup, modernizacja taboru szynowego (tramwajowego, metra), trolejbusowego i autobusowego wraz z niezbędną infrastrukturą służącą do jego utrzymania (np. zaplecza techniczne do obsługi i konserwacji taboru wraz z niezbędnym sprzętem specjalistycznym, miejsca i urządzenia zasilania paliwem alternatywnym).</w:t>
            </w:r>
          </w:p>
        </w:tc>
      </w:tr>
      <w:tr w:rsidR="00C531FB" w:rsidRPr="00C531FB" w14:paraId="5280AAA7" w14:textId="77777777" w:rsidTr="009A40F8">
        <w:trPr>
          <w:trHeight w:val="2098"/>
        </w:trPr>
        <w:tc>
          <w:tcPr>
            <w:cnfStyle w:val="001000000000" w:firstRow="0" w:lastRow="0" w:firstColumn="1" w:lastColumn="0" w:oddVBand="0" w:evenVBand="0" w:oddHBand="0" w:evenHBand="0" w:firstRowFirstColumn="0" w:firstRowLastColumn="0" w:lastRowFirstColumn="0" w:lastRowLastColumn="0"/>
            <w:tcW w:w="794" w:type="dxa"/>
            <w:textDirection w:val="btLr"/>
          </w:tcPr>
          <w:p w14:paraId="5D0CC93A" w14:textId="77777777" w:rsidR="003A11A5" w:rsidRPr="00310D6A" w:rsidRDefault="003A11A5" w:rsidP="00356E82">
            <w:pPr>
              <w:spacing w:before="0" w:after="0" w:line="240" w:lineRule="auto"/>
              <w:ind w:left="113" w:right="113"/>
              <w:jc w:val="center"/>
              <w:rPr>
                <w:rFonts w:eastAsia="Lora" w:cs="Times New Roman"/>
                <w:iCs/>
                <w:sz w:val="18"/>
                <w:szCs w:val="18"/>
              </w:rPr>
            </w:pPr>
            <w:r w:rsidRPr="00310D6A">
              <w:rPr>
                <w:rFonts w:eastAsia="Lora" w:cs="Times New Roman"/>
                <w:iCs/>
                <w:sz w:val="18"/>
                <w:szCs w:val="18"/>
              </w:rPr>
              <w:t>mechanizm</w:t>
            </w:r>
          </w:p>
        </w:tc>
        <w:tc>
          <w:tcPr>
            <w:tcW w:w="8562" w:type="dxa"/>
          </w:tcPr>
          <w:p w14:paraId="4E9092AE" w14:textId="77777777" w:rsidR="003A11A5" w:rsidRPr="001633D6" w:rsidRDefault="003A11A5" w:rsidP="00356E82">
            <w:pPr>
              <w:spacing w:before="0"/>
              <w:jc w:val="left"/>
              <w:cnfStyle w:val="000000000000" w:firstRow="0" w:lastRow="0" w:firstColumn="0" w:lastColumn="0" w:oddVBand="0" w:evenVBand="0" w:oddHBand="0" w:evenHBand="0" w:firstRowFirstColumn="0" w:firstRowLastColumn="0" w:lastRowFirstColumn="0" w:lastRowLastColumn="0"/>
              <w:rPr>
                <w:sz w:val="18"/>
              </w:rPr>
            </w:pPr>
            <w:r w:rsidRPr="001633D6">
              <w:rPr>
                <w:sz w:val="18"/>
              </w:rPr>
              <w:t>Zmniejszenie zatłoczenia motoryzacyjnego w miastach</w:t>
            </w:r>
          </w:p>
          <w:p w14:paraId="1B580A89" w14:textId="77777777" w:rsidR="003A11A5" w:rsidRPr="001633D6" w:rsidRDefault="003A11A5" w:rsidP="00356E82">
            <w:pPr>
              <w:spacing w:before="0"/>
              <w:jc w:val="left"/>
              <w:cnfStyle w:val="000000000000" w:firstRow="0" w:lastRow="0" w:firstColumn="0" w:lastColumn="0" w:oddVBand="0" w:evenVBand="0" w:oddHBand="0" w:evenHBand="0" w:firstRowFirstColumn="0" w:firstRowLastColumn="0" w:lastRowFirstColumn="0" w:lastRowLastColumn="0"/>
              <w:rPr>
                <w:sz w:val="18"/>
              </w:rPr>
            </w:pPr>
            <w:r w:rsidRPr="001633D6">
              <w:rPr>
                <w:sz w:val="18"/>
              </w:rPr>
              <w:t>Poprawa płynności ruchu i bezpieczeństwa</w:t>
            </w:r>
          </w:p>
          <w:p w14:paraId="1B98DDC6" w14:textId="77777777" w:rsidR="003A11A5" w:rsidRPr="001633D6" w:rsidRDefault="003A11A5" w:rsidP="00356E82">
            <w:pPr>
              <w:spacing w:before="0"/>
              <w:jc w:val="left"/>
              <w:cnfStyle w:val="000000000000" w:firstRow="0" w:lastRow="0" w:firstColumn="0" w:lastColumn="0" w:oddVBand="0" w:evenVBand="0" w:oddHBand="0" w:evenHBand="0" w:firstRowFirstColumn="0" w:firstRowLastColumn="0" w:lastRowFirstColumn="0" w:lastRowLastColumn="0"/>
              <w:rPr>
                <w:sz w:val="18"/>
              </w:rPr>
            </w:pPr>
            <w:r w:rsidRPr="001633D6">
              <w:rPr>
                <w:sz w:val="18"/>
              </w:rPr>
              <w:t>Ograniczenie negatywnego wpływu transportu na środowisko naturalne w miastach i na ich obszarach funkcjonalnych.</w:t>
            </w:r>
          </w:p>
        </w:tc>
      </w:tr>
      <w:tr w:rsidR="00C531FB" w:rsidRPr="00C531FB" w14:paraId="06EB2BB8" w14:textId="77777777" w:rsidTr="009A40F8">
        <w:trPr>
          <w:cnfStyle w:val="000000100000" w:firstRow="0" w:lastRow="0" w:firstColumn="0" w:lastColumn="0" w:oddVBand="0" w:evenVBand="0" w:oddHBand="1" w:evenHBand="0" w:firstRowFirstColumn="0" w:firstRowLastColumn="0" w:lastRowFirstColumn="0" w:lastRowLastColumn="0"/>
          <w:trHeight w:val="2098"/>
        </w:trPr>
        <w:tc>
          <w:tcPr>
            <w:cnfStyle w:val="001000000000" w:firstRow="0" w:lastRow="0" w:firstColumn="1" w:lastColumn="0" w:oddVBand="0" w:evenVBand="0" w:oddHBand="0" w:evenHBand="0" w:firstRowFirstColumn="0" w:firstRowLastColumn="0" w:lastRowFirstColumn="0" w:lastRowLastColumn="0"/>
            <w:tcW w:w="794" w:type="dxa"/>
            <w:textDirection w:val="btLr"/>
          </w:tcPr>
          <w:p w14:paraId="2D1FAB93" w14:textId="77777777" w:rsidR="003A11A5" w:rsidRPr="00310D6A" w:rsidRDefault="003A11A5" w:rsidP="00356E82">
            <w:pPr>
              <w:spacing w:before="0" w:after="0" w:line="240" w:lineRule="auto"/>
              <w:ind w:left="113" w:right="113"/>
              <w:jc w:val="center"/>
              <w:rPr>
                <w:rFonts w:eastAsia="Lora" w:cs="Times New Roman"/>
                <w:iCs/>
                <w:sz w:val="18"/>
                <w:szCs w:val="18"/>
              </w:rPr>
            </w:pPr>
            <w:r w:rsidRPr="00310D6A">
              <w:rPr>
                <w:rFonts w:eastAsia="Lora" w:cs="Times New Roman"/>
                <w:iCs/>
                <w:sz w:val="18"/>
                <w:szCs w:val="18"/>
              </w:rPr>
              <w:t>oczekiwana zmiana</w:t>
            </w:r>
          </w:p>
        </w:tc>
        <w:tc>
          <w:tcPr>
            <w:tcW w:w="8562" w:type="dxa"/>
          </w:tcPr>
          <w:p w14:paraId="3305F740" w14:textId="77777777" w:rsidR="003A11A5" w:rsidRPr="001633D6" w:rsidRDefault="003A11A5" w:rsidP="00356E82">
            <w:pPr>
              <w:spacing w:before="0"/>
              <w:jc w:val="left"/>
              <w:cnfStyle w:val="000000100000" w:firstRow="0" w:lastRow="0" w:firstColumn="0" w:lastColumn="0" w:oddVBand="0" w:evenVBand="0" w:oddHBand="1" w:evenHBand="0" w:firstRowFirstColumn="0" w:firstRowLastColumn="0" w:lastRowFirstColumn="0" w:lastRowLastColumn="0"/>
              <w:rPr>
                <w:sz w:val="18"/>
              </w:rPr>
            </w:pPr>
            <w:r w:rsidRPr="001633D6">
              <w:rPr>
                <w:sz w:val="18"/>
              </w:rPr>
              <w:t>Większe wykorzystanie niskoemisyjnego transportu miejskiego – rozwój publicznego transportu zbiorowego w miastach</w:t>
            </w:r>
          </w:p>
        </w:tc>
      </w:tr>
    </w:tbl>
    <w:p w14:paraId="727F5A51" w14:textId="3FBD351A" w:rsidR="001C4FF8" w:rsidRPr="00310D6A" w:rsidRDefault="001C4FF8" w:rsidP="00310D6A">
      <w:pPr>
        <w:pStyle w:val="rdo"/>
      </w:pPr>
      <w:r w:rsidRPr="00310D6A">
        <w:t>Źródło: opracowanie własne.</w:t>
      </w:r>
    </w:p>
    <w:p w14:paraId="4D0F56AD" w14:textId="40009C77" w:rsidR="00A81BC0" w:rsidRPr="001633D6" w:rsidRDefault="00A81BC0" w:rsidP="009707CB">
      <w:pPr>
        <w:pStyle w:val="Nagwek2"/>
        <w:rPr>
          <w:color w:val="auto"/>
        </w:rPr>
      </w:pPr>
      <w:bookmarkStart w:id="54" w:name="_Toc27125328"/>
      <w:r w:rsidRPr="001633D6">
        <w:rPr>
          <w:color w:val="auto"/>
        </w:rPr>
        <w:t>Wywiady IDI</w:t>
      </w:r>
      <w:bookmarkEnd w:id="54"/>
    </w:p>
    <w:p w14:paraId="607D0AAE" w14:textId="515CEDE8" w:rsidR="00A81BC0" w:rsidRPr="001633D6" w:rsidRDefault="00A81BC0" w:rsidP="00A81BC0">
      <w:r w:rsidRPr="001633D6">
        <w:t xml:space="preserve">W ramach badania przeprowadzono łącznie </w:t>
      </w:r>
      <w:r w:rsidR="009C347E" w:rsidRPr="001633D6">
        <w:t>13</w:t>
      </w:r>
      <w:r w:rsidRPr="001633D6">
        <w:t xml:space="preserve"> wywiadów</w:t>
      </w:r>
      <w:r w:rsidR="009C347E" w:rsidRPr="001633D6">
        <w:t xml:space="preserve"> wśród organizatorów lub operatorów </w:t>
      </w:r>
      <w:r w:rsidR="009678A1" w:rsidRPr="001633D6">
        <w:t>komunikacji miejskiej w miastach wojewódzkich POIiŚ</w:t>
      </w:r>
      <w:r w:rsidR="009C347E" w:rsidRPr="001633D6">
        <w:t xml:space="preserve">. W </w:t>
      </w:r>
      <w:r w:rsidR="008A658F" w:rsidRPr="001633D6">
        <w:t xml:space="preserve">większości </w:t>
      </w:r>
      <w:r w:rsidR="009C347E" w:rsidRPr="001633D6">
        <w:t xml:space="preserve">przypadków spotkania </w:t>
      </w:r>
      <w:r w:rsidR="00297D1B">
        <w:t>z</w:t>
      </w:r>
      <w:r w:rsidR="00B57095">
        <w:t> </w:t>
      </w:r>
      <w:r w:rsidR="00297D1B">
        <w:t xml:space="preserve">inicjatywy respondentów </w:t>
      </w:r>
      <w:r w:rsidR="009C347E" w:rsidRPr="001633D6">
        <w:t xml:space="preserve">przyjęły formę wywiadów grupowych, na które zaproszono osoby </w:t>
      </w:r>
      <w:r w:rsidR="009C347E" w:rsidRPr="001633D6">
        <w:lastRenderedPageBreak/>
        <w:t>z</w:t>
      </w:r>
      <w:r w:rsidR="00B57095">
        <w:t> </w:t>
      </w:r>
      <w:r w:rsidR="009C347E" w:rsidRPr="001633D6">
        <w:t>różnych obszarów funkcjonowania transportu zbiorowego.</w:t>
      </w:r>
      <w:r w:rsidR="009678A1" w:rsidRPr="001633D6">
        <w:t xml:space="preserve"> </w:t>
      </w:r>
      <w:r w:rsidR="00C73F81" w:rsidRPr="001633D6">
        <w:t xml:space="preserve">Jest to również odbicie sytuacji organizacyjnej, w której w wielu miastach </w:t>
      </w:r>
      <w:r w:rsidR="00F165D8">
        <w:t xml:space="preserve">w </w:t>
      </w:r>
      <w:r w:rsidR="00B57095">
        <w:t xml:space="preserve">projekty </w:t>
      </w:r>
      <w:r w:rsidR="00C73F81" w:rsidRPr="001633D6">
        <w:t>realizowane w ramach VI osi POIiŚ bezpośrednio zaangażowany jest więcej niż jeden podmiot lub istnieje podział projektów, za które odpowiadają operatorzy (częściej projekty taborowe), organizatorzy (częściej projekty infrastrukturalne), wydzielone podmioty czy nawet spółki celowe (np. Trasa Łagiewnicka w</w:t>
      </w:r>
      <w:r w:rsidR="00F165D8">
        <w:t> </w:t>
      </w:r>
      <w:r w:rsidR="00C73F81" w:rsidRPr="001633D6">
        <w:t xml:space="preserve">Krakowie). </w:t>
      </w:r>
      <w:r w:rsidR="009678A1" w:rsidRPr="001633D6">
        <w:t>Wywiady odbyły się zgodnie z</w:t>
      </w:r>
      <w:r w:rsidR="00C73F81" w:rsidRPr="001633D6">
        <w:t> </w:t>
      </w:r>
      <w:r w:rsidR="009678A1" w:rsidRPr="001633D6">
        <w:t>zaakceptowanym przez Zamawiającego na etapie Raportu Metodycznego scenariuszem pomiędzy 24 lipca a 30 sierpnia 2019 r. Wywiady przeprowadzono w:</w:t>
      </w:r>
    </w:p>
    <w:p w14:paraId="0937EB65" w14:textId="1B314060" w:rsidR="009678A1" w:rsidRPr="001633D6" w:rsidRDefault="009678A1" w:rsidP="001B2A4E">
      <w:pPr>
        <w:pStyle w:val="Akapitzlist"/>
        <w:numPr>
          <w:ilvl w:val="0"/>
          <w:numId w:val="42"/>
        </w:numPr>
      </w:pPr>
      <w:r w:rsidRPr="001633D6">
        <w:t>Bydgoszczy (przedstawiciel Zarządu Dróg Miejskich i Komunikacji Publicznej);</w:t>
      </w:r>
    </w:p>
    <w:p w14:paraId="4B7F6BC8" w14:textId="40D09EE9" w:rsidR="008A658F" w:rsidRPr="001633D6" w:rsidRDefault="008A658F" w:rsidP="001B2A4E">
      <w:pPr>
        <w:pStyle w:val="Akapitzlist"/>
        <w:numPr>
          <w:ilvl w:val="0"/>
          <w:numId w:val="42"/>
        </w:numPr>
      </w:pPr>
      <w:r w:rsidRPr="001633D6">
        <w:t>Gdańsku (przedstawiciel Zarządu Transportu Miejskiego);</w:t>
      </w:r>
    </w:p>
    <w:p w14:paraId="28678338" w14:textId="75AFC841" w:rsidR="009678A1" w:rsidRPr="001633D6" w:rsidRDefault="009678A1" w:rsidP="001B2A4E">
      <w:pPr>
        <w:pStyle w:val="Akapitzlist"/>
        <w:numPr>
          <w:ilvl w:val="0"/>
          <w:numId w:val="42"/>
        </w:numPr>
      </w:pPr>
      <w:r w:rsidRPr="001633D6">
        <w:t xml:space="preserve">Gorzowie Wielkopolskim (przedstawiciele Wydziału Gospodarki Komunalnej i Transportu Publicznego Urzędu Miasta </w:t>
      </w:r>
      <w:r w:rsidR="008A658F" w:rsidRPr="001633D6">
        <w:t xml:space="preserve">oraz </w:t>
      </w:r>
      <w:r w:rsidRPr="001633D6">
        <w:t>MZK Gorzów Wielkopolski)</w:t>
      </w:r>
      <w:r w:rsidR="008A658F" w:rsidRPr="001633D6">
        <w:t>;</w:t>
      </w:r>
    </w:p>
    <w:p w14:paraId="73A25A59" w14:textId="3344DF2D" w:rsidR="008A658F" w:rsidRPr="001633D6" w:rsidRDefault="00A54CC6" w:rsidP="001B2A4E">
      <w:pPr>
        <w:pStyle w:val="Akapitzlist"/>
        <w:numPr>
          <w:ilvl w:val="0"/>
          <w:numId w:val="42"/>
        </w:numPr>
      </w:pPr>
      <w:r w:rsidRPr="001633D6">
        <w:t>Katowic</w:t>
      </w:r>
      <w:r w:rsidR="0017272B">
        <w:t>ach</w:t>
      </w:r>
      <w:r w:rsidRPr="001633D6">
        <w:t xml:space="preserve"> </w:t>
      </w:r>
      <w:r w:rsidR="008A658F" w:rsidRPr="001633D6">
        <w:t>(przedstawiciele Zarządu Transportu Metropolitalnego</w:t>
      </w:r>
      <w:r w:rsidRPr="001633D6">
        <w:t xml:space="preserve"> Górnośląsko-Zagłębiowskiej Metropolii</w:t>
      </w:r>
      <w:r w:rsidR="008A658F" w:rsidRPr="001633D6">
        <w:t>, organizatora transportu na terenie Katowic i Metropolii);</w:t>
      </w:r>
    </w:p>
    <w:p w14:paraId="5433ED9C" w14:textId="74815C32" w:rsidR="008A658F" w:rsidRPr="001633D6" w:rsidRDefault="008A658F" w:rsidP="001B2A4E">
      <w:pPr>
        <w:pStyle w:val="Akapitzlist"/>
        <w:numPr>
          <w:ilvl w:val="0"/>
          <w:numId w:val="42"/>
        </w:numPr>
      </w:pPr>
      <w:r w:rsidRPr="001633D6">
        <w:t>Krakowie (przedstawiciele Zarządu Transportu Publicznego);</w:t>
      </w:r>
    </w:p>
    <w:p w14:paraId="21BAD085" w14:textId="034AA64C" w:rsidR="008A658F" w:rsidRPr="001633D6" w:rsidRDefault="008A658F" w:rsidP="001B2A4E">
      <w:pPr>
        <w:pStyle w:val="Akapitzlist"/>
        <w:numPr>
          <w:ilvl w:val="0"/>
          <w:numId w:val="42"/>
        </w:numPr>
      </w:pPr>
      <w:r w:rsidRPr="001633D6">
        <w:t>Ł</w:t>
      </w:r>
      <w:r w:rsidR="0017272B">
        <w:t>o</w:t>
      </w:r>
      <w:r w:rsidRPr="001633D6">
        <w:t>d</w:t>
      </w:r>
      <w:r w:rsidR="0017272B">
        <w:t>zi</w:t>
      </w:r>
      <w:r w:rsidRPr="001633D6">
        <w:t xml:space="preserve"> (przedstawiciel Zarządu Dróg i Transportu);</w:t>
      </w:r>
    </w:p>
    <w:p w14:paraId="0835F65E" w14:textId="2621A0FB" w:rsidR="008A658F" w:rsidRPr="001633D6" w:rsidRDefault="008A658F" w:rsidP="001B2A4E">
      <w:pPr>
        <w:pStyle w:val="Akapitzlist"/>
        <w:numPr>
          <w:ilvl w:val="0"/>
          <w:numId w:val="42"/>
        </w:numPr>
      </w:pPr>
      <w:r w:rsidRPr="001633D6">
        <w:t>Opolu (przedstawiciele Wydziału Transportu Urzędu Miasta oraz MZK Opole);</w:t>
      </w:r>
    </w:p>
    <w:p w14:paraId="73298C61" w14:textId="1E6D3414" w:rsidR="008A658F" w:rsidRPr="001633D6" w:rsidRDefault="008A658F" w:rsidP="001B2A4E">
      <w:pPr>
        <w:pStyle w:val="Akapitzlist"/>
        <w:numPr>
          <w:ilvl w:val="0"/>
          <w:numId w:val="42"/>
        </w:numPr>
      </w:pPr>
      <w:r w:rsidRPr="001633D6">
        <w:t>Poznaniu (przedstawiciele ZTM Poznań);</w:t>
      </w:r>
    </w:p>
    <w:p w14:paraId="5E73982A" w14:textId="771D5320" w:rsidR="008A658F" w:rsidRPr="001633D6" w:rsidRDefault="008A658F" w:rsidP="001B2A4E">
      <w:pPr>
        <w:pStyle w:val="Akapitzlist"/>
        <w:numPr>
          <w:ilvl w:val="0"/>
          <w:numId w:val="42"/>
        </w:numPr>
      </w:pPr>
      <w:r w:rsidRPr="001633D6">
        <w:t>Szczecinie (przedstawiciele Zarządu Dróg i Transportu Miejskiego)</w:t>
      </w:r>
    </w:p>
    <w:p w14:paraId="29E35A01" w14:textId="3377C190" w:rsidR="009678A1" w:rsidRPr="001633D6" w:rsidRDefault="009678A1" w:rsidP="001B2A4E">
      <w:pPr>
        <w:pStyle w:val="Akapitzlist"/>
        <w:numPr>
          <w:ilvl w:val="0"/>
          <w:numId w:val="42"/>
        </w:numPr>
      </w:pPr>
      <w:r w:rsidRPr="001633D6">
        <w:t xml:space="preserve">Toruniu (przedstawiciel Referatu </w:t>
      </w:r>
      <w:r w:rsidR="008A658F" w:rsidRPr="001633D6">
        <w:t xml:space="preserve">Publicznego Transportu Zbiorowego </w:t>
      </w:r>
      <w:r w:rsidRPr="001633D6">
        <w:t>w Wydziale Gospodarki Komunalnej Urzędu Miasta Torunia);</w:t>
      </w:r>
    </w:p>
    <w:p w14:paraId="1EDA54C4" w14:textId="481B9776" w:rsidR="008A658F" w:rsidRPr="001633D6" w:rsidRDefault="008A658F" w:rsidP="001B2A4E">
      <w:pPr>
        <w:pStyle w:val="Akapitzlist"/>
        <w:numPr>
          <w:ilvl w:val="0"/>
          <w:numId w:val="42"/>
        </w:numPr>
      </w:pPr>
      <w:r w:rsidRPr="001633D6">
        <w:t>Warszawie (przedstawiciele ZTM Warszawa);</w:t>
      </w:r>
    </w:p>
    <w:p w14:paraId="0C27E0E2" w14:textId="0FA1AE7C" w:rsidR="009678A1" w:rsidRPr="001633D6" w:rsidRDefault="009678A1" w:rsidP="001B2A4E">
      <w:pPr>
        <w:pStyle w:val="Akapitzlist"/>
        <w:numPr>
          <w:ilvl w:val="0"/>
          <w:numId w:val="42"/>
        </w:numPr>
      </w:pPr>
      <w:r w:rsidRPr="001633D6">
        <w:t xml:space="preserve">Wrocławiu (przedstawiciele Zarządu Dróg i Utrzymania Miasta, </w:t>
      </w:r>
      <w:r w:rsidR="008A658F" w:rsidRPr="001633D6">
        <w:t>Departamentu Infrastruktury i</w:t>
      </w:r>
      <w:r w:rsidR="0017272B">
        <w:t> </w:t>
      </w:r>
      <w:r w:rsidR="008A658F" w:rsidRPr="001633D6">
        <w:t xml:space="preserve">Transportu Urzędu Miasta oraz </w:t>
      </w:r>
      <w:r w:rsidRPr="001633D6">
        <w:t>MPK Wrocław)</w:t>
      </w:r>
      <w:r w:rsidR="008A658F" w:rsidRPr="001633D6">
        <w:t>;</w:t>
      </w:r>
    </w:p>
    <w:p w14:paraId="0A34AF39" w14:textId="57A5288B" w:rsidR="009678A1" w:rsidRPr="001633D6" w:rsidRDefault="009678A1" w:rsidP="001B2A4E">
      <w:pPr>
        <w:pStyle w:val="Akapitzlist"/>
        <w:numPr>
          <w:ilvl w:val="0"/>
          <w:numId w:val="42"/>
        </w:numPr>
      </w:pPr>
      <w:r w:rsidRPr="001633D6">
        <w:t>Zielonej Górze (przedstawiciele MZK Zielona Góra).</w:t>
      </w:r>
    </w:p>
    <w:p w14:paraId="7B842443" w14:textId="0E54F73D" w:rsidR="00A81BC0" w:rsidRPr="001633D6" w:rsidRDefault="00A81BC0" w:rsidP="009707CB">
      <w:pPr>
        <w:pStyle w:val="Nagwek2"/>
        <w:rPr>
          <w:color w:val="auto"/>
        </w:rPr>
      </w:pPr>
      <w:bookmarkStart w:id="55" w:name="_Toc27125329"/>
      <w:r w:rsidRPr="001633D6">
        <w:rPr>
          <w:color w:val="auto"/>
        </w:rPr>
        <w:t>Panel ekspertów</w:t>
      </w:r>
      <w:bookmarkEnd w:id="55"/>
    </w:p>
    <w:p w14:paraId="1207942D" w14:textId="26B59EDB" w:rsidR="00F103CC" w:rsidRPr="001633D6" w:rsidRDefault="00257C54" w:rsidP="00C73F81">
      <w:r w:rsidRPr="001633D6">
        <w:t xml:space="preserve">W dniu 5 listopada 2019 r. </w:t>
      </w:r>
      <w:r w:rsidR="00CD7854" w:rsidRPr="001633D6">
        <w:t xml:space="preserve">w godz. 15:00-17:45 </w:t>
      </w:r>
      <w:r w:rsidRPr="001633D6">
        <w:t>przeprowadzony został panel ekspertów. Spotkanie miało charakter podsumowujący przeprowadzone prace przed sporządzeniem Raportu Końcowego. Do uczestnictwa w Panelu zaproszono 6 osób spoza zespołu badawczego (</w:t>
      </w:r>
      <w:r w:rsidR="00164C34" w:rsidRPr="001633D6">
        <w:t xml:space="preserve">por. </w:t>
      </w:r>
      <w:r w:rsidR="00164C34" w:rsidRPr="001633D6">
        <w:fldChar w:fldCharType="begin"/>
      </w:r>
      <w:r w:rsidR="00164C34" w:rsidRPr="001633D6">
        <w:instrText xml:space="preserve"> REF _Ref11834561 \h </w:instrText>
      </w:r>
      <w:r w:rsidR="00164C34" w:rsidRPr="001633D6">
        <w:fldChar w:fldCharType="separate"/>
      </w:r>
      <w:r w:rsidR="00C93FD7" w:rsidRPr="001633D6">
        <w:t xml:space="preserve">Tabela </w:t>
      </w:r>
      <w:r w:rsidR="00C93FD7">
        <w:rPr>
          <w:noProof/>
        </w:rPr>
        <w:t>7</w:t>
      </w:r>
      <w:r w:rsidR="00164C34" w:rsidRPr="001633D6">
        <w:fldChar w:fldCharType="end"/>
      </w:r>
      <w:r w:rsidRPr="001633D6">
        <w:t>). Lista ekspertów została wcześniej przedstawiona Zamawiającemu do akceptacji.</w:t>
      </w:r>
    </w:p>
    <w:p w14:paraId="48D9EDAD" w14:textId="66915507" w:rsidR="00257C54" w:rsidRPr="001633D6" w:rsidRDefault="00257C54" w:rsidP="00257C54">
      <w:pPr>
        <w:pStyle w:val="Legenda"/>
        <w:rPr>
          <w:color w:val="auto"/>
        </w:rPr>
      </w:pPr>
      <w:bookmarkStart w:id="56" w:name="_Ref11834561"/>
      <w:bookmarkStart w:id="57" w:name="_Toc27125365"/>
      <w:r w:rsidRPr="001633D6">
        <w:rPr>
          <w:color w:val="auto"/>
        </w:rPr>
        <w:t xml:space="preserve">Tabela </w:t>
      </w:r>
      <w:r w:rsidRPr="001633D6">
        <w:rPr>
          <w:noProof/>
          <w:color w:val="auto"/>
        </w:rPr>
        <w:fldChar w:fldCharType="begin"/>
      </w:r>
      <w:r w:rsidRPr="001633D6">
        <w:rPr>
          <w:noProof/>
          <w:color w:val="auto"/>
        </w:rPr>
        <w:instrText xml:space="preserve"> SEQ Tabela \* ARABIC </w:instrText>
      </w:r>
      <w:r w:rsidRPr="001633D6">
        <w:rPr>
          <w:noProof/>
          <w:color w:val="auto"/>
        </w:rPr>
        <w:fldChar w:fldCharType="separate"/>
      </w:r>
      <w:r w:rsidR="00C93FD7">
        <w:rPr>
          <w:noProof/>
          <w:color w:val="auto"/>
        </w:rPr>
        <w:t>7</w:t>
      </w:r>
      <w:r w:rsidRPr="001633D6">
        <w:rPr>
          <w:noProof/>
          <w:color w:val="auto"/>
        </w:rPr>
        <w:fldChar w:fldCharType="end"/>
      </w:r>
      <w:bookmarkEnd w:id="56"/>
      <w:r w:rsidRPr="001633D6">
        <w:rPr>
          <w:color w:val="auto"/>
        </w:rPr>
        <w:t>. Lista uczestników panelu ekspertów</w:t>
      </w:r>
      <w:bookmarkEnd w:id="57"/>
    </w:p>
    <w:tbl>
      <w:tblPr>
        <w:tblStyle w:val="WolanskiCorpTabela11"/>
        <w:tblW w:w="5000" w:type="pct"/>
        <w:tblLook w:val="0420" w:firstRow="1" w:lastRow="0" w:firstColumn="0" w:lastColumn="0" w:noHBand="0" w:noVBand="1"/>
      </w:tblPr>
      <w:tblGrid>
        <w:gridCol w:w="4111"/>
        <w:gridCol w:w="4960"/>
      </w:tblGrid>
      <w:tr w:rsidR="00DC37C2" w:rsidRPr="001633D6" w14:paraId="01E73FEE" w14:textId="77777777" w:rsidTr="00164C34">
        <w:trPr>
          <w:cnfStyle w:val="100000000000" w:firstRow="1" w:lastRow="0" w:firstColumn="0" w:lastColumn="0" w:oddVBand="0" w:evenVBand="0" w:oddHBand="0" w:evenHBand="0" w:firstRowFirstColumn="0" w:firstRowLastColumn="0" w:lastRowFirstColumn="0" w:lastRowLastColumn="0"/>
        </w:trPr>
        <w:tc>
          <w:tcPr>
            <w:tcW w:w="2266" w:type="pct"/>
          </w:tcPr>
          <w:p w14:paraId="6B7FD21F" w14:textId="77777777" w:rsidR="00257C54" w:rsidRPr="00310D6A" w:rsidRDefault="00257C54" w:rsidP="007966FB">
            <w:pPr>
              <w:rPr>
                <w:sz w:val="18"/>
                <w:szCs w:val="18"/>
              </w:rPr>
            </w:pPr>
            <w:r w:rsidRPr="00310D6A">
              <w:rPr>
                <w:sz w:val="18"/>
                <w:szCs w:val="18"/>
              </w:rPr>
              <w:t>instytucja</w:t>
            </w:r>
          </w:p>
        </w:tc>
        <w:tc>
          <w:tcPr>
            <w:tcW w:w="2734" w:type="pct"/>
          </w:tcPr>
          <w:p w14:paraId="21ACEC05" w14:textId="77777777" w:rsidR="00257C54" w:rsidRPr="00310D6A" w:rsidRDefault="00257C54" w:rsidP="007966FB">
            <w:pPr>
              <w:rPr>
                <w:sz w:val="18"/>
                <w:szCs w:val="18"/>
              </w:rPr>
            </w:pPr>
            <w:r w:rsidRPr="00310D6A">
              <w:rPr>
                <w:sz w:val="18"/>
                <w:szCs w:val="18"/>
              </w:rPr>
              <w:t>uwagi</w:t>
            </w:r>
          </w:p>
        </w:tc>
      </w:tr>
      <w:tr w:rsidR="00DC37C2" w:rsidRPr="001633D6" w14:paraId="384D671C" w14:textId="77777777" w:rsidTr="00164C34">
        <w:trPr>
          <w:cnfStyle w:val="000000100000" w:firstRow="0" w:lastRow="0" w:firstColumn="0" w:lastColumn="0" w:oddVBand="0" w:evenVBand="0" w:oddHBand="1" w:evenHBand="0" w:firstRowFirstColumn="0" w:firstRowLastColumn="0" w:lastRowFirstColumn="0" w:lastRowLastColumn="0"/>
        </w:trPr>
        <w:tc>
          <w:tcPr>
            <w:tcW w:w="2266" w:type="pct"/>
          </w:tcPr>
          <w:p w14:paraId="0BE65425" w14:textId="77777777" w:rsidR="00257C54" w:rsidRPr="00310D6A" w:rsidRDefault="00257C54" w:rsidP="007966FB">
            <w:pPr>
              <w:jc w:val="left"/>
              <w:rPr>
                <w:sz w:val="18"/>
                <w:szCs w:val="18"/>
              </w:rPr>
            </w:pPr>
            <w:r w:rsidRPr="00310D6A">
              <w:rPr>
                <w:sz w:val="18"/>
                <w:szCs w:val="18"/>
              </w:rPr>
              <w:t>Centrum Unijnych Projektów Transportowych</w:t>
            </w:r>
          </w:p>
        </w:tc>
        <w:tc>
          <w:tcPr>
            <w:tcW w:w="2734" w:type="pct"/>
          </w:tcPr>
          <w:p w14:paraId="1E36D31B" w14:textId="77777777" w:rsidR="00257C54" w:rsidRPr="00310D6A" w:rsidRDefault="00257C54" w:rsidP="007966FB">
            <w:pPr>
              <w:jc w:val="left"/>
              <w:rPr>
                <w:sz w:val="18"/>
                <w:szCs w:val="18"/>
              </w:rPr>
            </w:pPr>
            <w:r w:rsidRPr="00310D6A">
              <w:rPr>
                <w:sz w:val="18"/>
                <w:szCs w:val="18"/>
              </w:rPr>
              <w:t>Instytucja Pośrednicząca POIiŚ</w:t>
            </w:r>
          </w:p>
        </w:tc>
      </w:tr>
      <w:tr w:rsidR="00DC37C2" w:rsidRPr="001633D6" w14:paraId="284E9713" w14:textId="77777777" w:rsidTr="00164C34">
        <w:tc>
          <w:tcPr>
            <w:tcW w:w="2266" w:type="pct"/>
          </w:tcPr>
          <w:p w14:paraId="4A35705B" w14:textId="4D1143E2" w:rsidR="00257C54" w:rsidRPr="00310D6A" w:rsidRDefault="00257C54" w:rsidP="007966FB">
            <w:pPr>
              <w:jc w:val="left"/>
              <w:rPr>
                <w:sz w:val="18"/>
                <w:szCs w:val="18"/>
              </w:rPr>
            </w:pPr>
            <w:r w:rsidRPr="00310D6A">
              <w:rPr>
                <w:sz w:val="18"/>
                <w:szCs w:val="18"/>
              </w:rPr>
              <w:t xml:space="preserve">Instytut Nauk Ekonomicznych </w:t>
            </w:r>
            <w:r w:rsidR="00164C34" w:rsidRPr="00310D6A">
              <w:rPr>
                <w:sz w:val="18"/>
                <w:szCs w:val="18"/>
              </w:rPr>
              <w:br/>
            </w:r>
            <w:r w:rsidRPr="00310D6A">
              <w:rPr>
                <w:sz w:val="18"/>
                <w:szCs w:val="18"/>
              </w:rPr>
              <w:t>Polskiej Akademii Nauk</w:t>
            </w:r>
          </w:p>
        </w:tc>
        <w:tc>
          <w:tcPr>
            <w:tcW w:w="2734" w:type="pct"/>
          </w:tcPr>
          <w:p w14:paraId="7F24228E" w14:textId="53A1BA48" w:rsidR="00257C54" w:rsidRPr="00310D6A" w:rsidRDefault="00164C34" w:rsidP="007966FB">
            <w:pPr>
              <w:jc w:val="left"/>
              <w:rPr>
                <w:sz w:val="18"/>
                <w:szCs w:val="18"/>
              </w:rPr>
            </w:pPr>
            <w:r w:rsidRPr="00310D6A">
              <w:rPr>
                <w:sz w:val="18"/>
                <w:szCs w:val="18"/>
              </w:rPr>
              <w:t>Instytut naukowy prowadzący badania w dziedzinie teorii ekonomii i analiz gospodarczych</w:t>
            </w:r>
          </w:p>
        </w:tc>
      </w:tr>
      <w:tr w:rsidR="00DC37C2" w:rsidRPr="001633D6" w14:paraId="07F9678E" w14:textId="77777777" w:rsidTr="00164C34">
        <w:trPr>
          <w:cnfStyle w:val="000000100000" w:firstRow="0" w:lastRow="0" w:firstColumn="0" w:lastColumn="0" w:oddVBand="0" w:evenVBand="0" w:oddHBand="1" w:evenHBand="0" w:firstRowFirstColumn="0" w:firstRowLastColumn="0" w:lastRowFirstColumn="0" w:lastRowLastColumn="0"/>
        </w:trPr>
        <w:tc>
          <w:tcPr>
            <w:tcW w:w="2266" w:type="pct"/>
          </w:tcPr>
          <w:p w14:paraId="6A06868C" w14:textId="442F38A7" w:rsidR="00257C54" w:rsidRPr="00310D6A" w:rsidRDefault="00257C54" w:rsidP="00257C54">
            <w:pPr>
              <w:jc w:val="left"/>
              <w:rPr>
                <w:sz w:val="18"/>
                <w:szCs w:val="18"/>
              </w:rPr>
            </w:pPr>
            <w:r w:rsidRPr="00310D6A">
              <w:rPr>
                <w:sz w:val="18"/>
                <w:szCs w:val="18"/>
              </w:rPr>
              <w:t>Wydział Transportu Politechniki Warszawskiej</w:t>
            </w:r>
          </w:p>
        </w:tc>
        <w:tc>
          <w:tcPr>
            <w:tcW w:w="2734" w:type="pct"/>
          </w:tcPr>
          <w:p w14:paraId="1764901D" w14:textId="6CA690E3" w:rsidR="00257C54" w:rsidRPr="00310D6A" w:rsidRDefault="00164C34" w:rsidP="00257C54">
            <w:pPr>
              <w:jc w:val="left"/>
              <w:rPr>
                <w:sz w:val="18"/>
                <w:szCs w:val="18"/>
              </w:rPr>
            </w:pPr>
            <w:r w:rsidRPr="00310D6A">
              <w:rPr>
                <w:sz w:val="18"/>
                <w:szCs w:val="18"/>
              </w:rPr>
              <w:t>Jednostka naukowo-badawcza działająca</w:t>
            </w:r>
            <w:r w:rsidRPr="00310D6A">
              <w:rPr>
                <w:sz w:val="18"/>
                <w:szCs w:val="18"/>
              </w:rPr>
              <w:br/>
              <w:t>w dziedzinie nauk inżynieryjno-technicznych</w:t>
            </w:r>
          </w:p>
        </w:tc>
      </w:tr>
      <w:tr w:rsidR="00DC37C2" w:rsidRPr="001633D6" w14:paraId="1EA3222A" w14:textId="77777777" w:rsidTr="00164C34">
        <w:tc>
          <w:tcPr>
            <w:tcW w:w="2266" w:type="pct"/>
          </w:tcPr>
          <w:p w14:paraId="16103BDD" w14:textId="478150FA" w:rsidR="00257C54" w:rsidRPr="00310D6A" w:rsidRDefault="00257C54" w:rsidP="00257C54">
            <w:pPr>
              <w:jc w:val="left"/>
              <w:rPr>
                <w:sz w:val="18"/>
                <w:szCs w:val="18"/>
              </w:rPr>
            </w:pPr>
            <w:r w:rsidRPr="00310D6A">
              <w:rPr>
                <w:sz w:val="18"/>
                <w:szCs w:val="18"/>
              </w:rPr>
              <w:t>Public Transport Consulting</w:t>
            </w:r>
          </w:p>
        </w:tc>
        <w:tc>
          <w:tcPr>
            <w:tcW w:w="2734" w:type="pct"/>
          </w:tcPr>
          <w:p w14:paraId="07D55824" w14:textId="014B435D" w:rsidR="00257C54" w:rsidRPr="00310D6A" w:rsidRDefault="00257C54" w:rsidP="00257C54">
            <w:pPr>
              <w:jc w:val="left"/>
              <w:rPr>
                <w:sz w:val="18"/>
                <w:szCs w:val="18"/>
              </w:rPr>
            </w:pPr>
            <w:r w:rsidRPr="00310D6A">
              <w:rPr>
                <w:sz w:val="18"/>
                <w:szCs w:val="18"/>
              </w:rPr>
              <w:t>Ekspert z dziedziny badań marketingowych i</w:t>
            </w:r>
            <w:r w:rsidR="00164C34" w:rsidRPr="00310D6A">
              <w:rPr>
                <w:sz w:val="18"/>
                <w:szCs w:val="18"/>
              </w:rPr>
              <w:t> </w:t>
            </w:r>
            <w:r w:rsidR="006B2DDB" w:rsidRPr="00310D6A">
              <w:rPr>
                <w:sz w:val="18"/>
                <w:szCs w:val="18"/>
              </w:rPr>
              <w:t>optymalizacji</w:t>
            </w:r>
            <w:r w:rsidRPr="00310D6A">
              <w:rPr>
                <w:sz w:val="18"/>
                <w:szCs w:val="18"/>
              </w:rPr>
              <w:t xml:space="preserve"> sieci</w:t>
            </w:r>
            <w:r w:rsidR="00164C34" w:rsidRPr="00310D6A">
              <w:rPr>
                <w:sz w:val="18"/>
                <w:szCs w:val="18"/>
              </w:rPr>
              <w:t xml:space="preserve"> komunikacyjnych</w:t>
            </w:r>
          </w:p>
        </w:tc>
      </w:tr>
      <w:tr w:rsidR="00DC37C2" w:rsidRPr="001633D6" w14:paraId="5A44B582" w14:textId="77777777" w:rsidTr="00164C34">
        <w:trPr>
          <w:cnfStyle w:val="000000100000" w:firstRow="0" w:lastRow="0" w:firstColumn="0" w:lastColumn="0" w:oddVBand="0" w:evenVBand="0" w:oddHBand="1" w:evenHBand="0" w:firstRowFirstColumn="0" w:firstRowLastColumn="0" w:lastRowFirstColumn="0" w:lastRowLastColumn="0"/>
        </w:trPr>
        <w:tc>
          <w:tcPr>
            <w:tcW w:w="2266" w:type="pct"/>
          </w:tcPr>
          <w:p w14:paraId="5F24523A" w14:textId="30DB51F5" w:rsidR="00257C54" w:rsidRPr="00310D6A" w:rsidRDefault="00164C34" w:rsidP="00257C54">
            <w:pPr>
              <w:jc w:val="left"/>
              <w:rPr>
                <w:sz w:val="18"/>
                <w:szCs w:val="18"/>
              </w:rPr>
            </w:pPr>
            <w:r w:rsidRPr="00310D6A">
              <w:rPr>
                <w:sz w:val="18"/>
                <w:szCs w:val="18"/>
              </w:rPr>
              <w:t>Wydział Komunikacji Urzędu Miasta Rybnik</w:t>
            </w:r>
          </w:p>
        </w:tc>
        <w:tc>
          <w:tcPr>
            <w:tcW w:w="2734" w:type="pct"/>
          </w:tcPr>
          <w:p w14:paraId="0F736DB7" w14:textId="76718D04" w:rsidR="00257C54" w:rsidRPr="00310D6A" w:rsidRDefault="00257C54" w:rsidP="00257C54">
            <w:pPr>
              <w:jc w:val="left"/>
              <w:rPr>
                <w:sz w:val="18"/>
                <w:szCs w:val="18"/>
              </w:rPr>
            </w:pPr>
            <w:r w:rsidRPr="00310D6A">
              <w:rPr>
                <w:sz w:val="18"/>
                <w:szCs w:val="18"/>
              </w:rPr>
              <w:t>Ekspert z dziedziny transportu</w:t>
            </w:r>
          </w:p>
        </w:tc>
      </w:tr>
      <w:tr w:rsidR="00DC37C2" w:rsidRPr="001633D6" w14:paraId="6EE9ED84" w14:textId="77777777" w:rsidTr="00164C34">
        <w:tc>
          <w:tcPr>
            <w:tcW w:w="2266" w:type="pct"/>
          </w:tcPr>
          <w:p w14:paraId="0991FC24" w14:textId="1ED1EB2C" w:rsidR="00164C34" w:rsidRPr="00310D6A" w:rsidRDefault="00164C34" w:rsidP="00164C34">
            <w:pPr>
              <w:jc w:val="left"/>
              <w:rPr>
                <w:sz w:val="18"/>
                <w:szCs w:val="18"/>
              </w:rPr>
            </w:pPr>
            <w:r w:rsidRPr="00310D6A">
              <w:rPr>
                <w:sz w:val="18"/>
                <w:szCs w:val="18"/>
              </w:rPr>
              <w:lastRenderedPageBreak/>
              <w:t>Projekty Miejskie</w:t>
            </w:r>
          </w:p>
        </w:tc>
        <w:tc>
          <w:tcPr>
            <w:tcW w:w="2734" w:type="pct"/>
          </w:tcPr>
          <w:p w14:paraId="4082A468" w14:textId="7637CC40" w:rsidR="00164C34" w:rsidRPr="00310D6A" w:rsidRDefault="00164C34" w:rsidP="00164C34">
            <w:pPr>
              <w:jc w:val="left"/>
              <w:rPr>
                <w:sz w:val="18"/>
                <w:szCs w:val="18"/>
              </w:rPr>
            </w:pPr>
            <w:r w:rsidRPr="00310D6A">
              <w:rPr>
                <w:sz w:val="18"/>
                <w:szCs w:val="18"/>
              </w:rPr>
              <w:t>Ekspert z dziedziny polityki miejskiej</w:t>
            </w:r>
          </w:p>
        </w:tc>
      </w:tr>
      <w:tr w:rsidR="00DC37C2" w:rsidRPr="001633D6" w14:paraId="4D4D82A8" w14:textId="77777777" w:rsidTr="00164C34">
        <w:trPr>
          <w:cnfStyle w:val="000000100000" w:firstRow="0" w:lastRow="0" w:firstColumn="0" w:lastColumn="0" w:oddVBand="0" w:evenVBand="0" w:oddHBand="1" w:evenHBand="0" w:firstRowFirstColumn="0" w:firstRowLastColumn="0" w:lastRowFirstColumn="0" w:lastRowLastColumn="0"/>
        </w:trPr>
        <w:tc>
          <w:tcPr>
            <w:tcW w:w="2266" w:type="pct"/>
          </w:tcPr>
          <w:p w14:paraId="7857C082" w14:textId="7DA81731" w:rsidR="00164C34" w:rsidRPr="00310D6A" w:rsidRDefault="00164C34" w:rsidP="00164C34">
            <w:pPr>
              <w:jc w:val="left"/>
              <w:rPr>
                <w:sz w:val="18"/>
                <w:szCs w:val="18"/>
              </w:rPr>
            </w:pPr>
            <w:r w:rsidRPr="00310D6A">
              <w:rPr>
                <w:sz w:val="18"/>
                <w:szCs w:val="18"/>
              </w:rPr>
              <w:t>Fundacja „Marsz Zebry”</w:t>
            </w:r>
          </w:p>
        </w:tc>
        <w:tc>
          <w:tcPr>
            <w:tcW w:w="2734" w:type="pct"/>
          </w:tcPr>
          <w:p w14:paraId="598137FB" w14:textId="6794491D" w:rsidR="00164C34" w:rsidRPr="00310D6A" w:rsidRDefault="00164C34" w:rsidP="00164C34">
            <w:pPr>
              <w:jc w:val="left"/>
              <w:rPr>
                <w:sz w:val="18"/>
                <w:szCs w:val="18"/>
              </w:rPr>
            </w:pPr>
            <w:r w:rsidRPr="00310D6A">
              <w:rPr>
                <w:sz w:val="18"/>
                <w:szCs w:val="18"/>
              </w:rPr>
              <w:t>Fundacja na rzecz poprawy bezpieczeństwa ruchu drogowego</w:t>
            </w:r>
          </w:p>
        </w:tc>
      </w:tr>
    </w:tbl>
    <w:p w14:paraId="1BF893A5" w14:textId="77777777" w:rsidR="00257C54" w:rsidRPr="001633D6" w:rsidRDefault="00257C54" w:rsidP="00257C54">
      <w:pPr>
        <w:spacing w:before="0" w:after="120" w:line="240" w:lineRule="auto"/>
        <w:rPr>
          <w:rFonts w:asciiTheme="majorHAnsi" w:eastAsia="Calibri" w:hAnsiTheme="majorHAnsi" w:cs="Times New Roman"/>
          <w:bCs/>
          <w:szCs w:val="18"/>
        </w:rPr>
      </w:pPr>
      <w:r w:rsidRPr="001633D6">
        <w:rPr>
          <w:rFonts w:asciiTheme="majorHAnsi" w:eastAsia="Calibri" w:hAnsiTheme="majorHAnsi" w:cs="Times New Roman"/>
          <w:bCs/>
          <w:szCs w:val="18"/>
        </w:rPr>
        <w:t>Źródło: opracowanie własne.</w:t>
      </w:r>
    </w:p>
    <w:p w14:paraId="69D91EAF" w14:textId="16916684" w:rsidR="00CD7854" w:rsidRPr="001633D6" w:rsidRDefault="00CD7854" w:rsidP="00CD7854">
      <w:r w:rsidRPr="001633D6">
        <w:t>Panel miał na celu lepszą interpretację wyników badania, a także pozwolił wewnętrznie przedyskutować jakość wniosków i rekomendacji, co uczyniło je intersubiektywnymi oraz miało pozwolić uniknąć kontrowersji przy upublicznianiu raportu.</w:t>
      </w:r>
    </w:p>
    <w:p w14:paraId="15660CC3" w14:textId="7BF1B0D3" w:rsidR="00CD7854" w:rsidRPr="001633D6" w:rsidRDefault="00CD7854" w:rsidP="00CD7854">
      <w:r w:rsidRPr="001633D6">
        <w:t xml:space="preserve">Zagadnienia podjęte w czasie panelu wynikały wprost z postawionych pytań badawczych. Uczestnikom wprost zadano 3 z nich, by rozwinąć zakres wyników badania: </w:t>
      </w:r>
    </w:p>
    <w:p w14:paraId="4C28C825" w14:textId="1054399B" w:rsidR="00CD7854" w:rsidRPr="001633D6" w:rsidRDefault="00CD7854" w:rsidP="001B2A4E">
      <w:pPr>
        <w:pStyle w:val="Akapitzlist"/>
        <w:numPr>
          <w:ilvl w:val="0"/>
          <w:numId w:val="43"/>
        </w:numPr>
      </w:pPr>
      <w:r w:rsidRPr="001633D6">
        <w:t xml:space="preserve">Czy w wyniku realizacji projektów POIiŚ prowadzona jest efektywna polityka możliwości zmiany środka transportu np. z autobusu na tramwaj oraz z indywidualnego na zbiorowy w drodze do centrum miasta (kluczowe węzły przesiadkowe oraz parkingi </w:t>
      </w:r>
      <w:r w:rsidRPr="00307E9E">
        <w:rPr>
          <w:i/>
        </w:rPr>
        <w:t>P&amp;R</w:t>
      </w:r>
      <w:r w:rsidRPr="001633D6">
        <w:t xml:space="preserve"> na przedmieściach i w obszarach funkcjonalnych)?</w:t>
      </w:r>
    </w:p>
    <w:p w14:paraId="61068897" w14:textId="1867174A" w:rsidR="00CD7854" w:rsidRPr="001633D6" w:rsidRDefault="00CD7854" w:rsidP="001B2A4E">
      <w:pPr>
        <w:pStyle w:val="Akapitzlist"/>
        <w:numPr>
          <w:ilvl w:val="0"/>
          <w:numId w:val="43"/>
        </w:numPr>
      </w:pPr>
      <w:r w:rsidRPr="001633D6">
        <w:t>Jakie inne zmiany zamierzone i niezamierzone (pozytywne i/lub negatywne) wystąpią (np. na poziomie infrastruktury pasażera) wskutek interwencji w transporcie zbiorowym i</w:t>
      </w:r>
      <w:r w:rsidR="00735D52">
        <w:t> </w:t>
      </w:r>
      <w:r w:rsidRPr="001633D6">
        <w:t>indywidualnym?</w:t>
      </w:r>
    </w:p>
    <w:p w14:paraId="627A2F74" w14:textId="697322E9" w:rsidR="00CD7854" w:rsidRPr="001633D6" w:rsidRDefault="00CD7854" w:rsidP="001B2A4E">
      <w:pPr>
        <w:pStyle w:val="Akapitzlist"/>
        <w:numPr>
          <w:ilvl w:val="0"/>
          <w:numId w:val="43"/>
        </w:numPr>
      </w:pPr>
      <w:r w:rsidRPr="001633D6">
        <w:t>Jakie uzupełniające projekty transportowe mogą w znaczący sposób zwiększyć efektywność systemu transportowego miast (tak w zakresie infrastruktury drogowej, jak i</w:t>
      </w:r>
      <w:r w:rsidR="00735D52">
        <w:t> </w:t>
      </w:r>
      <w:r w:rsidRPr="001633D6">
        <w:t>kolejowej)?</w:t>
      </w:r>
    </w:p>
    <w:p w14:paraId="54F9ABBC" w14:textId="77777777" w:rsidR="004C39AB" w:rsidRPr="001633D6" w:rsidRDefault="004C39AB" w:rsidP="004C39AB">
      <w:pPr>
        <w:pStyle w:val="Nagwek2"/>
        <w:rPr>
          <w:color w:val="auto"/>
        </w:rPr>
      </w:pPr>
      <w:bookmarkStart w:id="58" w:name="_Toc27125330"/>
      <w:r w:rsidRPr="001633D6">
        <w:rPr>
          <w:color w:val="auto"/>
        </w:rPr>
        <w:t>Studia przypadku</w:t>
      </w:r>
      <w:bookmarkEnd w:id="58"/>
    </w:p>
    <w:p w14:paraId="093E2477" w14:textId="2BF48496" w:rsidR="004C39AB" w:rsidRDefault="004C39AB" w:rsidP="004C39AB">
      <w:r w:rsidRPr="001633D6">
        <w:t>Zrealizowano łącznie 8 studiów przypadku dla węzłów przesiadkowych: 6 przewidzianych do przebudowy w ramach POIiŚ i 2 dla węzłów niepoddanych interwencji</w:t>
      </w:r>
      <w:r w:rsidR="00A93E13" w:rsidRPr="001633D6">
        <w:t>, co pozwoli porównać uzyskiwane efekty</w:t>
      </w:r>
      <w:r w:rsidRPr="001633D6">
        <w:t>. Za węzeł przesiadkowy uznano zespół przystankowy, w którego obszarze zatrzymują się co najmniej 2 różne środki transportu (np. tramwaj i autobus, kole</w:t>
      </w:r>
      <w:r w:rsidR="00C74944" w:rsidRPr="001633D6">
        <w:t>j</w:t>
      </w:r>
      <w:r w:rsidRPr="001633D6">
        <w:t xml:space="preserve"> lub </w:t>
      </w:r>
      <w:r w:rsidR="00C74944" w:rsidRPr="001633D6">
        <w:t xml:space="preserve">stacja </w:t>
      </w:r>
      <w:r w:rsidRPr="001633D6">
        <w:t>rower</w:t>
      </w:r>
      <w:r w:rsidR="0044038D" w:rsidRPr="001633D6">
        <w:t>u</w:t>
      </w:r>
      <w:r w:rsidRPr="001633D6">
        <w:t xml:space="preserve"> miejski</w:t>
      </w:r>
      <w:r w:rsidR="0044038D" w:rsidRPr="001633D6">
        <w:t>ego</w:t>
      </w:r>
      <w:r w:rsidRPr="001633D6">
        <w:t>).</w:t>
      </w:r>
      <w:r w:rsidR="00A93E13" w:rsidRPr="001633D6">
        <w:t xml:space="preserve"> Listę węzłów przesiadkowych poddanych studium przedstawi</w:t>
      </w:r>
      <w:r w:rsidR="00FE3D2B">
        <w:t>a</w:t>
      </w:r>
      <w:r w:rsidR="00A93E13" w:rsidRPr="001633D6">
        <w:t xml:space="preserve"> </w:t>
      </w:r>
      <w:r w:rsidR="00A93E13" w:rsidRPr="001633D6">
        <w:fldChar w:fldCharType="begin"/>
      </w:r>
      <w:r w:rsidR="00A93E13" w:rsidRPr="001633D6">
        <w:instrText xml:space="preserve"> REF _Ref11834762 \h </w:instrText>
      </w:r>
      <w:r w:rsidR="00A93E13" w:rsidRPr="001633D6">
        <w:fldChar w:fldCharType="separate"/>
      </w:r>
      <w:r w:rsidR="00C93FD7" w:rsidRPr="001633D6">
        <w:t xml:space="preserve">Tabela </w:t>
      </w:r>
      <w:r w:rsidR="00C93FD7">
        <w:rPr>
          <w:noProof/>
        </w:rPr>
        <w:t>8</w:t>
      </w:r>
      <w:r w:rsidR="00A93E13" w:rsidRPr="001633D6">
        <w:fldChar w:fldCharType="end"/>
      </w:r>
      <w:r w:rsidR="00A93E13" w:rsidRPr="001633D6">
        <w:t>.</w:t>
      </w:r>
    </w:p>
    <w:p w14:paraId="6CCE39A4" w14:textId="77777777" w:rsidR="00FE3D2B" w:rsidRPr="001633D6" w:rsidRDefault="00FE3D2B" w:rsidP="00FE3D2B">
      <w:r w:rsidRPr="001633D6">
        <w:t>W ramach studium przypadku opracowano:</w:t>
      </w:r>
    </w:p>
    <w:p w14:paraId="3E863719" w14:textId="77777777" w:rsidR="00FE3D2B" w:rsidRPr="001633D6" w:rsidRDefault="00FE3D2B" w:rsidP="001B2A4E">
      <w:pPr>
        <w:pStyle w:val="Akapitzlist"/>
        <w:numPr>
          <w:ilvl w:val="0"/>
          <w:numId w:val="44"/>
        </w:numPr>
      </w:pPr>
      <w:r w:rsidRPr="001633D6">
        <w:t>podstawową charakterystykę danego węzła przesiadkowego: specyfikę położenia, integrowane środki transportowe, podstawowe linie komunikacyjne, schemat dróg przejścia między przystankami, identyfikację warunków funkcjonowania węzła;</w:t>
      </w:r>
    </w:p>
    <w:p w14:paraId="3DFC90ED" w14:textId="77777777" w:rsidR="00FE3D2B" w:rsidRPr="001633D6" w:rsidRDefault="00FE3D2B" w:rsidP="001B2A4E">
      <w:pPr>
        <w:pStyle w:val="Akapitzlist"/>
        <w:numPr>
          <w:ilvl w:val="0"/>
          <w:numId w:val="44"/>
        </w:numPr>
      </w:pPr>
      <w:r w:rsidRPr="001633D6">
        <w:t>listę projektów inwestycyjnych realizowanych bezpośrednio na obszarze węzła lub w jego sąsiedztwie;</w:t>
      </w:r>
    </w:p>
    <w:p w14:paraId="1D509B95" w14:textId="77777777" w:rsidR="00FE3D2B" w:rsidRPr="001633D6" w:rsidRDefault="00FE3D2B" w:rsidP="001B2A4E">
      <w:pPr>
        <w:pStyle w:val="Akapitzlist"/>
        <w:numPr>
          <w:ilvl w:val="0"/>
          <w:numId w:val="44"/>
        </w:numPr>
      </w:pPr>
      <w:r w:rsidRPr="001633D6">
        <w:t>ocenę węzła w 9 kryteriach na podstawie wizji lokalnej: integracji przestrzennej, warunków ruchu i przepustowości, bezpieczeństwa ruchu, bezpieczeństwa osobistego, wewnętrznej logiki węzła, informacji pasażerskiej, dostępności pieszej i osób PRM, dostępności parkingowej; obecności dodatkowych elementów na węźle</w:t>
      </w:r>
      <w:r>
        <w:t xml:space="preserve"> (np. punkt obsługi pasażera, toaleta, gastronomia itd.)</w:t>
      </w:r>
      <w:r w:rsidRPr="001633D6">
        <w:t>;</w:t>
      </w:r>
    </w:p>
    <w:p w14:paraId="386D618C" w14:textId="77777777" w:rsidR="00FE3D2B" w:rsidRPr="001633D6" w:rsidRDefault="00FE3D2B" w:rsidP="001B2A4E">
      <w:pPr>
        <w:pStyle w:val="Akapitzlist"/>
        <w:numPr>
          <w:ilvl w:val="0"/>
          <w:numId w:val="44"/>
        </w:numPr>
      </w:pPr>
      <w:r w:rsidRPr="001633D6">
        <w:t>dokumentację fotograficzną kluczowych elementów węzła oraz zauważonych wad;</w:t>
      </w:r>
    </w:p>
    <w:p w14:paraId="5743F719" w14:textId="77777777" w:rsidR="00FE3D2B" w:rsidRPr="001633D6" w:rsidRDefault="00FE3D2B" w:rsidP="001B2A4E">
      <w:pPr>
        <w:pStyle w:val="Akapitzlist"/>
        <w:numPr>
          <w:ilvl w:val="0"/>
          <w:numId w:val="44"/>
        </w:numPr>
      </w:pPr>
      <w:r w:rsidRPr="001633D6">
        <w:t>syntetyczne wnioski z wizji lokalnej i ewentualnych wywiadów.</w:t>
      </w:r>
    </w:p>
    <w:p w14:paraId="656B5F9C" w14:textId="7ECDA184" w:rsidR="00FE3D2B" w:rsidRPr="001633D6" w:rsidRDefault="00FE3D2B" w:rsidP="00FE3D2B">
      <w:r w:rsidRPr="001633D6">
        <w:t>Studia przypadku poszczególnych węzłów przesiadkowych dołączono do raportu końcowego w</w:t>
      </w:r>
      <w:r w:rsidR="00735D52">
        <w:t> </w:t>
      </w:r>
      <w:r w:rsidRPr="001633D6">
        <w:t>formie załącznik</w:t>
      </w:r>
      <w:r w:rsidR="00557F62">
        <w:t>ów</w:t>
      </w:r>
      <w:r w:rsidRPr="001633D6">
        <w:t xml:space="preserve"> elektroniczn</w:t>
      </w:r>
      <w:r w:rsidR="00557F62">
        <w:t>ych</w:t>
      </w:r>
      <w:r w:rsidRPr="001633D6">
        <w:t xml:space="preserve"> (por. </w:t>
      </w:r>
      <w:r w:rsidRPr="001633D6">
        <w:fldChar w:fldCharType="begin"/>
      </w:r>
      <w:r w:rsidRPr="001633D6">
        <w:instrText xml:space="preserve"> REF Załącznik4 \h </w:instrText>
      </w:r>
      <w:r w:rsidRPr="001633D6">
        <w:fldChar w:fldCharType="separate"/>
      </w:r>
      <w:r w:rsidR="00C93FD7" w:rsidRPr="00CE65CD">
        <w:rPr>
          <w:color w:val="000000" w:themeColor="text1"/>
        </w:rPr>
        <w:t>Załącznik 4</w:t>
      </w:r>
      <w:r w:rsidRPr="001633D6">
        <w:fldChar w:fldCharType="end"/>
      </w:r>
      <w:r w:rsidRPr="001633D6">
        <w:t>).</w:t>
      </w:r>
    </w:p>
    <w:p w14:paraId="14178914" w14:textId="18BCCFF3" w:rsidR="004C39AB" w:rsidRPr="001633D6" w:rsidRDefault="004C39AB" w:rsidP="004C39AB">
      <w:pPr>
        <w:pStyle w:val="Legenda"/>
        <w:rPr>
          <w:color w:val="auto"/>
        </w:rPr>
      </w:pPr>
      <w:bookmarkStart w:id="59" w:name="_Ref11834762"/>
      <w:bookmarkStart w:id="60" w:name="_Toc27125366"/>
      <w:r w:rsidRPr="001633D6">
        <w:rPr>
          <w:color w:val="auto"/>
        </w:rPr>
        <w:lastRenderedPageBreak/>
        <w:t xml:space="preserve">Tabela </w:t>
      </w:r>
      <w:r w:rsidRPr="001633D6">
        <w:rPr>
          <w:noProof/>
          <w:color w:val="auto"/>
        </w:rPr>
        <w:fldChar w:fldCharType="begin"/>
      </w:r>
      <w:r w:rsidRPr="001633D6">
        <w:rPr>
          <w:noProof/>
          <w:color w:val="auto"/>
        </w:rPr>
        <w:instrText xml:space="preserve"> SEQ Tabela \* ARABIC </w:instrText>
      </w:r>
      <w:r w:rsidRPr="001633D6">
        <w:rPr>
          <w:noProof/>
          <w:color w:val="auto"/>
        </w:rPr>
        <w:fldChar w:fldCharType="separate"/>
      </w:r>
      <w:r w:rsidR="00C93FD7">
        <w:rPr>
          <w:noProof/>
          <w:color w:val="auto"/>
        </w:rPr>
        <w:t>8</w:t>
      </w:r>
      <w:r w:rsidRPr="001633D6">
        <w:rPr>
          <w:noProof/>
          <w:color w:val="auto"/>
        </w:rPr>
        <w:fldChar w:fldCharType="end"/>
      </w:r>
      <w:bookmarkEnd w:id="59"/>
      <w:r w:rsidRPr="001633D6">
        <w:rPr>
          <w:color w:val="auto"/>
        </w:rPr>
        <w:t>. Lista węzłów przesiadkowych, dla których przeprowadzono studium przypadku</w:t>
      </w:r>
      <w:bookmarkEnd w:id="60"/>
    </w:p>
    <w:tbl>
      <w:tblPr>
        <w:tblStyle w:val="WolanskiCorpTabela3"/>
        <w:tblW w:w="9499" w:type="dxa"/>
        <w:tblLook w:val="04A0" w:firstRow="1" w:lastRow="0" w:firstColumn="1" w:lastColumn="0" w:noHBand="0" w:noVBand="1"/>
      </w:tblPr>
      <w:tblGrid>
        <w:gridCol w:w="569"/>
        <w:gridCol w:w="1167"/>
        <w:gridCol w:w="1298"/>
        <w:gridCol w:w="3203"/>
        <w:gridCol w:w="3262"/>
      </w:tblGrid>
      <w:tr w:rsidR="00BF3C6A" w:rsidRPr="001633D6" w14:paraId="51A010F2" w14:textId="38CF1CE8" w:rsidTr="004C39AB">
        <w:trPr>
          <w:cnfStyle w:val="100000000000" w:firstRow="1" w:lastRow="0" w:firstColumn="0" w:lastColumn="0" w:oddVBand="0" w:evenVBand="0" w:oddHBand="0" w:evenHBand="0" w:firstRowFirstColumn="0" w:firstRowLastColumn="0" w:lastRowFirstColumn="0" w:lastRowLastColumn="0"/>
        </w:trPr>
        <w:tc>
          <w:tcPr>
            <w:tcW w:w="569" w:type="dxa"/>
          </w:tcPr>
          <w:p w14:paraId="6ABBE073" w14:textId="34FDD2C8" w:rsidR="004C39AB" w:rsidRPr="00310D6A" w:rsidRDefault="004C39AB" w:rsidP="00356E82">
            <w:pPr>
              <w:keepNext/>
              <w:spacing w:line="240" w:lineRule="auto"/>
              <w:rPr>
                <w:rFonts w:asciiTheme="majorHAnsi" w:hAnsiTheme="majorHAnsi"/>
                <w:iCs/>
                <w:sz w:val="18"/>
                <w:szCs w:val="18"/>
              </w:rPr>
            </w:pPr>
            <w:r w:rsidRPr="00310D6A">
              <w:rPr>
                <w:rFonts w:asciiTheme="majorHAnsi" w:hAnsiTheme="majorHAnsi"/>
                <w:iCs/>
                <w:sz w:val="18"/>
                <w:szCs w:val="18"/>
              </w:rPr>
              <w:t>L.P.</w:t>
            </w:r>
          </w:p>
        </w:tc>
        <w:tc>
          <w:tcPr>
            <w:tcW w:w="1167" w:type="dxa"/>
          </w:tcPr>
          <w:p w14:paraId="65F288F9" w14:textId="62622896" w:rsidR="004C39AB" w:rsidRPr="00310D6A" w:rsidRDefault="004C39AB" w:rsidP="00356E82">
            <w:pPr>
              <w:keepNext/>
              <w:spacing w:line="240" w:lineRule="auto"/>
              <w:rPr>
                <w:rFonts w:asciiTheme="majorHAnsi" w:hAnsiTheme="majorHAnsi"/>
                <w:iCs/>
                <w:sz w:val="18"/>
                <w:szCs w:val="18"/>
              </w:rPr>
            </w:pPr>
            <w:r w:rsidRPr="00310D6A">
              <w:rPr>
                <w:rFonts w:asciiTheme="majorHAnsi" w:hAnsiTheme="majorHAnsi"/>
                <w:iCs/>
                <w:sz w:val="18"/>
                <w:szCs w:val="18"/>
              </w:rPr>
              <w:t>MIASTO</w:t>
            </w:r>
          </w:p>
        </w:tc>
        <w:tc>
          <w:tcPr>
            <w:tcW w:w="1298" w:type="dxa"/>
          </w:tcPr>
          <w:p w14:paraId="247DA7F4" w14:textId="77777777" w:rsidR="004C39AB" w:rsidRPr="00310D6A" w:rsidRDefault="004C39AB" w:rsidP="00356E82">
            <w:pPr>
              <w:keepNext/>
              <w:spacing w:line="240" w:lineRule="auto"/>
              <w:rPr>
                <w:rFonts w:asciiTheme="majorHAnsi" w:hAnsiTheme="majorHAnsi"/>
                <w:iCs/>
                <w:sz w:val="18"/>
                <w:szCs w:val="18"/>
              </w:rPr>
            </w:pPr>
            <w:r w:rsidRPr="00310D6A">
              <w:rPr>
                <w:rFonts w:asciiTheme="majorHAnsi" w:hAnsiTheme="majorHAnsi"/>
                <w:iCs/>
                <w:sz w:val="18"/>
                <w:szCs w:val="18"/>
              </w:rPr>
              <w:t>NAZWA WĘZŁA</w:t>
            </w:r>
          </w:p>
        </w:tc>
        <w:tc>
          <w:tcPr>
            <w:tcW w:w="3203" w:type="dxa"/>
          </w:tcPr>
          <w:p w14:paraId="2F86B6DF" w14:textId="058D696D" w:rsidR="004C39AB" w:rsidRPr="00310D6A" w:rsidRDefault="004C39AB" w:rsidP="00356E82">
            <w:pPr>
              <w:keepNext/>
              <w:spacing w:line="240" w:lineRule="auto"/>
              <w:rPr>
                <w:rFonts w:asciiTheme="majorHAnsi" w:hAnsiTheme="majorHAnsi"/>
                <w:iCs/>
                <w:sz w:val="18"/>
                <w:szCs w:val="18"/>
              </w:rPr>
            </w:pPr>
            <w:r w:rsidRPr="00310D6A">
              <w:rPr>
                <w:rFonts w:asciiTheme="majorHAnsi" w:hAnsiTheme="majorHAnsi"/>
                <w:iCs/>
                <w:sz w:val="18"/>
                <w:szCs w:val="18"/>
              </w:rPr>
              <w:t>STAN „PRZED”</w:t>
            </w:r>
          </w:p>
        </w:tc>
        <w:tc>
          <w:tcPr>
            <w:tcW w:w="3260" w:type="dxa"/>
          </w:tcPr>
          <w:p w14:paraId="03A0F9E9" w14:textId="7334705D" w:rsidR="004C39AB" w:rsidRPr="00310D6A" w:rsidRDefault="004C39AB" w:rsidP="00356E82">
            <w:pPr>
              <w:keepNext/>
              <w:spacing w:line="240" w:lineRule="auto"/>
              <w:rPr>
                <w:rFonts w:asciiTheme="majorHAnsi" w:hAnsiTheme="majorHAnsi"/>
                <w:iCs/>
                <w:sz w:val="18"/>
                <w:szCs w:val="18"/>
              </w:rPr>
            </w:pPr>
            <w:r w:rsidRPr="00310D6A">
              <w:rPr>
                <w:rFonts w:asciiTheme="majorHAnsi" w:hAnsiTheme="majorHAnsi"/>
                <w:iCs/>
                <w:sz w:val="18"/>
                <w:szCs w:val="18"/>
              </w:rPr>
              <w:t>Planowany STAN „PO”</w:t>
            </w:r>
          </w:p>
        </w:tc>
      </w:tr>
      <w:tr w:rsidR="00BF3C6A" w:rsidRPr="001633D6" w14:paraId="05660F4D" w14:textId="77777777" w:rsidTr="004C39AB">
        <w:trPr>
          <w:cnfStyle w:val="000000100000" w:firstRow="0" w:lastRow="0" w:firstColumn="0" w:lastColumn="0" w:oddVBand="0" w:evenVBand="0" w:oddHBand="1" w:evenHBand="0" w:firstRowFirstColumn="0" w:firstRowLastColumn="0" w:lastRowFirstColumn="0" w:lastRowLastColumn="0"/>
        </w:trPr>
        <w:tc>
          <w:tcPr>
            <w:tcW w:w="9499" w:type="dxa"/>
            <w:gridSpan w:val="5"/>
          </w:tcPr>
          <w:p w14:paraId="33BA1937" w14:textId="524D9A17" w:rsidR="004C39AB" w:rsidRPr="00310D6A" w:rsidRDefault="004C39AB" w:rsidP="004C39AB">
            <w:pPr>
              <w:keepNext/>
              <w:spacing w:line="240" w:lineRule="auto"/>
              <w:rPr>
                <w:rFonts w:ascii="Lora" w:eastAsia="Lora" w:hAnsi="Lora" w:cs="Times New Roman"/>
                <w:iCs/>
                <w:sz w:val="18"/>
                <w:szCs w:val="18"/>
              </w:rPr>
            </w:pPr>
            <w:r w:rsidRPr="00310D6A">
              <w:rPr>
                <w:rFonts w:ascii="Lora" w:eastAsia="Lora" w:hAnsi="Lora" w:cs="Times New Roman"/>
                <w:b/>
                <w:iCs/>
                <w:sz w:val="18"/>
                <w:szCs w:val="18"/>
              </w:rPr>
              <w:t>WĘZŁY PODDAWANE INTERWENCJI POIIŚ 2014-2020</w:t>
            </w:r>
          </w:p>
        </w:tc>
      </w:tr>
      <w:tr w:rsidR="00BF3C6A" w:rsidRPr="001633D6" w14:paraId="46DCFE61" w14:textId="71A8099D" w:rsidTr="004C39AB">
        <w:tc>
          <w:tcPr>
            <w:tcW w:w="569" w:type="dxa"/>
          </w:tcPr>
          <w:p w14:paraId="128B0C9A" w14:textId="79E8B9D2" w:rsidR="004C39AB" w:rsidRPr="00310D6A" w:rsidRDefault="004C39AB" w:rsidP="004C39AB">
            <w:pPr>
              <w:keepNext/>
              <w:spacing w:line="240" w:lineRule="auto"/>
              <w:rPr>
                <w:iCs/>
                <w:sz w:val="18"/>
                <w:szCs w:val="18"/>
              </w:rPr>
            </w:pPr>
            <w:r w:rsidRPr="00310D6A">
              <w:rPr>
                <w:iCs/>
                <w:sz w:val="18"/>
                <w:szCs w:val="18"/>
              </w:rPr>
              <w:t>1</w:t>
            </w:r>
          </w:p>
        </w:tc>
        <w:tc>
          <w:tcPr>
            <w:tcW w:w="1167" w:type="dxa"/>
          </w:tcPr>
          <w:p w14:paraId="04B701B0" w14:textId="0968DD98" w:rsidR="004C39AB" w:rsidRPr="00310D6A" w:rsidRDefault="004C39AB" w:rsidP="004C39AB">
            <w:pPr>
              <w:keepNext/>
              <w:spacing w:line="240" w:lineRule="auto"/>
              <w:rPr>
                <w:iCs/>
                <w:sz w:val="18"/>
                <w:szCs w:val="18"/>
              </w:rPr>
            </w:pPr>
            <w:r w:rsidRPr="00310D6A">
              <w:rPr>
                <w:iCs/>
                <w:sz w:val="18"/>
                <w:szCs w:val="18"/>
              </w:rPr>
              <w:t>Kraków</w:t>
            </w:r>
          </w:p>
        </w:tc>
        <w:tc>
          <w:tcPr>
            <w:tcW w:w="1298" w:type="dxa"/>
          </w:tcPr>
          <w:p w14:paraId="7BC87462" w14:textId="11E3A644"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Krowodrza Gorka</w:t>
            </w:r>
          </w:p>
        </w:tc>
        <w:tc>
          <w:tcPr>
            <w:tcW w:w="3203" w:type="dxa"/>
          </w:tcPr>
          <w:p w14:paraId="67346281" w14:textId="60C07389"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pętla końcowa tramwajowa i autobusowa</w:t>
            </w:r>
          </w:p>
        </w:tc>
        <w:tc>
          <w:tcPr>
            <w:tcW w:w="3260" w:type="dxa"/>
          </w:tcPr>
          <w:p w14:paraId="5425BD53" w14:textId="13F960B5" w:rsidR="004C39AB" w:rsidRPr="00310D6A" w:rsidRDefault="004C39AB" w:rsidP="004C39AB">
            <w:pPr>
              <w:keepNext/>
              <w:spacing w:line="240" w:lineRule="auto"/>
              <w:rPr>
                <w:rFonts w:ascii="Lora" w:eastAsia="Lora" w:hAnsi="Lora" w:cs="Times New Roman"/>
                <w:iCs/>
                <w:sz w:val="18"/>
                <w:szCs w:val="18"/>
              </w:rPr>
            </w:pPr>
            <w:r w:rsidRPr="00310D6A">
              <w:rPr>
                <w:rFonts w:ascii="Lora" w:eastAsia="Lora" w:hAnsi="Lora" w:cs="Times New Roman"/>
                <w:iCs/>
                <w:sz w:val="18"/>
                <w:szCs w:val="18"/>
              </w:rPr>
              <w:t>pętla tramwajowa przelotowa, zmniejszenie znaczenia węzła</w:t>
            </w:r>
            <w:r w:rsidR="002C5D2D">
              <w:rPr>
                <w:rFonts w:ascii="Lora" w:eastAsia="Lora" w:hAnsi="Lora" w:cs="Times New Roman"/>
                <w:iCs/>
                <w:sz w:val="18"/>
                <w:szCs w:val="18"/>
              </w:rPr>
              <w:t>, P&amp;R</w:t>
            </w:r>
          </w:p>
        </w:tc>
      </w:tr>
      <w:tr w:rsidR="00BF3C6A" w:rsidRPr="001633D6" w14:paraId="7EBAC226" w14:textId="6518DBFE" w:rsidTr="004C39AB">
        <w:trPr>
          <w:cnfStyle w:val="000000100000" w:firstRow="0" w:lastRow="0" w:firstColumn="0" w:lastColumn="0" w:oddVBand="0" w:evenVBand="0" w:oddHBand="1" w:evenHBand="0" w:firstRowFirstColumn="0" w:firstRowLastColumn="0" w:lastRowFirstColumn="0" w:lastRowLastColumn="0"/>
        </w:trPr>
        <w:tc>
          <w:tcPr>
            <w:tcW w:w="569" w:type="dxa"/>
          </w:tcPr>
          <w:p w14:paraId="7307A862" w14:textId="702DB14F" w:rsidR="004C39AB" w:rsidRPr="00310D6A" w:rsidRDefault="004C39AB" w:rsidP="004C39AB">
            <w:pPr>
              <w:keepNext/>
              <w:spacing w:line="240" w:lineRule="auto"/>
              <w:rPr>
                <w:iCs/>
                <w:sz w:val="18"/>
                <w:szCs w:val="18"/>
              </w:rPr>
            </w:pPr>
            <w:r w:rsidRPr="00310D6A">
              <w:rPr>
                <w:iCs/>
                <w:sz w:val="18"/>
                <w:szCs w:val="18"/>
              </w:rPr>
              <w:t>2</w:t>
            </w:r>
          </w:p>
        </w:tc>
        <w:tc>
          <w:tcPr>
            <w:tcW w:w="1167" w:type="dxa"/>
          </w:tcPr>
          <w:p w14:paraId="2717B84A" w14:textId="59B2550B"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Poznań</w:t>
            </w:r>
          </w:p>
        </w:tc>
        <w:tc>
          <w:tcPr>
            <w:tcW w:w="1298" w:type="dxa"/>
          </w:tcPr>
          <w:p w14:paraId="5405BBAF" w14:textId="527B012D" w:rsidR="004C39AB" w:rsidRPr="00310D6A" w:rsidRDefault="004C39AB" w:rsidP="004C39AB">
            <w:pPr>
              <w:keepNext/>
              <w:spacing w:line="240" w:lineRule="auto"/>
              <w:rPr>
                <w:iCs/>
                <w:sz w:val="18"/>
                <w:szCs w:val="18"/>
              </w:rPr>
            </w:pPr>
            <w:r w:rsidRPr="00310D6A">
              <w:rPr>
                <w:iCs/>
                <w:sz w:val="18"/>
                <w:szCs w:val="18"/>
              </w:rPr>
              <w:t>Rynek Wildecki</w:t>
            </w:r>
          </w:p>
        </w:tc>
        <w:tc>
          <w:tcPr>
            <w:tcW w:w="3203" w:type="dxa"/>
          </w:tcPr>
          <w:p w14:paraId="12ED479D" w14:textId="75753D0E"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 xml:space="preserve">osobne przystanki tramwajowe na </w:t>
            </w:r>
            <w:r w:rsidR="002C571B" w:rsidRPr="00310D6A">
              <w:rPr>
                <w:rFonts w:ascii="Lora" w:eastAsia="Lora" w:hAnsi="Lora" w:cs="Times New Roman"/>
                <w:iCs/>
                <w:sz w:val="18"/>
                <w:szCs w:val="18"/>
              </w:rPr>
              <w:t>rozgałęziających się trasach, stacja roweru miejskiego</w:t>
            </w:r>
          </w:p>
        </w:tc>
        <w:tc>
          <w:tcPr>
            <w:tcW w:w="3260" w:type="dxa"/>
          </w:tcPr>
          <w:p w14:paraId="7AFE0961" w14:textId="2BBD1DD3" w:rsidR="004C39AB" w:rsidRPr="00310D6A" w:rsidRDefault="002C571B" w:rsidP="004C39AB">
            <w:pPr>
              <w:keepNext/>
              <w:spacing w:line="240" w:lineRule="auto"/>
              <w:rPr>
                <w:rFonts w:ascii="Lora" w:eastAsia="Lora" w:hAnsi="Lora" w:cs="Times New Roman"/>
                <w:iCs/>
                <w:sz w:val="18"/>
                <w:szCs w:val="18"/>
              </w:rPr>
            </w:pPr>
            <w:r w:rsidRPr="00310D6A">
              <w:rPr>
                <w:rFonts w:ascii="Lora" w:eastAsia="Lora" w:hAnsi="Lora" w:cs="Times New Roman"/>
                <w:iCs/>
                <w:sz w:val="18"/>
                <w:szCs w:val="18"/>
              </w:rPr>
              <w:t>zespół przystankowy na wspólnym fragmencie torowiska, przystanek autobusu nocnego</w:t>
            </w:r>
          </w:p>
        </w:tc>
      </w:tr>
      <w:tr w:rsidR="00BF3C6A" w:rsidRPr="001633D6" w14:paraId="110F1188" w14:textId="2DA6DADE" w:rsidTr="004C39AB">
        <w:tc>
          <w:tcPr>
            <w:tcW w:w="569" w:type="dxa"/>
          </w:tcPr>
          <w:p w14:paraId="60D4A4DB" w14:textId="23F82600" w:rsidR="004C39AB" w:rsidRPr="00310D6A" w:rsidRDefault="004C39AB" w:rsidP="004C39AB">
            <w:pPr>
              <w:keepNext/>
              <w:spacing w:line="240" w:lineRule="auto"/>
              <w:rPr>
                <w:iCs/>
                <w:sz w:val="18"/>
                <w:szCs w:val="18"/>
              </w:rPr>
            </w:pPr>
            <w:r w:rsidRPr="00310D6A">
              <w:rPr>
                <w:iCs/>
                <w:sz w:val="18"/>
                <w:szCs w:val="18"/>
              </w:rPr>
              <w:t>3</w:t>
            </w:r>
          </w:p>
        </w:tc>
        <w:tc>
          <w:tcPr>
            <w:tcW w:w="1167" w:type="dxa"/>
          </w:tcPr>
          <w:p w14:paraId="5DB72C01" w14:textId="44692336" w:rsidR="004C39AB" w:rsidRPr="00310D6A" w:rsidRDefault="004C39AB" w:rsidP="004C39AB">
            <w:pPr>
              <w:keepNext/>
              <w:spacing w:line="240" w:lineRule="auto"/>
              <w:rPr>
                <w:iCs/>
                <w:sz w:val="18"/>
                <w:szCs w:val="18"/>
              </w:rPr>
            </w:pPr>
            <w:r w:rsidRPr="00310D6A">
              <w:rPr>
                <w:iCs/>
                <w:sz w:val="18"/>
                <w:szCs w:val="18"/>
              </w:rPr>
              <w:t>Gdynia</w:t>
            </w:r>
          </w:p>
        </w:tc>
        <w:tc>
          <w:tcPr>
            <w:tcW w:w="1298" w:type="dxa"/>
          </w:tcPr>
          <w:p w14:paraId="57201A79" w14:textId="19A97502" w:rsidR="004C39AB" w:rsidRPr="00310D6A" w:rsidRDefault="004C39AB" w:rsidP="004C39AB">
            <w:pPr>
              <w:keepNext/>
              <w:spacing w:line="240" w:lineRule="auto"/>
              <w:rPr>
                <w:iCs/>
                <w:sz w:val="18"/>
                <w:szCs w:val="18"/>
              </w:rPr>
            </w:pPr>
            <w:r w:rsidRPr="00310D6A">
              <w:rPr>
                <w:iCs/>
                <w:sz w:val="18"/>
                <w:szCs w:val="18"/>
              </w:rPr>
              <w:t>Chylonia</w:t>
            </w:r>
          </w:p>
        </w:tc>
        <w:tc>
          <w:tcPr>
            <w:tcW w:w="3203" w:type="dxa"/>
          </w:tcPr>
          <w:p w14:paraId="5A020B3E" w14:textId="59784263"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pętla autobusowo-trolejbusowa</w:t>
            </w:r>
            <w:r w:rsidR="008041B7" w:rsidRPr="00310D6A">
              <w:rPr>
                <w:rFonts w:ascii="Lora" w:eastAsia="Lora" w:hAnsi="Lora" w:cs="Times New Roman"/>
                <w:iCs/>
                <w:sz w:val="18"/>
                <w:szCs w:val="18"/>
              </w:rPr>
              <w:t>, stacja kolejowa</w:t>
            </w:r>
          </w:p>
        </w:tc>
        <w:tc>
          <w:tcPr>
            <w:tcW w:w="3260" w:type="dxa"/>
          </w:tcPr>
          <w:p w14:paraId="05A47452" w14:textId="71845C1A" w:rsidR="004C39AB" w:rsidRPr="00310D6A" w:rsidRDefault="00A259C7" w:rsidP="004C39AB">
            <w:pPr>
              <w:keepNext/>
              <w:spacing w:line="240" w:lineRule="auto"/>
              <w:rPr>
                <w:iCs/>
                <w:sz w:val="18"/>
                <w:szCs w:val="18"/>
              </w:rPr>
            </w:pPr>
            <w:r>
              <w:rPr>
                <w:iCs/>
                <w:sz w:val="18"/>
                <w:szCs w:val="18"/>
              </w:rPr>
              <w:t>dodatkowy parking P&amp;R</w:t>
            </w:r>
          </w:p>
        </w:tc>
      </w:tr>
      <w:tr w:rsidR="00BF3C6A" w:rsidRPr="001633D6" w14:paraId="5EA027B9" w14:textId="7F254A24" w:rsidTr="004C39AB">
        <w:trPr>
          <w:cnfStyle w:val="000000100000" w:firstRow="0" w:lastRow="0" w:firstColumn="0" w:lastColumn="0" w:oddVBand="0" w:evenVBand="0" w:oddHBand="1" w:evenHBand="0" w:firstRowFirstColumn="0" w:firstRowLastColumn="0" w:lastRowFirstColumn="0" w:lastRowLastColumn="0"/>
        </w:trPr>
        <w:tc>
          <w:tcPr>
            <w:tcW w:w="569" w:type="dxa"/>
          </w:tcPr>
          <w:p w14:paraId="2579770F" w14:textId="01D6A30C" w:rsidR="004C39AB" w:rsidRPr="00310D6A" w:rsidRDefault="004C39AB" w:rsidP="004C39AB">
            <w:pPr>
              <w:keepNext/>
              <w:spacing w:line="240" w:lineRule="auto"/>
              <w:rPr>
                <w:iCs/>
                <w:sz w:val="18"/>
                <w:szCs w:val="18"/>
              </w:rPr>
            </w:pPr>
            <w:r w:rsidRPr="00310D6A">
              <w:rPr>
                <w:iCs/>
                <w:sz w:val="18"/>
                <w:szCs w:val="18"/>
              </w:rPr>
              <w:t>4</w:t>
            </w:r>
          </w:p>
        </w:tc>
        <w:tc>
          <w:tcPr>
            <w:tcW w:w="1167" w:type="dxa"/>
          </w:tcPr>
          <w:p w14:paraId="0A205A89" w14:textId="7196A1C1" w:rsidR="004C39AB" w:rsidRPr="00310D6A" w:rsidRDefault="004C39AB" w:rsidP="004C39AB">
            <w:pPr>
              <w:keepNext/>
              <w:spacing w:line="240" w:lineRule="auto"/>
              <w:rPr>
                <w:iCs/>
                <w:sz w:val="18"/>
                <w:szCs w:val="18"/>
              </w:rPr>
            </w:pPr>
            <w:r w:rsidRPr="00310D6A">
              <w:rPr>
                <w:iCs/>
                <w:sz w:val="18"/>
                <w:szCs w:val="18"/>
              </w:rPr>
              <w:t>Łódź</w:t>
            </w:r>
          </w:p>
        </w:tc>
        <w:tc>
          <w:tcPr>
            <w:tcW w:w="1298" w:type="dxa"/>
          </w:tcPr>
          <w:p w14:paraId="163E023A" w14:textId="24716B66" w:rsidR="004C39AB" w:rsidRPr="00310D6A" w:rsidRDefault="004C39AB" w:rsidP="004C39AB">
            <w:pPr>
              <w:keepNext/>
              <w:spacing w:line="240" w:lineRule="auto"/>
              <w:rPr>
                <w:iCs/>
                <w:sz w:val="18"/>
                <w:szCs w:val="18"/>
              </w:rPr>
            </w:pPr>
            <w:r w:rsidRPr="00310D6A">
              <w:rPr>
                <w:iCs/>
                <w:sz w:val="18"/>
                <w:szCs w:val="18"/>
              </w:rPr>
              <w:t>Chojny</w:t>
            </w:r>
          </w:p>
        </w:tc>
        <w:tc>
          <w:tcPr>
            <w:tcW w:w="3203" w:type="dxa"/>
          </w:tcPr>
          <w:p w14:paraId="22C0C436" w14:textId="67BCE8F7"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 xml:space="preserve">pętla tramwajowa, </w:t>
            </w:r>
            <w:r w:rsidR="002C571B" w:rsidRPr="00310D6A">
              <w:rPr>
                <w:rFonts w:ascii="Lora" w:eastAsia="Lora" w:hAnsi="Lora" w:cs="Times New Roman"/>
                <w:iCs/>
                <w:sz w:val="18"/>
                <w:szCs w:val="18"/>
              </w:rPr>
              <w:t>osobna pętla autobusowa, stacja kolejowa</w:t>
            </w:r>
          </w:p>
        </w:tc>
        <w:tc>
          <w:tcPr>
            <w:tcW w:w="3260" w:type="dxa"/>
          </w:tcPr>
          <w:p w14:paraId="63E83758" w14:textId="4DACCC2F" w:rsidR="004C39AB" w:rsidRPr="00310D6A" w:rsidRDefault="002C571B" w:rsidP="004C39AB">
            <w:pPr>
              <w:keepNext/>
              <w:spacing w:line="240" w:lineRule="auto"/>
              <w:rPr>
                <w:iCs/>
                <w:sz w:val="18"/>
                <w:szCs w:val="18"/>
              </w:rPr>
            </w:pPr>
            <w:r w:rsidRPr="00310D6A">
              <w:rPr>
                <w:rFonts w:ascii="Lora" w:eastAsia="Lora" w:hAnsi="Lora" w:cs="Times New Roman"/>
                <w:iCs/>
                <w:sz w:val="18"/>
                <w:szCs w:val="18"/>
              </w:rPr>
              <w:t xml:space="preserve">wspólna </w:t>
            </w:r>
            <w:r w:rsidR="004C39AB" w:rsidRPr="00310D6A">
              <w:rPr>
                <w:rFonts w:ascii="Lora" w:eastAsia="Lora" w:hAnsi="Lora" w:cs="Times New Roman"/>
                <w:iCs/>
                <w:sz w:val="18"/>
                <w:szCs w:val="18"/>
              </w:rPr>
              <w:t>pętla autobusowo-tramwajowa</w:t>
            </w:r>
            <w:r w:rsidRPr="00310D6A">
              <w:rPr>
                <w:rFonts w:ascii="Lora" w:eastAsia="Lora" w:hAnsi="Lora" w:cs="Times New Roman"/>
                <w:iCs/>
                <w:sz w:val="18"/>
                <w:szCs w:val="18"/>
              </w:rPr>
              <w:t>, stacja kolejowa b.z.</w:t>
            </w:r>
          </w:p>
        </w:tc>
      </w:tr>
      <w:tr w:rsidR="00BF3C6A" w:rsidRPr="001633D6" w14:paraId="3D0F8EA5" w14:textId="3CC1B182" w:rsidTr="004C39AB">
        <w:tc>
          <w:tcPr>
            <w:tcW w:w="569" w:type="dxa"/>
          </w:tcPr>
          <w:p w14:paraId="0EC2D539" w14:textId="2239BD0E" w:rsidR="004C39AB" w:rsidRPr="00310D6A" w:rsidRDefault="004C39AB" w:rsidP="004C39AB">
            <w:pPr>
              <w:keepNext/>
              <w:spacing w:line="240" w:lineRule="auto"/>
              <w:rPr>
                <w:iCs/>
                <w:sz w:val="18"/>
                <w:szCs w:val="18"/>
              </w:rPr>
            </w:pPr>
            <w:r w:rsidRPr="00310D6A">
              <w:rPr>
                <w:iCs/>
                <w:sz w:val="18"/>
                <w:szCs w:val="18"/>
              </w:rPr>
              <w:t>5</w:t>
            </w:r>
          </w:p>
        </w:tc>
        <w:tc>
          <w:tcPr>
            <w:tcW w:w="1167" w:type="dxa"/>
          </w:tcPr>
          <w:p w14:paraId="4120CE9B" w14:textId="6AA0DA92" w:rsidR="004C39AB" w:rsidRPr="00310D6A" w:rsidRDefault="004C39AB" w:rsidP="004C39AB">
            <w:pPr>
              <w:keepNext/>
              <w:spacing w:line="240" w:lineRule="auto"/>
              <w:rPr>
                <w:iCs/>
                <w:sz w:val="18"/>
                <w:szCs w:val="18"/>
              </w:rPr>
            </w:pPr>
            <w:r w:rsidRPr="00310D6A">
              <w:rPr>
                <w:iCs/>
                <w:sz w:val="18"/>
                <w:szCs w:val="18"/>
              </w:rPr>
              <w:t>Warszawa</w:t>
            </w:r>
          </w:p>
        </w:tc>
        <w:tc>
          <w:tcPr>
            <w:tcW w:w="1298" w:type="dxa"/>
          </w:tcPr>
          <w:p w14:paraId="22A2E774" w14:textId="4031396A" w:rsidR="004C39AB" w:rsidRPr="00310D6A" w:rsidRDefault="004C39AB" w:rsidP="004C39AB">
            <w:pPr>
              <w:keepNext/>
              <w:spacing w:line="240" w:lineRule="auto"/>
              <w:rPr>
                <w:iCs/>
                <w:sz w:val="18"/>
                <w:szCs w:val="18"/>
              </w:rPr>
            </w:pPr>
            <w:r w:rsidRPr="00310D6A">
              <w:rPr>
                <w:iCs/>
                <w:sz w:val="18"/>
                <w:szCs w:val="18"/>
              </w:rPr>
              <w:t>Plac Unii Lubelskiej</w:t>
            </w:r>
          </w:p>
        </w:tc>
        <w:tc>
          <w:tcPr>
            <w:tcW w:w="3203" w:type="dxa"/>
          </w:tcPr>
          <w:p w14:paraId="61322655" w14:textId="10901FC7" w:rsidR="004C39AB" w:rsidRPr="00310D6A" w:rsidRDefault="004C39AB" w:rsidP="004C39AB">
            <w:pPr>
              <w:keepNext/>
              <w:spacing w:line="240" w:lineRule="auto"/>
              <w:rPr>
                <w:iCs/>
                <w:sz w:val="18"/>
                <w:szCs w:val="18"/>
              </w:rPr>
            </w:pPr>
            <w:r w:rsidRPr="00310D6A">
              <w:rPr>
                <w:rFonts w:ascii="Lora" w:eastAsia="Lora" w:hAnsi="Lora" w:cs="Times New Roman"/>
                <w:iCs/>
                <w:sz w:val="18"/>
                <w:szCs w:val="18"/>
              </w:rPr>
              <w:t xml:space="preserve">tramwaj </w:t>
            </w:r>
            <w:r w:rsidR="002C571B" w:rsidRPr="00310D6A">
              <w:rPr>
                <w:rFonts w:ascii="Lora" w:eastAsia="Lora" w:hAnsi="Lora" w:cs="Times New Roman"/>
                <w:iCs/>
                <w:sz w:val="18"/>
                <w:szCs w:val="18"/>
              </w:rPr>
              <w:t xml:space="preserve">w osi </w:t>
            </w:r>
            <w:r w:rsidRPr="00310D6A">
              <w:rPr>
                <w:rFonts w:ascii="Lora" w:eastAsia="Lora" w:hAnsi="Lora" w:cs="Times New Roman"/>
                <w:iCs/>
                <w:sz w:val="18"/>
                <w:szCs w:val="18"/>
              </w:rPr>
              <w:t>północ-południe</w:t>
            </w:r>
            <w:r w:rsidR="002C571B" w:rsidRPr="00310D6A">
              <w:rPr>
                <w:rFonts w:ascii="Lora" w:eastAsia="Lora" w:hAnsi="Lora" w:cs="Times New Roman"/>
                <w:iCs/>
                <w:sz w:val="18"/>
                <w:szCs w:val="18"/>
              </w:rPr>
              <w:t>, linie autobusowe</w:t>
            </w:r>
          </w:p>
        </w:tc>
        <w:tc>
          <w:tcPr>
            <w:tcW w:w="3260" w:type="dxa"/>
          </w:tcPr>
          <w:p w14:paraId="5E960A21" w14:textId="09F2C3E8" w:rsidR="004C39AB" w:rsidRPr="00310D6A" w:rsidRDefault="002C571B" w:rsidP="004C39AB">
            <w:pPr>
              <w:keepNext/>
              <w:spacing w:line="240" w:lineRule="auto"/>
              <w:rPr>
                <w:iCs/>
                <w:sz w:val="18"/>
                <w:szCs w:val="18"/>
              </w:rPr>
            </w:pPr>
            <w:r w:rsidRPr="00310D6A">
              <w:rPr>
                <w:iCs/>
                <w:sz w:val="18"/>
                <w:szCs w:val="18"/>
              </w:rPr>
              <w:t>dojście relacji tramwajowych wschód-zachód</w:t>
            </w:r>
          </w:p>
        </w:tc>
      </w:tr>
      <w:tr w:rsidR="00BF3C6A" w:rsidRPr="001633D6" w14:paraId="43A07886" w14:textId="77777777" w:rsidTr="004C39AB">
        <w:trPr>
          <w:cnfStyle w:val="000000100000" w:firstRow="0" w:lastRow="0" w:firstColumn="0" w:lastColumn="0" w:oddVBand="0" w:evenVBand="0" w:oddHBand="1" w:evenHBand="0" w:firstRowFirstColumn="0" w:firstRowLastColumn="0" w:lastRowFirstColumn="0" w:lastRowLastColumn="0"/>
        </w:trPr>
        <w:tc>
          <w:tcPr>
            <w:tcW w:w="569" w:type="dxa"/>
          </w:tcPr>
          <w:p w14:paraId="51CF83EE" w14:textId="174B5A70" w:rsidR="004C39AB" w:rsidRPr="00310D6A" w:rsidRDefault="004C39AB" w:rsidP="004C39AB">
            <w:pPr>
              <w:keepNext/>
              <w:spacing w:line="240" w:lineRule="auto"/>
              <w:rPr>
                <w:iCs/>
                <w:sz w:val="18"/>
                <w:szCs w:val="18"/>
              </w:rPr>
            </w:pPr>
            <w:r w:rsidRPr="00310D6A">
              <w:rPr>
                <w:iCs/>
                <w:sz w:val="18"/>
                <w:szCs w:val="18"/>
              </w:rPr>
              <w:t>6</w:t>
            </w:r>
          </w:p>
        </w:tc>
        <w:tc>
          <w:tcPr>
            <w:tcW w:w="1167" w:type="dxa"/>
          </w:tcPr>
          <w:p w14:paraId="21052185" w14:textId="0D28FD6A" w:rsidR="004C39AB" w:rsidRPr="00310D6A" w:rsidRDefault="004C39AB" w:rsidP="004C39AB">
            <w:pPr>
              <w:keepNext/>
              <w:spacing w:line="240" w:lineRule="auto"/>
              <w:rPr>
                <w:iCs/>
                <w:sz w:val="18"/>
                <w:szCs w:val="18"/>
              </w:rPr>
            </w:pPr>
            <w:r w:rsidRPr="00310D6A">
              <w:rPr>
                <w:iCs/>
                <w:sz w:val="18"/>
                <w:szCs w:val="18"/>
              </w:rPr>
              <w:t>Warszawa</w:t>
            </w:r>
          </w:p>
        </w:tc>
        <w:tc>
          <w:tcPr>
            <w:tcW w:w="1298" w:type="dxa"/>
          </w:tcPr>
          <w:p w14:paraId="5CE3BFE9" w14:textId="03DB0377" w:rsidR="004C39AB" w:rsidRPr="00310D6A" w:rsidRDefault="004C39AB" w:rsidP="004C39AB">
            <w:pPr>
              <w:keepNext/>
              <w:spacing w:line="240" w:lineRule="auto"/>
              <w:rPr>
                <w:iCs/>
                <w:sz w:val="18"/>
                <w:szCs w:val="18"/>
              </w:rPr>
            </w:pPr>
            <w:r w:rsidRPr="00310D6A">
              <w:rPr>
                <w:iCs/>
                <w:sz w:val="18"/>
                <w:szCs w:val="18"/>
              </w:rPr>
              <w:t>Dworzec Zachodni</w:t>
            </w:r>
          </w:p>
        </w:tc>
        <w:tc>
          <w:tcPr>
            <w:tcW w:w="3203" w:type="dxa"/>
          </w:tcPr>
          <w:p w14:paraId="28462A42" w14:textId="700BDF54" w:rsidR="004C39AB" w:rsidRPr="00310D6A" w:rsidRDefault="002C571B" w:rsidP="004C39AB">
            <w:pPr>
              <w:keepNext/>
              <w:spacing w:line="240" w:lineRule="auto"/>
              <w:rPr>
                <w:iCs/>
                <w:sz w:val="18"/>
                <w:szCs w:val="18"/>
              </w:rPr>
            </w:pPr>
            <w:r w:rsidRPr="00310D6A">
              <w:rPr>
                <w:iCs/>
                <w:sz w:val="18"/>
                <w:szCs w:val="18"/>
              </w:rPr>
              <w:t>integracja komunikacji autobusowej i kolejowej</w:t>
            </w:r>
          </w:p>
        </w:tc>
        <w:tc>
          <w:tcPr>
            <w:tcW w:w="3260" w:type="dxa"/>
          </w:tcPr>
          <w:p w14:paraId="26CFECEF" w14:textId="630C7CD7" w:rsidR="004C39AB" w:rsidRPr="00310D6A" w:rsidRDefault="002C571B" w:rsidP="004C39AB">
            <w:pPr>
              <w:keepNext/>
              <w:spacing w:line="240" w:lineRule="auto"/>
              <w:rPr>
                <w:iCs/>
                <w:sz w:val="18"/>
                <w:szCs w:val="18"/>
              </w:rPr>
            </w:pPr>
            <w:r w:rsidRPr="00310D6A">
              <w:rPr>
                <w:rFonts w:ascii="Lora" w:eastAsia="Lora" w:hAnsi="Lora" w:cs="Times New Roman"/>
                <w:iCs/>
                <w:sz w:val="18"/>
                <w:szCs w:val="18"/>
              </w:rPr>
              <w:t>n</w:t>
            </w:r>
            <w:r w:rsidR="004C39AB" w:rsidRPr="00310D6A">
              <w:rPr>
                <w:rFonts w:ascii="Lora" w:eastAsia="Lora" w:hAnsi="Lora" w:cs="Times New Roman"/>
                <w:iCs/>
                <w:sz w:val="18"/>
                <w:szCs w:val="18"/>
              </w:rPr>
              <w:t>owy środek transportu na węźle</w:t>
            </w:r>
            <w:r w:rsidRPr="00310D6A">
              <w:rPr>
                <w:rFonts w:ascii="Lora" w:eastAsia="Lora" w:hAnsi="Lora" w:cs="Times New Roman"/>
                <w:iCs/>
                <w:sz w:val="18"/>
                <w:szCs w:val="18"/>
              </w:rPr>
              <w:t xml:space="preserve"> </w:t>
            </w:r>
            <w:r w:rsidR="00311EFF">
              <w:rPr>
                <w:rFonts w:ascii="Lora" w:eastAsia="Lora" w:hAnsi="Lora" w:cs="Times New Roman"/>
                <w:iCs/>
                <w:sz w:val="18"/>
                <w:szCs w:val="18"/>
              </w:rPr>
              <w:t>–</w:t>
            </w:r>
            <w:r w:rsidRPr="00310D6A">
              <w:rPr>
                <w:rFonts w:ascii="Lora" w:eastAsia="Lora" w:hAnsi="Lora" w:cs="Times New Roman"/>
                <w:iCs/>
                <w:sz w:val="18"/>
                <w:szCs w:val="18"/>
              </w:rPr>
              <w:t xml:space="preserve"> tramwaj</w:t>
            </w:r>
          </w:p>
        </w:tc>
      </w:tr>
      <w:tr w:rsidR="00BF3C6A" w:rsidRPr="001633D6" w14:paraId="2B11B5FF" w14:textId="77777777" w:rsidTr="004C39AB">
        <w:tc>
          <w:tcPr>
            <w:tcW w:w="9499" w:type="dxa"/>
            <w:gridSpan w:val="5"/>
          </w:tcPr>
          <w:p w14:paraId="1600783F" w14:textId="30C8E495" w:rsidR="004C39AB" w:rsidRPr="00310D6A" w:rsidRDefault="004C39AB" w:rsidP="004C39AB">
            <w:pPr>
              <w:keepNext/>
              <w:spacing w:line="240" w:lineRule="auto"/>
              <w:rPr>
                <w:iCs/>
                <w:sz w:val="18"/>
                <w:szCs w:val="18"/>
              </w:rPr>
            </w:pPr>
            <w:r w:rsidRPr="00310D6A">
              <w:rPr>
                <w:rFonts w:ascii="Lora" w:eastAsia="Lora" w:hAnsi="Lora" w:cs="Times New Roman"/>
                <w:b/>
                <w:iCs/>
                <w:sz w:val="18"/>
                <w:szCs w:val="18"/>
              </w:rPr>
              <w:t>WĘZŁY NIEPODDAWANE INTERWENCJI POIIŚ 2014-2020</w:t>
            </w:r>
          </w:p>
        </w:tc>
      </w:tr>
      <w:tr w:rsidR="00BF3C6A" w:rsidRPr="001633D6" w14:paraId="2319291F" w14:textId="77777777" w:rsidTr="004C39AB">
        <w:trPr>
          <w:cnfStyle w:val="000000100000" w:firstRow="0" w:lastRow="0" w:firstColumn="0" w:lastColumn="0" w:oddVBand="0" w:evenVBand="0" w:oddHBand="1" w:evenHBand="0" w:firstRowFirstColumn="0" w:firstRowLastColumn="0" w:lastRowFirstColumn="0" w:lastRowLastColumn="0"/>
        </w:trPr>
        <w:tc>
          <w:tcPr>
            <w:tcW w:w="569" w:type="dxa"/>
          </w:tcPr>
          <w:p w14:paraId="42DD357F" w14:textId="40D93BCD" w:rsidR="004C39AB" w:rsidRPr="00310D6A" w:rsidRDefault="004C39AB" w:rsidP="004C39AB">
            <w:pPr>
              <w:keepNext/>
              <w:spacing w:line="240" w:lineRule="auto"/>
              <w:rPr>
                <w:iCs/>
                <w:sz w:val="18"/>
                <w:szCs w:val="18"/>
              </w:rPr>
            </w:pPr>
            <w:r w:rsidRPr="00310D6A">
              <w:rPr>
                <w:iCs/>
                <w:sz w:val="18"/>
                <w:szCs w:val="18"/>
              </w:rPr>
              <w:t>7</w:t>
            </w:r>
          </w:p>
        </w:tc>
        <w:tc>
          <w:tcPr>
            <w:tcW w:w="1167" w:type="dxa"/>
          </w:tcPr>
          <w:p w14:paraId="3B5A174A" w14:textId="0FE34BC9" w:rsidR="004C39AB" w:rsidRPr="00310D6A" w:rsidRDefault="004C39AB" w:rsidP="004C39AB">
            <w:pPr>
              <w:keepNext/>
              <w:spacing w:line="240" w:lineRule="auto"/>
              <w:rPr>
                <w:iCs/>
                <w:sz w:val="18"/>
                <w:szCs w:val="18"/>
              </w:rPr>
            </w:pPr>
            <w:r w:rsidRPr="00310D6A">
              <w:rPr>
                <w:iCs/>
                <w:sz w:val="18"/>
                <w:szCs w:val="18"/>
              </w:rPr>
              <w:t>Warszawa</w:t>
            </w:r>
          </w:p>
        </w:tc>
        <w:tc>
          <w:tcPr>
            <w:tcW w:w="1298" w:type="dxa"/>
          </w:tcPr>
          <w:p w14:paraId="0A3C36AC" w14:textId="66DB5446" w:rsidR="004C39AB" w:rsidRPr="00310D6A" w:rsidRDefault="004C39AB" w:rsidP="004C39AB">
            <w:pPr>
              <w:keepNext/>
              <w:spacing w:line="240" w:lineRule="auto"/>
              <w:rPr>
                <w:iCs/>
                <w:sz w:val="18"/>
                <w:szCs w:val="18"/>
              </w:rPr>
            </w:pPr>
            <w:r w:rsidRPr="00310D6A">
              <w:rPr>
                <w:iCs/>
                <w:sz w:val="18"/>
                <w:szCs w:val="18"/>
              </w:rPr>
              <w:t>Wiatraczna</w:t>
            </w:r>
          </w:p>
        </w:tc>
        <w:tc>
          <w:tcPr>
            <w:tcW w:w="3203" w:type="dxa"/>
          </w:tcPr>
          <w:p w14:paraId="430A0E38" w14:textId="4A538857" w:rsidR="004C39AB" w:rsidRPr="00310D6A" w:rsidRDefault="002C571B" w:rsidP="002C571B">
            <w:pPr>
              <w:keepNext/>
              <w:spacing w:line="240" w:lineRule="auto"/>
              <w:rPr>
                <w:iCs/>
                <w:sz w:val="18"/>
                <w:szCs w:val="18"/>
              </w:rPr>
            </w:pPr>
            <w:r w:rsidRPr="00310D6A">
              <w:rPr>
                <w:iCs/>
                <w:sz w:val="18"/>
                <w:szCs w:val="18"/>
              </w:rPr>
              <w:t>pętla autobusowa i tramwajowa</w:t>
            </w:r>
          </w:p>
        </w:tc>
        <w:tc>
          <w:tcPr>
            <w:tcW w:w="3260" w:type="dxa"/>
          </w:tcPr>
          <w:p w14:paraId="73D05AD9" w14:textId="3996BC1E" w:rsidR="004C39AB" w:rsidRPr="00310D6A" w:rsidRDefault="008041B7" w:rsidP="002C571B">
            <w:pPr>
              <w:keepNext/>
              <w:spacing w:line="240" w:lineRule="auto"/>
              <w:rPr>
                <w:iCs/>
                <w:sz w:val="18"/>
                <w:szCs w:val="18"/>
              </w:rPr>
            </w:pPr>
            <w:r w:rsidRPr="00310D6A">
              <w:rPr>
                <w:iCs/>
                <w:sz w:val="18"/>
                <w:szCs w:val="18"/>
              </w:rPr>
              <w:t>plany przebudowy są odkładane w realizacji</w:t>
            </w:r>
            <w:r w:rsidR="002C571B" w:rsidRPr="00310D6A">
              <w:rPr>
                <w:iCs/>
                <w:sz w:val="18"/>
                <w:szCs w:val="18"/>
              </w:rPr>
              <w:t>, ostatnia przebudowa w</w:t>
            </w:r>
            <w:r w:rsidR="00735D52">
              <w:rPr>
                <w:iCs/>
                <w:sz w:val="18"/>
                <w:szCs w:val="18"/>
              </w:rPr>
              <w:t> </w:t>
            </w:r>
            <w:r w:rsidR="002C571B" w:rsidRPr="00310D6A">
              <w:rPr>
                <w:iCs/>
                <w:sz w:val="18"/>
                <w:szCs w:val="18"/>
              </w:rPr>
              <w:t>2008 roku</w:t>
            </w:r>
          </w:p>
        </w:tc>
      </w:tr>
      <w:tr w:rsidR="00BF3C6A" w:rsidRPr="001633D6" w14:paraId="66C0C072" w14:textId="77777777" w:rsidTr="004C39AB">
        <w:tc>
          <w:tcPr>
            <w:tcW w:w="569" w:type="dxa"/>
          </w:tcPr>
          <w:p w14:paraId="5D24DCDB" w14:textId="0BA3BB18" w:rsidR="004C39AB" w:rsidRPr="00310D6A" w:rsidRDefault="004C39AB" w:rsidP="004C39AB">
            <w:pPr>
              <w:keepNext/>
              <w:spacing w:line="240" w:lineRule="auto"/>
              <w:rPr>
                <w:iCs/>
                <w:sz w:val="18"/>
                <w:szCs w:val="18"/>
              </w:rPr>
            </w:pPr>
            <w:r w:rsidRPr="00310D6A">
              <w:rPr>
                <w:iCs/>
                <w:sz w:val="18"/>
                <w:szCs w:val="18"/>
              </w:rPr>
              <w:t>8</w:t>
            </w:r>
          </w:p>
        </w:tc>
        <w:tc>
          <w:tcPr>
            <w:tcW w:w="1167" w:type="dxa"/>
          </w:tcPr>
          <w:p w14:paraId="6A399C31" w14:textId="143AD904" w:rsidR="004C39AB" w:rsidRPr="00310D6A" w:rsidRDefault="004C39AB" w:rsidP="004C39AB">
            <w:pPr>
              <w:keepNext/>
              <w:spacing w:line="240" w:lineRule="auto"/>
              <w:rPr>
                <w:iCs/>
                <w:sz w:val="18"/>
                <w:szCs w:val="18"/>
              </w:rPr>
            </w:pPr>
            <w:r w:rsidRPr="00310D6A">
              <w:rPr>
                <w:iCs/>
                <w:sz w:val="18"/>
                <w:szCs w:val="18"/>
              </w:rPr>
              <w:t>Toruń</w:t>
            </w:r>
          </w:p>
        </w:tc>
        <w:tc>
          <w:tcPr>
            <w:tcW w:w="1298" w:type="dxa"/>
          </w:tcPr>
          <w:p w14:paraId="3F29ED73" w14:textId="0539465E" w:rsidR="004C39AB" w:rsidRPr="00310D6A" w:rsidRDefault="004C39AB" w:rsidP="004C39AB">
            <w:pPr>
              <w:keepNext/>
              <w:spacing w:line="240" w:lineRule="auto"/>
              <w:rPr>
                <w:iCs/>
                <w:sz w:val="18"/>
                <w:szCs w:val="18"/>
              </w:rPr>
            </w:pPr>
            <w:r w:rsidRPr="00310D6A">
              <w:rPr>
                <w:iCs/>
                <w:sz w:val="18"/>
                <w:szCs w:val="18"/>
              </w:rPr>
              <w:t>Dworzec Miasto</w:t>
            </w:r>
          </w:p>
        </w:tc>
        <w:tc>
          <w:tcPr>
            <w:tcW w:w="3203" w:type="dxa"/>
          </w:tcPr>
          <w:p w14:paraId="468732F6" w14:textId="2B5B7F7E" w:rsidR="004C39AB" w:rsidRPr="00310D6A" w:rsidRDefault="002C571B" w:rsidP="004C39AB">
            <w:pPr>
              <w:keepNext/>
              <w:spacing w:line="240" w:lineRule="auto"/>
              <w:rPr>
                <w:iCs/>
                <w:sz w:val="18"/>
                <w:szCs w:val="18"/>
              </w:rPr>
            </w:pPr>
            <w:r w:rsidRPr="00310D6A">
              <w:rPr>
                <w:iCs/>
                <w:sz w:val="18"/>
                <w:szCs w:val="18"/>
              </w:rPr>
              <w:t>przystanek tramwajowy zintegrowany ze stacją kolejową i</w:t>
            </w:r>
            <w:r w:rsidR="00311EFF">
              <w:rPr>
                <w:iCs/>
                <w:sz w:val="18"/>
                <w:szCs w:val="18"/>
              </w:rPr>
              <w:t> </w:t>
            </w:r>
            <w:r w:rsidRPr="00310D6A">
              <w:rPr>
                <w:iCs/>
                <w:sz w:val="18"/>
                <w:szCs w:val="18"/>
              </w:rPr>
              <w:t>przystankiem autobusowym</w:t>
            </w:r>
          </w:p>
        </w:tc>
        <w:tc>
          <w:tcPr>
            <w:tcW w:w="3260" w:type="dxa"/>
          </w:tcPr>
          <w:p w14:paraId="4BBAED92" w14:textId="66BB9453" w:rsidR="004C39AB" w:rsidRPr="00310D6A" w:rsidRDefault="008041B7" w:rsidP="004C39AB">
            <w:pPr>
              <w:keepNext/>
              <w:spacing w:line="240" w:lineRule="auto"/>
              <w:rPr>
                <w:iCs/>
                <w:sz w:val="18"/>
                <w:szCs w:val="18"/>
              </w:rPr>
            </w:pPr>
            <w:r w:rsidRPr="00310D6A">
              <w:rPr>
                <w:iCs/>
                <w:sz w:val="18"/>
                <w:szCs w:val="18"/>
              </w:rPr>
              <w:t xml:space="preserve">węzeł otwarty po przebudowie </w:t>
            </w:r>
            <w:r w:rsidR="002C571B" w:rsidRPr="00310D6A">
              <w:rPr>
                <w:iCs/>
                <w:sz w:val="18"/>
                <w:szCs w:val="18"/>
              </w:rPr>
              <w:t>w</w:t>
            </w:r>
            <w:r w:rsidR="00735D52">
              <w:rPr>
                <w:iCs/>
                <w:sz w:val="18"/>
                <w:szCs w:val="18"/>
              </w:rPr>
              <w:t> </w:t>
            </w:r>
            <w:r w:rsidR="002C571B" w:rsidRPr="00310D6A">
              <w:rPr>
                <w:iCs/>
                <w:sz w:val="18"/>
                <w:szCs w:val="18"/>
              </w:rPr>
              <w:t xml:space="preserve">2015 roku </w:t>
            </w:r>
            <w:r w:rsidRPr="00310D6A">
              <w:rPr>
                <w:iCs/>
                <w:sz w:val="18"/>
                <w:szCs w:val="18"/>
              </w:rPr>
              <w:t>w ramach POIiŚ 2007-2013</w:t>
            </w:r>
          </w:p>
        </w:tc>
      </w:tr>
    </w:tbl>
    <w:p w14:paraId="575F962D" w14:textId="17E34D99" w:rsidR="004C39AB" w:rsidRPr="001633D6" w:rsidRDefault="004C39AB" w:rsidP="005A72B4">
      <w:pPr>
        <w:spacing w:after="120" w:line="240" w:lineRule="auto"/>
        <w:rPr>
          <w:rFonts w:asciiTheme="majorHAnsi" w:eastAsia="Calibri" w:hAnsiTheme="majorHAnsi" w:cs="Times New Roman"/>
          <w:bCs/>
          <w:szCs w:val="18"/>
        </w:rPr>
      </w:pPr>
      <w:r w:rsidRPr="001633D6">
        <w:rPr>
          <w:rFonts w:asciiTheme="majorHAnsi" w:eastAsia="Calibri" w:hAnsiTheme="majorHAnsi" w:cs="Times New Roman"/>
          <w:bCs/>
          <w:szCs w:val="18"/>
        </w:rPr>
        <w:t>Źródło: opracowanie własn</w:t>
      </w:r>
      <w:r w:rsidR="005A72B4" w:rsidRPr="001633D6">
        <w:rPr>
          <w:rFonts w:asciiTheme="majorHAnsi" w:eastAsia="Calibri" w:hAnsiTheme="majorHAnsi" w:cs="Times New Roman"/>
          <w:bCs/>
          <w:szCs w:val="18"/>
        </w:rPr>
        <w:t>e</w:t>
      </w:r>
      <w:r w:rsidR="002071E4">
        <w:rPr>
          <w:rFonts w:asciiTheme="majorHAnsi" w:eastAsia="Calibri" w:hAnsiTheme="majorHAnsi" w:cs="Times New Roman"/>
          <w:bCs/>
          <w:szCs w:val="18"/>
        </w:rPr>
        <w:t>.</w:t>
      </w:r>
    </w:p>
    <w:p w14:paraId="49B698A3" w14:textId="6994BEC0" w:rsidR="00F06D0A" w:rsidRPr="001633D6" w:rsidRDefault="00F06D0A" w:rsidP="009707CB">
      <w:pPr>
        <w:pStyle w:val="Nagwek2"/>
        <w:rPr>
          <w:color w:val="auto"/>
        </w:rPr>
      </w:pPr>
      <w:bookmarkStart w:id="61" w:name="_Toc27125331"/>
      <w:r w:rsidRPr="001633D6">
        <w:rPr>
          <w:color w:val="auto"/>
        </w:rPr>
        <w:t xml:space="preserve">Baza danych </w:t>
      </w:r>
      <w:r w:rsidR="00710D64" w:rsidRPr="001633D6">
        <w:rPr>
          <w:color w:val="auto"/>
        </w:rPr>
        <w:t xml:space="preserve">wejściowych </w:t>
      </w:r>
      <w:r w:rsidRPr="001633D6">
        <w:rPr>
          <w:color w:val="auto"/>
        </w:rPr>
        <w:t>o transporcie</w:t>
      </w:r>
      <w:r w:rsidR="002D63E9" w:rsidRPr="001633D6">
        <w:rPr>
          <w:color w:val="auto"/>
        </w:rPr>
        <w:t xml:space="preserve"> </w:t>
      </w:r>
      <w:r w:rsidR="00A81BC0" w:rsidRPr="001633D6">
        <w:rPr>
          <w:color w:val="auto"/>
        </w:rPr>
        <w:t>miejski</w:t>
      </w:r>
      <w:r w:rsidR="002D63E9" w:rsidRPr="001633D6">
        <w:rPr>
          <w:color w:val="auto"/>
        </w:rPr>
        <w:t>m</w:t>
      </w:r>
      <w:bookmarkEnd w:id="61"/>
    </w:p>
    <w:p w14:paraId="52DA4551" w14:textId="4445E08E" w:rsidR="00C07AF4" w:rsidRPr="001633D6" w:rsidRDefault="00710D64" w:rsidP="00A256A0">
      <w:r w:rsidRPr="001633D6">
        <w:t>Opracowano dwie bazy danych wejściowych o transporcie miejskim:</w:t>
      </w:r>
    </w:p>
    <w:p w14:paraId="47C492CF" w14:textId="0A243807" w:rsidR="00710D64" w:rsidRPr="001633D6" w:rsidRDefault="00710D64" w:rsidP="001B2A4E">
      <w:pPr>
        <w:pStyle w:val="Akapitzlist"/>
        <w:numPr>
          <w:ilvl w:val="0"/>
          <w:numId w:val="45"/>
        </w:numPr>
      </w:pPr>
      <w:r w:rsidRPr="001633D6">
        <w:t>baza statystyczna danych o transporcie w miastach i obszarach funkcjonalnych,</w:t>
      </w:r>
    </w:p>
    <w:p w14:paraId="51E90308" w14:textId="3F6FBB8B" w:rsidR="00710D64" w:rsidRPr="001633D6" w:rsidRDefault="00710D64" w:rsidP="001B2A4E">
      <w:pPr>
        <w:pStyle w:val="Akapitzlist"/>
        <w:numPr>
          <w:ilvl w:val="0"/>
          <w:numId w:val="45"/>
        </w:numPr>
      </w:pPr>
      <w:r w:rsidRPr="001633D6">
        <w:t xml:space="preserve">baza </w:t>
      </w:r>
      <w:r w:rsidRPr="00AE21D2">
        <w:rPr>
          <w:i/>
        </w:rPr>
        <w:t>big</w:t>
      </w:r>
      <w:r w:rsidR="00AE21D2" w:rsidRPr="00AE21D2">
        <w:rPr>
          <w:i/>
        </w:rPr>
        <w:t xml:space="preserve"> </w:t>
      </w:r>
      <w:r w:rsidRPr="00AE21D2">
        <w:rPr>
          <w:i/>
        </w:rPr>
        <w:t>data</w:t>
      </w:r>
      <w:r w:rsidRPr="001633D6">
        <w:t xml:space="preserve"> danych o płynności ruchu.</w:t>
      </w:r>
    </w:p>
    <w:p w14:paraId="4311F6D5" w14:textId="42CC86C4" w:rsidR="00710D64" w:rsidRPr="001633D6" w:rsidRDefault="00710D64" w:rsidP="00A256A0">
      <w:r w:rsidRPr="001633D6">
        <w:t xml:space="preserve">Baza danych statystycznych </w:t>
      </w:r>
      <w:r w:rsidR="004918C2" w:rsidRPr="001633D6">
        <w:t>(</w:t>
      </w:r>
      <w:r w:rsidR="00311EFF">
        <w:t xml:space="preserve">por. </w:t>
      </w:r>
      <w:r w:rsidR="004918C2" w:rsidRPr="001633D6">
        <w:fldChar w:fldCharType="begin"/>
      </w:r>
      <w:r w:rsidR="004918C2" w:rsidRPr="001633D6">
        <w:instrText xml:space="preserve"> REF Załącznik6 \h </w:instrText>
      </w:r>
      <w:r w:rsidR="004918C2" w:rsidRPr="001633D6">
        <w:fldChar w:fldCharType="separate"/>
      </w:r>
      <w:r w:rsidR="00C93FD7" w:rsidRPr="00CE65CD">
        <w:rPr>
          <w:color w:val="000000" w:themeColor="text1"/>
        </w:rPr>
        <w:t>Załącznik 6</w:t>
      </w:r>
      <w:r w:rsidR="004918C2" w:rsidRPr="001633D6">
        <w:fldChar w:fldCharType="end"/>
      </w:r>
      <w:r w:rsidR="004918C2" w:rsidRPr="001633D6">
        <w:t xml:space="preserve">) </w:t>
      </w:r>
      <w:r w:rsidR="0053471A" w:rsidRPr="001633D6">
        <w:t xml:space="preserve">to zaktualizowana i uzupełniona wersja </w:t>
      </w:r>
      <w:r w:rsidRPr="001633D6">
        <w:t>baz</w:t>
      </w:r>
      <w:r w:rsidR="0053471A" w:rsidRPr="001633D6">
        <w:t>y</w:t>
      </w:r>
      <w:r w:rsidRPr="001633D6">
        <w:t xml:space="preserve"> danych z</w:t>
      </w:r>
      <w:r w:rsidR="004918C2" w:rsidRPr="001633D6">
        <w:t> </w:t>
      </w:r>
      <w:r w:rsidRPr="001633D6">
        <w:t>badania pilotażowego</w:t>
      </w:r>
      <w:r w:rsidR="0053471A" w:rsidRPr="001633D6">
        <w:t xml:space="preserve"> na podstawie badania ankietowego wśród 50 miast Polski (dane za rok 2017) oraz rozwinięta o dane dotyczące bezpieczeństwa ruchu w obszarach miejskich (</w:t>
      </w:r>
      <w:r w:rsidR="00F20163" w:rsidRPr="001633D6">
        <w:t xml:space="preserve">badanie ankietowe: </w:t>
      </w:r>
      <w:r w:rsidR="0053471A" w:rsidRPr="001633D6">
        <w:t>liczba fotoradarów</w:t>
      </w:r>
      <w:r w:rsidR="00F20163" w:rsidRPr="001633D6">
        <w:t>,</w:t>
      </w:r>
      <w:r w:rsidR="0053471A" w:rsidRPr="001633D6">
        <w:t xml:space="preserve"> odcinkowych pomiarów prędkości) i funkcjonalnych (</w:t>
      </w:r>
      <w:r w:rsidR="00D12807" w:rsidRPr="001633D6">
        <w:t xml:space="preserve">baza SEWIK: </w:t>
      </w:r>
      <w:r w:rsidR="0053471A" w:rsidRPr="001633D6">
        <w:t>liczba wypadków z pojazdami komunikacji zbiorowej i liczba zabitych w wypadkach)</w:t>
      </w:r>
      <w:r w:rsidR="00D12807" w:rsidRPr="001633D6">
        <w:t>.</w:t>
      </w:r>
    </w:p>
    <w:p w14:paraId="364914A2" w14:textId="37D233A4" w:rsidR="0053471A" w:rsidRPr="001633D6" w:rsidRDefault="0053471A" w:rsidP="00A256A0">
      <w:r w:rsidRPr="001633D6">
        <w:t xml:space="preserve">Baza danych </w:t>
      </w:r>
      <w:r w:rsidRPr="00AE21D2">
        <w:rPr>
          <w:i/>
        </w:rPr>
        <w:t>big</w:t>
      </w:r>
      <w:r w:rsidR="00AE21D2" w:rsidRPr="00AE21D2">
        <w:rPr>
          <w:i/>
        </w:rPr>
        <w:t xml:space="preserve"> </w:t>
      </w:r>
      <w:r w:rsidRPr="00AE21D2">
        <w:rPr>
          <w:i/>
        </w:rPr>
        <w:t>data</w:t>
      </w:r>
      <w:r w:rsidRPr="001633D6">
        <w:t xml:space="preserve"> dotyczących płynności ruchu </w:t>
      </w:r>
      <w:r w:rsidR="004918C2" w:rsidRPr="001633D6">
        <w:t>(</w:t>
      </w:r>
      <w:r w:rsidR="004954F0" w:rsidRPr="001633D6">
        <w:t xml:space="preserve">por. </w:t>
      </w:r>
      <w:r w:rsidR="00310D6A">
        <w:fldChar w:fldCharType="begin"/>
      </w:r>
      <w:r w:rsidR="00310D6A">
        <w:instrText xml:space="preserve"> REF Załącznik8 \h </w:instrText>
      </w:r>
      <w:r w:rsidR="00310D6A">
        <w:fldChar w:fldCharType="separate"/>
      </w:r>
      <w:r w:rsidR="00C93FD7" w:rsidRPr="00CE65CD">
        <w:rPr>
          <w:color w:val="000000" w:themeColor="text1"/>
        </w:rPr>
        <w:t>Załącznik 8</w:t>
      </w:r>
      <w:r w:rsidR="00310D6A">
        <w:fldChar w:fldCharType="end"/>
      </w:r>
      <w:r w:rsidR="004918C2" w:rsidRPr="001633D6">
        <w:t xml:space="preserve">) </w:t>
      </w:r>
      <w:r w:rsidRPr="001633D6">
        <w:t>powstała dla 155 relacji</w:t>
      </w:r>
      <w:r w:rsidR="004954F0" w:rsidRPr="001633D6">
        <w:t xml:space="preserve"> (por. </w:t>
      </w:r>
      <w:r w:rsidR="004954F0" w:rsidRPr="001633D6">
        <w:fldChar w:fldCharType="begin"/>
      </w:r>
      <w:r w:rsidR="004954F0" w:rsidRPr="001633D6">
        <w:instrText xml:space="preserve"> REF Załącznik7 \h </w:instrText>
      </w:r>
      <w:r w:rsidR="004954F0" w:rsidRPr="001633D6">
        <w:fldChar w:fldCharType="separate"/>
      </w:r>
      <w:r w:rsidR="00C93FD7" w:rsidRPr="00CE65CD">
        <w:rPr>
          <w:color w:val="000000" w:themeColor="text1"/>
        </w:rPr>
        <w:t>Załącznik 7</w:t>
      </w:r>
      <w:r w:rsidR="004954F0" w:rsidRPr="001633D6">
        <w:fldChar w:fldCharType="end"/>
      </w:r>
      <w:r w:rsidR="004954F0" w:rsidRPr="001633D6">
        <w:t>)</w:t>
      </w:r>
      <w:r w:rsidRPr="001633D6">
        <w:t xml:space="preserve">, zarówno dla ruchu indywidualnego (API Google </w:t>
      </w:r>
      <w:proofErr w:type="spellStart"/>
      <w:r w:rsidRPr="001633D6">
        <w:t>Maps</w:t>
      </w:r>
      <w:proofErr w:type="spellEnd"/>
      <w:r w:rsidRPr="001633D6">
        <w:t xml:space="preserve">), jak i transportu publicznego (dwa źródła danych: statyczny czas przejazdu na podstawie rozkładów jazdy organizatorów </w:t>
      </w:r>
      <w:r w:rsidRPr="001633D6">
        <w:lastRenderedPageBreak/>
        <w:t xml:space="preserve">transportu oraz rzeczywisty czas przejazdu na podstawie systemów teleinformatycznych </w:t>
      </w:r>
      <w:r w:rsidR="004918C2" w:rsidRPr="001633D6">
        <w:t>zarządców transportu – ITS, autokomputery itp.</w:t>
      </w:r>
      <w:r w:rsidRPr="001633D6">
        <w:t>).</w:t>
      </w:r>
      <w:r w:rsidR="004918C2" w:rsidRPr="001633D6">
        <w:t xml:space="preserve"> Skrypt odpytywania API Google </w:t>
      </w:r>
      <w:proofErr w:type="spellStart"/>
      <w:r w:rsidR="004918C2" w:rsidRPr="001633D6">
        <w:t>Maps</w:t>
      </w:r>
      <w:proofErr w:type="spellEnd"/>
      <w:r w:rsidR="004918C2" w:rsidRPr="001633D6">
        <w:t xml:space="preserve"> został dołączony do Raportu w przekazanej dokumentacji (por.</w:t>
      </w:r>
      <w:r w:rsidR="00CE3BA8" w:rsidRPr="001633D6">
        <w:t xml:space="preserve"> </w:t>
      </w:r>
      <w:r w:rsidR="00CE3BA8" w:rsidRPr="001633D6">
        <w:fldChar w:fldCharType="begin"/>
      </w:r>
      <w:r w:rsidR="00CE3BA8" w:rsidRPr="001633D6">
        <w:instrText xml:space="preserve"> REF Załącznik12 \h </w:instrText>
      </w:r>
      <w:r w:rsidR="00CE3BA8" w:rsidRPr="001633D6">
        <w:fldChar w:fldCharType="separate"/>
      </w:r>
      <w:r w:rsidR="00C93FD7" w:rsidRPr="00CE65CD">
        <w:rPr>
          <w:color w:val="000000" w:themeColor="text1"/>
        </w:rPr>
        <w:t>Załącznik 12</w:t>
      </w:r>
      <w:r w:rsidR="00CE3BA8" w:rsidRPr="001633D6">
        <w:fldChar w:fldCharType="end"/>
      </w:r>
      <w:r w:rsidR="004918C2" w:rsidRPr="001633D6">
        <w:t>).</w:t>
      </w:r>
    </w:p>
    <w:p w14:paraId="3164193C" w14:textId="48C3BFE8" w:rsidR="004918C2" w:rsidRPr="001633D6" w:rsidRDefault="004918C2" w:rsidP="00A256A0">
      <w:r w:rsidRPr="001633D6">
        <w:t>Odpytywanie o czas przejazdu dla ruchu indywidualnego odbywało się w okresie między 1-31 października 2019 r.</w:t>
      </w:r>
      <w:r w:rsidR="00D12807" w:rsidRPr="001633D6">
        <w:t xml:space="preserve"> (31 dni)</w:t>
      </w:r>
      <w:r w:rsidRPr="001633D6">
        <w:t>, 30 razy na dobę. Częstość odpytywania uzależniona była od pory dnia: w nocy rzadziej co 2 godziny, w godzinach szczytu najczęściej co 20 minut.</w:t>
      </w:r>
    </w:p>
    <w:p w14:paraId="4ED2C26C" w14:textId="0F2DEAF8" w:rsidR="004918C2" w:rsidRPr="00EE68F0" w:rsidRDefault="004918C2" w:rsidP="00A256A0">
      <w:pPr>
        <w:rPr>
          <w:color w:val="00B050"/>
        </w:rPr>
      </w:pPr>
      <w:r w:rsidRPr="001633D6">
        <w:t xml:space="preserve">Rzeczywiste </w:t>
      </w:r>
      <w:r w:rsidR="00F20163" w:rsidRPr="001633D6">
        <w:t>czasy przejazdu transportu publicznego zebrano za okres 14-20 października 2019 r. (z wyjątkiem Poznania, dla którego dane zebrano za okres 13-19 października, a 20 października odbywał się Poznań Maraton, który znacząco wpływał na warunki ruchowe)</w:t>
      </w:r>
      <w:r w:rsidR="00D12807" w:rsidRPr="001633D6">
        <w:t xml:space="preserve"> z podziałem na dni powszednie, sobotę i niedzielę</w:t>
      </w:r>
      <w:r w:rsidR="00F20163" w:rsidRPr="001633D6">
        <w:t xml:space="preserve">. </w:t>
      </w:r>
      <w:r w:rsidR="002520A8" w:rsidRPr="001633D6">
        <w:t>Bazy rzeczywistych czasów przejazdu pozyskano od 8 miast</w:t>
      </w:r>
      <w:r w:rsidR="007D3C8E" w:rsidRPr="001633D6">
        <w:t xml:space="preserve"> – Bydgoszczy, Gdańska, Krakowa (tylko tramwaje), Łodzi, Opola, Poznania, Wrocławia i Zielonej Góry</w:t>
      </w:r>
      <w:r w:rsidR="002520A8" w:rsidRPr="001633D6">
        <w:t xml:space="preserve">. </w:t>
      </w:r>
      <w:r w:rsidR="00F20163" w:rsidRPr="001633D6">
        <w:t xml:space="preserve">Rozkładowe czasy przejazdu komunikacji miejskiej utrwalono natomiast </w:t>
      </w:r>
      <w:r w:rsidR="00D12807" w:rsidRPr="001633D6">
        <w:t xml:space="preserve">dla wszystkich relacji </w:t>
      </w:r>
      <w:r w:rsidR="00311EFF">
        <w:t xml:space="preserve">i dni na podstawie rozkładów dostępnych w Internecie w dniu </w:t>
      </w:r>
      <w:r w:rsidR="00F20163" w:rsidRPr="001633D6">
        <w:t>1</w:t>
      </w:r>
      <w:r w:rsidR="00D12807" w:rsidRPr="001633D6">
        <w:t>5</w:t>
      </w:r>
      <w:r w:rsidR="00F20163" w:rsidRPr="001633D6">
        <w:t xml:space="preserve"> października 2019 r.</w:t>
      </w:r>
    </w:p>
    <w:p w14:paraId="2A72E9FD" w14:textId="5F43A0B6" w:rsidR="00A81BC0" w:rsidRPr="001633D6" w:rsidRDefault="00A81BC0" w:rsidP="009707CB">
      <w:pPr>
        <w:pStyle w:val="Nagwek2"/>
        <w:rPr>
          <w:color w:val="auto"/>
        </w:rPr>
      </w:pPr>
      <w:bookmarkStart w:id="62" w:name="_Toc27125332"/>
      <w:r w:rsidRPr="001633D6">
        <w:rPr>
          <w:color w:val="auto"/>
        </w:rPr>
        <w:t>Panel internetowy CAWI</w:t>
      </w:r>
      <w:bookmarkEnd w:id="62"/>
    </w:p>
    <w:p w14:paraId="40BCF57E" w14:textId="5DD343DF" w:rsidR="002A273B" w:rsidRPr="001633D6" w:rsidRDefault="002A273B" w:rsidP="002A273B">
      <w:r w:rsidRPr="001633D6">
        <w:t>Panel internetowy CAWI przeprowadzono na próbie n=400</w:t>
      </w:r>
      <w:r w:rsidR="00EC7772" w:rsidRPr="001633D6">
        <w:t>1</w:t>
      </w:r>
      <w:r w:rsidRPr="001633D6">
        <w:t>, na poziomie ufności 90%, przy błędzie max. 6%, wśród mieszkańców miast POIiŚ oraz miast kontrfaktycznych</w:t>
      </w:r>
      <w:r w:rsidR="00CD6F88" w:rsidRPr="001633D6">
        <w:t xml:space="preserve"> w okresie między 14 a 28 października 2019 r.</w:t>
      </w:r>
      <w:r w:rsidRPr="001633D6">
        <w:t xml:space="preserve"> </w:t>
      </w:r>
      <w:r w:rsidR="00F677E8" w:rsidRPr="001633D6">
        <w:t xml:space="preserve">Tym samym założona na etapie raportu metodycznego minimalna próba wynosząca 4000 respondentów została zrealizowana. </w:t>
      </w:r>
      <w:r w:rsidR="00C91014" w:rsidRPr="001633D6">
        <w:t xml:space="preserve">Ankietowani zostali zidentyfikowani pod względem demografii, wykształcenia, miejsca zamieszkania i aktywności zawodowej. </w:t>
      </w:r>
      <w:r w:rsidRPr="001633D6">
        <w:t>O</w:t>
      </w:r>
      <w:r w:rsidR="00CD6F88" w:rsidRPr="001633D6">
        <w:t> </w:t>
      </w:r>
      <w:r w:rsidRPr="001633D6">
        <w:t>wyborze miast do panelu zadecydowała kompletność bazy danych wybranych jednostek</w:t>
      </w:r>
      <w:r w:rsidR="00E710ED" w:rsidRPr="001633D6">
        <w:t>,</w:t>
      </w:r>
      <w:r w:rsidRPr="001633D6">
        <w:t xml:space="preserve"> pozyskiwanych w badaniu ankietowym oraz dostępna próba ankietowanych w danych obszarach. List</w:t>
      </w:r>
      <w:r w:rsidR="005354BA" w:rsidRPr="001633D6">
        <w:t>ę</w:t>
      </w:r>
      <w:r w:rsidRPr="001633D6">
        <w:t xml:space="preserve"> miast do panelu CAWI przedstawiono Zamawiającemu do akceptacji</w:t>
      </w:r>
      <w:r w:rsidR="00644A72" w:rsidRPr="001633D6">
        <w:t>, a ich zestawienie zawiera</w:t>
      </w:r>
      <w:r w:rsidRPr="001633D6">
        <w:t xml:space="preserve"> </w:t>
      </w:r>
      <w:r w:rsidRPr="001633D6">
        <w:fldChar w:fldCharType="begin"/>
      </w:r>
      <w:r w:rsidRPr="001633D6">
        <w:instrText xml:space="preserve"> REF _Ref23948027 \h </w:instrText>
      </w:r>
      <w:r w:rsidRPr="001633D6">
        <w:fldChar w:fldCharType="separate"/>
      </w:r>
      <w:r w:rsidR="00C93FD7" w:rsidRPr="001633D6">
        <w:t xml:space="preserve">Tabela </w:t>
      </w:r>
      <w:r w:rsidR="00C93FD7">
        <w:rPr>
          <w:noProof/>
        </w:rPr>
        <w:t>9</w:t>
      </w:r>
      <w:r w:rsidRPr="001633D6">
        <w:fldChar w:fldCharType="end"/>
      </w:r>
      <w:r w:rsidRPr="001633D6">
        <w:t xml:space="preserve">. </w:t>
      </w:r>
    </w:p>
    <w:p w14:paraId="06E4D181" w14:textId="0DFE0631" w:rsidR="002A273B" w:rsidRPr="001633D6" w:rsidRDefault="002A273B" w:rsidP="002A273B">
      <w:pPr>
        <w:pStyle w:val="Legenda"/>
        <w:rPr>
          <w:color w:val="auto"/>
        </w:rPr>
      </w:pPr>
      <w:bookmarkStart w:id="63" w:name="_Ref23948027"/>
      <w:bookmarkStart w:id="64" w:name="_Toc27125367"/>
      <w:r w:rsidRPr="001633D6">
        <w:rPr>
          <w:color w:val="auto"/>
        </w:rPr>
        <w:t xml:space="preserve">Tabela </w:t>
      </w:r>
      <w:r w:rsidRPr="001633D6">
        <w:rPr>
          <w:color w:val="auto"/>
        </w:rPr>
        <w:fldChar w:fldCharType="begin"/>
      </w:r>
      <w:r w:rsidRPr="001633D6">
        <w:rPr>
          <w:color w:val="auto"/>
        </w:rPr>
        <w:instrText xml:space="preserve"> SEQ Tabela \* ARABIC </w:instrText>
      </w:r>
      <w:r w:rsidRPr="001633D6">
        <w:rPr>
          <w:color w:val="auto"/>
        </w:rPr>
        <w:fldChar w:fldCharType="separate"/>
      </w:r>
      <w:r w:rsidR="00C93FD7">
        <w:rPr>
          <w:noProof/>
          <w:color w:val="auto"/>
        </w:rPr>
        <w:t>9</w:t>
      </w:r>
      <w:r w:rsidRPr="001633D6">
        <w:rPr>
          <w:color w:val="auto"/>
        </w:rPr>
        <w:fldChar w:fldCharType="end"/>
      </w:r>
      <w:bookmarkEnd w:id="63"/>
      <w:r w:rsidRPr="001633D6">
        <w:rPr>
          <w:color w:val="auto"/>
        </w:rPr>
        <w:t>. Lista miast, wśród których przeprowadzono panel CAWI.</w:t>
      </w:r>
      <w:bookmarkEnd w:id="64"/>
    </w:p>
    <w:tbl>
      <w:tblPr>
        <w:tblStyle w:val="WolanskiCorpTabela3"/>
        <w:tblW w:w="0" w:type="auto"/>
        <w:jc w:val="center"/>
        <w:tblLook w:val="04A0" w:firstRow="1" w:lastRow="0" w:firstColumn="1" w:lastColumn="0" w:noHBand="0" w:noVBand="1"/>
      </w:tblPr>
      <w:tblGrid>
        <w:gridCol w:w="527"/>
        <w:gridCol w:w="1996"/>
        <w:gridCol w:w="527"/>
        <w:gridCol w:w="1900"/>
      </w:tblGrid>
      <w:tr w:rsidR="009A6CBD" w:rsidRPr="001633D6" w14:paraId="62BA6F86" w14:textId="5B5BFEDA" w:rsidTr="00310D6A">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1010F6C3" w14:textId="7E7BC924" w:rsidR="002A273B" w:rsidRPr="00310D6A" w:rsidRDefault="002A273B" w:rsidP="002A273B">
            <w:pPr>
              <w:rPr>
                <w:sz w:val="18"/>
                <w:szCs w:val="18"/>
              </w:rPr>
            </w:pPr>
            <w:r w:rsidRPr="00310D6A">
              <w:rPr>
                <w:sz w:val="18"/>
                <w:szCs w:val="18"/>
              </w:rPr>
              <w:t>L.P.</w:t>
            </w:r>
          </w:p>
        </w:tc>
        <w:tc>
          <w:tcPr>
            <w:tcW w:w="0" w:type="auto"/>
          </w:tcPr>
          <w:p w14:paraId="75D7613E" w14:textId="05B16749" w:rsidR="002A273B" w:rsidRPr="00310D6A" w:rsidRDefault="002A273B" w:rsidP="002A273B">
            <w:pPr>
              <w:rPr>
                <w:sz w:val="18"/>
                <w:szCs w:val="18"/>
              </w:rPr>
            </w:pPr>
            <w:r w:rsidRPr="00310D6A">
              <w:rPr>
                <w:sz w:val="18"/>
                <w:szCs w:val="18"/>
              </w:rPr>
              <w:t>MiastA POIiŚ</w:t>
            </w:r>
          </w:p>
        </w:tc>
        <w:tc>
          <w:tcPr>
            <w:tcW w:w="0" w:type="auto"/>
          </w:tcPr>
          <w:p w14:paraId="1D7BBE54" w14:textId="12F98302" w:rsidR="002A273B" w:rsidRPr="00310D6A" w:rsidRDefault="002A273B" w:rsidP="002A273B">
            <w:pPr>
              <w:rPr>
                <w:sz w:val="18"/>
                <w:szCs w:val="18"/>
              </w:rPr>
            </w:pPr>
            <w:r w:rsidRPr="00310D6A">
              <w:rPr>
                <w:sz w:val="18"/>
                <w:szCs w:val="18"/>
              </w:rPr>
              <w:t>L.P.</w:t>
            </w:r>
          </w:p>
        </w:tc>
        <w:tc>
          <w:tcPr>
            <w:tcW w:w="0" w:type="auto"/>
          </w:tcPr>
          <w:p w14:paraId="734CE0C3" w14:textId="11AF783F" w:rsidR="002A273B" w:rsidRPr="00310D6A" w:rsidRDefault="002A273B" w:rsidP="002A273B">
            <w:pPr>
              <w:rPr>
                <w:sz w:val="18"/>
                <w:szCs w:val="18"/>
              </w:rPr>
            </w:pPr>
            <w:r w:rsidRPr="00310D6A">
              <w:rPr>
                <w:sz w:val="18"/>
                <w:szCs w:val="18"/>
              </w:rPr>
              <w:t>Pozostałe miasta</w:t>
            </w:r>
          </w:p>
        </w:tc>
      </w:tr>
      <w:tr w:rsidR="009A6CBD" w:rsidRPr="001633D6" w14:paraId="5089E1D8" w14:textId="6757846F" w:rsidTr="00310D6A">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4FFA95A" w14:textId="6A254AD3" w:rsidR="002A273B" w:rsidRPr="00310D6A" w:rsidRDefault="002A273B" w:rsidP="002A273B">
            <w:pPr>
              <w:rPr>
                <w:sz w:val="18"/>
                <w:szCs w:val="18"/>
              </w:rPr>
            </w:pPr>
            <w:r w:rsidRPr="00310D6A">
              <w:rPr>
                <w:sz w:val="18"/>
                <w:szCs w:val="18"/>
              </w:rPr>
              <w:t>1</w:t>
            </w:r>
          </w:p>
        </w:tc>
        <w:tc>
          <w:tcPr>
            <w:tcW w:w="0" w:type="auto"/>
          </w:tcPr>
          <w:p w14:paraId="4F10BF5B" w14:textId="78817E58" w:rsidR="002A273B" w:rsidRPr="00310D6A" w:rsidRDefault="002A273B" w:rsidP="002A273B">
            <w:pPr>
              <w:rPr>
                <w:sz w:val="18"/>
                <w:szCs w:val="18"/>
              </w:rPr>
            </w:pPr>
            <w:r w:rsidRPr="00310D6A">
              <w:rPr>
                <w:sz w:val="18"/>
                <w:szCs w:val="18"/>
              </w:rPr>
              <w:t>Bydgoszcz</w:t>
            </w:r>
          </w:p>
        </w:tc>
        <w:tc>
          <w:tcPr>
            <w:tcW w:w="0" w:type="auto"/>
          </w:tcPr>
          <w:p w14:paraId="7A78147B" w14:textId="353C4688" w:rsidR="002A273B" w:rsidRPr="00310D6A" w:rsidRDefault="002A273B" w:rsidP="002A273B">
            <w:pPr>
              <w:rPr>
                <w:sz w:val="18"/>
                <w:szCs w:val="18"/>
              </w:rPr>
            </w:pPr>
            <w:r w:rsidRPr="00310D6A">
              <w:rPr>
                <w:sz w:val="18"/>
                <w:szCs w:val="18"/>
              </w:rPr>
              <w:t>13</w:t>
            </w:r>
          </w:p>
        </w:tc>
        <w:tc>
          <w:tcPr>
            <w:tcW w:w="0" w:type="auto"/>
          </w:tcPr>
          <w:p w14:paraId="2380903C" w14:textId="77234BF4" w:rsidR="002A273B" w:rsidRPr="00310D6A" w:rsidRDefault="002A273B" w:rsidP="002A273B">
            <w:pPr>
              <w:rPr>
                <w:sz w:val="18"/>
                <w:szCs w:val="18"/>
              </w:rPr>
            </w:pPr>
            <w:r w:rsidRPr="00310D6A">
              <w:rPr>
                <w:sz w:val="18"/>
                <w:szCs w:val="18"/>
              </w:rPr>
              <w:t>Białystok</w:t>
            </w:r>
          </w:p>
        </w:tc>
      </w:tr>
      <w:tr w:rsidR="009A6CBD" w:rsidRPr="001633D6" w14:paraId="1C23F081" w14:textId="162A1595" w:rsidTr="00310D6A">
        <w:trPr>
          <w:jc w:val="center"/>
        </w:trPr>
        <w:tc>
          <w:tcPr>
            <w:tcW w:w="0" w:type="auto"/>
          </w:tcPr>
          <w:p w14:paraId="481C705D" w14:textId="33B462F6" w:rsidR="002A273B" w:rsidRPr="00310D6A" w:rsidRDefault="002A273B" w:rsidP="002A273B">
            <w:pPr>
              <w:rPr>
                <w:sz w:val="18"/>
                <w:szCs w:val="18"/>
              </w:rPr>
            </w:pPr>
            <w:r w:rsidRPr="00310D6A">
              <w:rPr>
                <w:sz w:val="18"/>
                <w:szCs w:val="18"/>
              </w:rPr>
              <w:t>2</w:t>
            </w:r>
          </w:p>
        </w:tc>
        <w:tc>
          <w:tcPr>
            <w:tcW w:w="0" w:type="auto"/>
          </w:tcPr>
          <w:p w14:paraId="060F8312" w14:textId="0983915E" w:rsidR="002A273B" w:rsidRPr="00310D6A" w:rsidRDefault="002A273B" w:rsidP="002A273B">
            <w:pPr>
              <w:rPr>
                <w:sz w:val="18"/>
                <w:szCs w:val="18"/>
              </w:rPr>
            </w:pPr>
            <w:r w:rsidRPr="00310D6A">
              <w:rPr>
                <w:sz w:val="18"/>
                <w:szCs w:val="18"/>
              </w:rPr>
              <w:t>Gdańsk</w:t>
            </w:r>
          </w:p>
        </w:tc>
        <w:tc>
          <w:tcPr>
            <w:tcW w:w="0" w:type="auto"/>
          </w:tcPr>
          <w:p w14:paraId="5B1EDE74" w14:textId="68EEDE72" w:rsidR="002A273B" w:rsidRPr="00310D6A" w:rsidRDefault="002A273B" w:rsidP="002A273B">
            <w:pPr>
              <w:rPr>
                <w:sz w:val="18"/>
                <w:szCs w:val="18"/>
              </w:rPr>
            </w:pPr>
            <w:r w:rsidRPr="00310D6A">
              <w:rPr>
                <w:sz w:val="18"/>
                <w:szCs w:val="18"/>
              </w:rPr>
              <w:t>14</w:t>
            </w:r>
          </w:p>
        </w:tc>
        <w:tc>
          <w:tcPr>
            <w:tcW w:w="0" w:type="auto"/>
          </w:tcPr>
          <w:p w14:paraId="678AA90D" w14:textId="64DA1C8D" w:rsidR="002A273B" w:rsidRPr="00310D6A" w:rsidRDefault="002A273B" w:rsidP="002A273B">
            <w:pPr>
              <w:rPr>
                <w:sz w:val="18"/>
                <w:szCs w:val="18"/>
              </w:rPr>
            </w:pPr>
            <w:r w:rsidRPr="00310D6A">
              <w:rPr>
                <w:sz w:val="18"/>
                <w:szCs w:val="18"/>
              </w:rPr>
              <w:t>Częstochowa</w:t>
            </w:r>
          </w:p>
        </w:tc>
      </w:tr>
      <w:tr w:rsidR="009A6CBD" w:rsidRPr="001633D6" w14:paraId="1A7E7C56" w14:textId="4D845334" w:rsidTr="00310D6A">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140FFAD2" w14:textId="2A4536D5" w:rsidR="002A273B" w:rsidRPr="00310D6A" w:rsidRDefault="002A273B" w:rsidP="002A273B">
            <w:pPr>
              <w:rPr>
                <w:sz w:val="18"/>
                <w:szCs w:val="18"/>
              </w:rPr>
            </w:pPr>
            <w:r w:rsidRPr="00310D6A">
              <w:rPr>
                <w:sz w:val="18"/>
                <w:szCs w:val="18"/>
              </w:rPr>
              <w:t>3</w:t>
            </w:r>
          </w:p>
        </w:tc>
        <w:tc>
          <w:tcPr>
            <w:tcW w:w="0" w:type="auto"/>
          </w:tcPr>
          <w:p w14:paraId="4415FC57" w14:textId="548200AD" w:rsidR="002A273B" w:rsidRPr="00310D6A" w:rsidRDefault="002A273B" w:rsidP="002A273B">
            <w:pPr>
              <w:rPr>
                <w:sz w:val="18"/>
                <w:szCs w:val="18"/>
              </w:rPr>
            </w:pPr>
            <w:r w:rsidRPr="00310D6A">
              <w:rPr>
                <w:sz w:val="18"/>
                <w:szCs w:val="18"/>
              </w:rPr>
              <w:t>Gdynia</w:t>
            </w:r>
          </w:p>
        </w:tc>
        <w:tc>
          <w:tcPr>
            <w:tcW w:w="0" w:type="auto"/>
          </w:tcPr>
          <w:p w14:paraId="6C7C048A" w14:textId="4BA54DF1" w:rsidR="002A273B" w:rsidRPr="00310D6A" w:rsidRDefault="002A273B" w:rsidP="002A273B">
            <w:pPr>
              <w:rPr>
                <w:sz w:val="18"/>
                <w:szCs w:val="18"/>
              </w:rPr>
            </w:pPr>
            <w:r w:rsidRPr="00310D6A">
              <w:rPr>
                <w:sz w:val="18"/>
                <w:szCs w:val="18"/>
              </w:rPr>
              <w:t>15</w:t>
            </w:r>
          </w:p>
        </w:tc>
        <w:tc>
          <w:tcPr>
            <w:tcW w:w="0" w:type="auto"/>
          </w:tcPr>
          <w:p w14:paraId="6878D8EA" w14:textId="674A97E5" w:rsidR="002A273B" w:rsidRPr="00310D6A" w:rsidRDefault="002A273B" w:rsidP="002A273B">
            <w:pPr>
              <w:rPr>
                <w:sz w:val="18"/>
                <w:szCs w:val="18"/>
              </w:rPr>
            </w:pPr>
            <w:r w:rsidRPr="00310D6A">
              <w:rPr>
                <w:sz w:val="18"/>
                <w:szCs w:val="18"/>
              </w:rPr>
              <w:t>Elbląg</w:t>
            </w:r>
          </w:p>
        </w:tc>
      </w:tr>
      <w:tr w:rsidR="009A6CBD" w:rsidRPr="001633D6" w14:paraId="162C798A" w14:textId="7F267FD7" w:rsidTr="00310D6A">
        <w:trPr>
          <w:jc w:val="center"/>
        </w:trPr>
        <w:tc>
          <w:tcPr>
            <w:tcW w:w="0" w:type="auto"/>
          </w:tcPr>
          <w:p w14:paraId="0BF25BB5" w14:textId="3C555D73" w:rsidR="002A273B" w:rsidRPr="00310D6A" w:rsidRDefault="002A273B" w:rsidP="002A273B">
            <w:pPr>
              <w:rPr>
                <w:sz w:val="18"/>
                <w:szCs w:val="18"/>
              </w:rPr>
            </w:pPr>
            <w:r w:rsidRPr="00310D6A">
              <w:rPr>
                <w:sz w:val="18"/>
                <w:szCs w:val="18"/>
              </w:rPr>
              <w:t>4</w:t>
            </w:r>
          </w:p>
        </w:tc>
        <w:tc>
          <w:tcPr>
            <w:tcW w:w="0" w:type="auto"/>
          </w:tcPr>
          <w:p w14:paraId="6BB4E7C6" w14:textId="0210D51E" w:rsidR="002A273B" w:rsidRPr="00310D6A" w:rsidRDefault="002A273B" w:rsidP="002A273B">
            <w:pPr>
              <w:rPr>
                <w:sz w:val="18"/>
                <w:szCs w:val="18"/>
              </w:rPr>
            </w:pPr>
            <w:r w:rsidRPr="00310D6A">
              <w:rPr>
                <w:sz w:val="18"/>
                <w:szCs w:val="18"/>
              </w:rPr>
              <w:t>Gorzów Wielkopolski</w:t>
            </w:r>
          </w:p>
        </w:tc>
        <w:tc>
          <w:tcPr>
            <w:tcW w:w="0" w:type="auto"/>
          </w:tcPr>
          <w:p w14:paraId="2AA5FB38" w14:textId="2182A5E4" w:rsidR="002A273B" w:rsidRPr="00310D6A" w:rsidRDefault="002A273B" w:rsidP="002A273B">
            <w:pPr>
              <w:rPr>
                <w:sz w:val="18"/>
                <w:szCs w:val="18"/>
              </w:rPr>
            </w:pPr>
            <w:r w:rsidRPr="00310D6A">
              <w:rPr>
                <w:sz w:val="18"/>
                <w:szCs w:val="18"/>
              </w:rPr>
              <w:t>16</w:t>
            </w:r>
          </w:p>
        </w:tc>
        <w:tc>
          <w:tcPr>
            <w:tcW w:w="0" w:type="auto"/>
          </w:tcPr>
          <w:p w14:paraId="03035E75" w14:textId="6C858C63" w:rsidR="002A273B" w:rsidRPr="00310D6A" w:rsidRDefault="002A273B" w:rsidP="002A273B">
            <w:pPr>
              <w:rPr>
                <w:sz w:val="18"/>
                <w:szCs w:val="18"/>
              </w:rPr>
            </w:pPr>
            <w:r w:rsidRPr="00310D6A">
              <w:rPr>
                <w:sz w:val="18"/>
                <w:szCs w:val="18"/>
              </w:rPr>
              <w:t>Kielce</w:t>
            </w:r>
          </w:p>
        </w:tc>
      </w:tr>
      <w:tr w:rsidR="009A6CBD" w:rsidRPr="001633D6" w14:paraId="48F67B4F" w14:textId="334B7204" w:rsidTr="00310D6A">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2D64FF2C" w14:textId="31EED6FA" w:rsidR="002A273B" w:rsidRPr="00310D6A" w:rsidRDefault="002A273B" w:rsidP="002A273B">
            <w:pPr>
              <w:rPr>
                <w:sz w:val="18"/>
                <w:szCs w:val="18"/>
              </w:rPr>
            </w:pPr>
            <w:r w:rsidRPr="00310D6A">
              <w:rPr>
                <w:sz w:val="18"/>
                <w:szCs w:val="18"/>
              </w:rPr>
              <w:t>5</w:t>
            </w:r>
          </w:p>
        </w:tc>
        <w:tc>
          <w:tcPr>
            <w:tcW w:w="0" w:type="auto"/>
          </w:tcPr>
          <w:p w14:paraId="169E10C8" w14:textId="4F9E0F40" w:rsidR="002A273B" w:rsidRPr="00310D6A" w:rsidRDefault="002A273B" w:rsidP="002A273B">
            <w:pPr>
              <w:rPr>
                <w:sz w:val="18"/>
                <w:szCs w:val="18"/>
              </w:rPr>
            </w:pPr>
            <w:r w:rsidRPr="00310D6A">
              <w:rPr>
                <w:sz w:val="18"/>
                <w:szCs w:val="18"/>
              </w:rPr>
              <w:t>Kraków</w:t>
            </w:r>
          </w:p>
        </w:tc>
        <w:tc>
          <w:tcPr>
            <w:tcW w:w="0" w:type="auto"/>
          </w:tcPr>
          <w:p w14:paraId="641C3BB1" w14:textId="5193F12F" w:rsidR="002A273B" w:rsidRPr="00310D6A" w:rsidRDefault="002A273B" w:rsidP="002A273B">
            <w:pPr>
              <w:rPr>
                <w:sz w:val="18"/>
                <w:szCs w:val="18"/>
              </w:rPr>
            </w:pPr>
            <w:r w:rsidRPr="00310D6A">
              <w:rPr>
                <w:sz w:val="18"/>
                <w:szCs w:val="18"/>
              </w:rPr>
              <w:t>17</w:t>
            </w:r>
          </w:p>
        </w:tc>
        <w:tc>
          <w:tcPr>
            <w:tcW w:w="0" w:type="auto"/>
          </w:tcPr>
          <w:p w14:paraId="7061D02E" w14:textId="30710A2E" w:rsidR="002A273B" w:rsidRPr="00310D6A" w:rsidRDefault="002A273B" w:rsidP="002A273B">
            <w:pPr>
              <w:rPr>
                <w:sz w:val="18"/>
                <w:szCs w:val="18"/>
              </w:rPr>
            </w:pPr>
            <w:r w:rsidRPr="00310D6A">
              <w:rPr>
                <w:sz w:val="18"/>
                <w:szCs w:val="18"/>
              </w:rPr>
              <w:t>Lublin</w:t>
            </w:r>
          </w:p>
        </w:tc>
      </w:tr>
      <w:tr w:rsidR="009A6CBD" w:rsidRPr="001633D6" w14:paraId="516CF882" w14:textId="737C658D" w:rsidTr="00310D6A">
        <w:trPr>
          <w:jc w:val="center"/>
        </w:trPr>
        <w:tc>
          <w:tcPr>
            <w:tcW w:w="0" w:type="auto"/>
          </w:tcPr>
          <w:p w14:paraId="17B6C609" w14:textId="32B9F243" w:rsidR="002A273B" w:rsidRPr="00310D6A" w:rsidRDefault="002A273B" w:rsidP="002A273B">
            <w:pPr>
              <w:rPr>
                <w:sz w:val="18"/>
                <w:szCs w:val="18"/>
              </w:rPr>
            </w:pPr>
            <w:r w:rsidRPr="00310D6A">
              <w:rPr>
                <w:sz w:val="18"/>
                <w:szCs w:val="18"/>
              </w:rPr>
              <w:t>6</w:t>
            </w:r>
          </w:p>
        </w:tc>
        <w:tc>
          <w:tcPr>
            <w:tcW w:w="0" w:type="auto"/>
          </w:tcPr>
          <w:p w14:paraId="59D81365" w14:textId="1CA50CC6" w:rsidR="002A273B" w:rsidRPr="00310D6A" w:rsidRDefault="002A273B" w:rsidP="002A273B">
            <w:pPr>
              <w:rPr>
                <w:sz w:val="18"/>
                <w:szCs w:val="18"/>
              </w:rPr>
            </w:pPr>
            <w:r w:rsidRPr="00310D6A">
              <w:rPr>
                <w:sz w:val="18"/>
                <w:szCs w:val="18"/>
              </w:rPr>
              <w:t>Łódź</w:t>
            </w:r>
          </w:p>
        </w:tc>
        <w:tc>
          <w:tcPr>
            <w:tcW w:w="0" w:type="auto"/>
          </w:tcPr>
          <w:p w14:paraId="4CB1AC31" w14:textId="7BAD0049" w:rsidR="002A273B" w:rsidRPr="00310D6A" w:rsidRDefault="002A273B" w:rsidP="002A273B">
            <w:pPr>
              <w:rPr>
                <w:sz w:val="18"/>
                <w:szCs w:val="18"/>
              </w:rPr>
            </w:pPr>
            <w:r w:rsidRPr="00310D6A">
              <w:rPr>
                <w:sz w:val="18"/>
                <w:szCs w:val="18"/>
              </w:rPr>
              <w:t>18</w:t>
            </w:r>
          </w:p>
        </w:tc>
        <w:tc>
          <w:tcPr>
            <w:tcW w:w="0" w:type="auto"/>
          </w:tcPr>
          <w:p w14:paraId="0650C158" w14:textId="093D6C14" w:rsidR="002A273B" w:rsidRPr="00310D6A" w:rsidRDefault="002A273B" w:rsidP="002A273B">
            <w:pPr>
              <w:rPr>
                <w:sz w:val="18"/>
                <w:szCs w:val="18"/>
              </w:rPr>
            </w:pPr>
            <w:r w:rsidRPr="00310D6A">
              <w:rPr>
                <w:sz w:val="18"/>
                <w:szCs w:val="18"/>
              </w:rPr>
              <w:t>Olsztyn</w:t>
            </w:r>
          </w:p>
        </w:tc>
      </w:tr>
      <w:tr w:rsidR="009A6CBD" w:rsidRPr="001633D6" w14:paraId="6AE000BD" w14:textId="63160ED4" w:rsidTr="00310D6A">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25554604" w14:textId="228FCC15" w:rsidR="002A273B" w:rsidRPr="00310D6A" w:rsidRDefault="002A273B" w:rsidP="002A273B">
            <w:pPr>
              <w:rPr>
                <w:sz w:val="18"/>
                <w:szCs w:val="18"/>
              </w:rPr>
            </w:pPr>
            <w:r w:rsidRPr="00310D6A">
              <w:rPr>
                <w:sz w:val="18"/>
                <w:szCs w:val="18"/>
              </w:rPr>
              <w:t>7</w:t>
            </w:r>
          </w:p>
        </w:tc>
        <w:tc>
          <w:tcPr>
            <w:tcW w:w="0" w:type="auto"/>
          </w:tcPr>
          <w:p w14:paraId="536BD53A" w14:textId="17ACC38C" w:rsidR="002A273B" w:rsidRPr="00310D6A" w:rsidRDefault="002A273B" w:rsidP="002A273B">
            <w:pPr>
              <w:rPr>
                <w:sz w:val="18"/>
                <w:szCs w:val="18"/>
              </w:rPr>
            </w:pPr>
            <w:r w:rsidRPr="00310D6A">
              <w:rPr>
                <w:sz w:val="18"/>
                <w:szCs w:val="18"/>
              </w:rPr>
              <w:t>Opole</w:t>
            </w:r>
          </w:p>
        </w:tc>
        <w:tc>
          <w:tcPr>
            <w:tcW w:w="0" w:type="auto"/>
          </w:tcPr>
          <w:p w14:paraId="276887D2" w14:textId="557D8D4C" w:rsidR="002A273B" w:rsidRPr="00310D6A" w:rsidRDefault="002A273B" w:rsidP="002A273B">
            <w:pPr>
              <w:rPr>
                <w:sz w:val="18"/>
                <w:szCs w:val="18"/>
              </w:rPr>
            </w:pPr>
            <w:r w:rsidRPr="00310D6A">
              <w:rPr>
                <w:sz w:val="18"/>
                <w:szCs w:val="18"/>
              </w:rPr>
              <w:t>19</w:t>
            </w:r>
          </w:p>
        </w:tc>
        <w:tc>
          <w:tcPr>
            <w:tcW w:w="0" w:type="auto"/>
          </w:tcPr>
          <w:p w14:paraId="6043CE41" w14:textId="34246E03" w:rsidR="002A273B" w:rsidRPr="00310D6A" w:rsidRDefault="002A273B" w:rsidP="002A273B">
            <w:pPr>
              <w:rPr>
                <w:sz w:val="18"/>
                <w:szCs w:val="18"/>
              </w:rPr>
            </w:pPr>
            <w:r w:rsidRPr="00310D6A">
              <w:rPr>
                <w:sz w:val="18"/>
                <w:szCs w:val="18"/>
              </w:rPr>
              <w:t>Płock</w:t>
            </w:r>
          </w:p>
        </w:tc>
      </w:tr>
      <w:tr w:rsidR="009A6CBD" w:rsidRPr="001633D6" w14:paraId="5FB4186C" w14:textId="244C7B64" w:rsidTr="00310D6A">
        <w:trPr>
          <w:jc w:val="center"/>
        </w:trPr>
        <w:tc>
          <w:tcPr>
            <w:tcW w:w="0" w:type="auto"/>
          </w:tcPr>
          <w:p w14:paraId="17A16CD3" w14:textId="7EB15C8E" w:rsidR="002A273B" w:rsidRPr="00310D6A" w:rsidRDefault="002A273B" w:rsidP="002A273B">
            <w:pPr>
              <w:rPr>
                <w:sz w:val="18"/>
                <w:szCs w:val="18"/>
              </w:rPr>
            </w:pPr>
            <w:r w:rsidRPr="00310D6A">
              <w:rPr>
                <w:sz w:val="18"/>
                <w:szCs w:val="18"/>
              </w:rPr>
              <w:t>8</w:t>
            </w:r>
          </w:p>
        </w:tc>
        <w:tc>
          <w:tcPr>
            <w:tcW w:w="0" w:type="auto"/>
          </w:tcPr>
          <w:p w14:paraId="26D8A163" w14:textId="1F867D0A" w:rsidR="002A273B" w:rsidRPr="00310D6A" w:rsidRDefault="002A273B" w:rsidP="002A273B">
            <w:pPr>
              <w:rPr>
                <w:sz w:val="18"/>
                <w:szCs w:val="18"/>
              </w:rPr>
            </w:pPr>
            <w:r w:rsidRPr="00310D6A">
              <w:rPr>
                <w:sz w:val="18"/>
                <w:szCs w:val="18"/>
              </w:rPr>
              <w:t>Poznań</w:t>
            </w:r>
          </w:p>
        </w:tc>
        <w:tc>
          <w:tcPr>
            <w:tcW w:w="0" w:type="auto"/>
          </w:tcPr>
          <w:p w14:paraId="63B890CC" w14:textId="13BA5C82" w:rsidR="002A273B" w:rsidRPr="00310D6A" w:rsidRDefault="002A273B" w:rsidP="002A273B">
            <w:pPr>
              <w:rPr>
                <w:sz w:val="18"/>
                <w:szCs w:val="18"/>
              </w:rPr>
            </w:pPr>
            <w:r w:rsidRPr="00310D6A">
              <w:rPr>
                <w:sz w:val="18"/>
                <w:szCs w:val="18"/>
              </w:rPr>
              <w:t>20</w:t>
            </w:r>
          </w:p>
        </w:tc>
        <w:tc>
          <w:tcPr>
            <w:tcW w:w="0" w:type="auto"/>
          </w:tcPr>
          <w:p w14:paraId="252674C3" w14:textId="577D55B7" w:rsidR="002A273B" w:rsidRPr="00310D6A" w:rsidRDefault="002A273B" w:rsidP="002A273B">
            <w:pPr>
              <w:rPr>
                <w:sz w:val="18"/>
                <w:szCs w:val="18"/>
              </w:rPr>
            </w:pPr>
            <w:r w:rsidRPr="00310D6A">
              <w:rPr>
                <w:sz w:val="18"/>
                <w:szCs w:val="18"/>
              </w:rPr>
              <w:t>Rzeszów</w:t>
            </w:r>
          </w:p>
        </w:tc>
      </w:tr>
      <w:tr w:rsidR="003940EE" w:rsidRPr="009C3BAF" w14:paraId="1D6DA12B" w14:textId="4F5A109D" w:rsidTr="00310D6A">
        <w:trPr>
          <w:gridAfter w:val="2"/>
          <w:cnfStyle w:val="000000100000" w:firstRow="0" w:lastRow="0" w:firstColumn="0" w:lastColumn="0" w:oddVBand="0" w:evenVBand="0" w:oddHBand="1" w:evenHBand="0" w:firstRowFirstColumn="0" w:firstRowLastColumn="0" w:lastRowFirstColumn="0" w:lastRowLastColumn="0"/>
          <w:jc w:val="center"/>
        </w:trPr>
        <w:tc>
          <w:tcPr>
            <w:tcW w:w="0" w:type="auto"/>
          </w:tcPr>
          <w:p w14:paraId="0C67D479" w14:textId="7538A2C7" w:rsidR="003940EE" w:rsidRPr="00310D6A" w:rsidRDefault="003940EE" w:rsidP="002A273B">
            <w:pPr>
              <w:rPr>
                <w:sz w:val="18"/>
                <w:szCs w:val="18"/>
              </w:rPr>
            </w:pPr>
            <w:r w:rsidRPr="00310D6A">
              <w:rPr>
                <w:sz w:val="18"/>
                <w:szCs w:val="18"/>
              </w:rPr>
              <w:t>9</w:t>
            </w:r>
          </w:p>
        </w:tc>
        <w:tc>
          <w:tcPr>
            <w:tcW w:w="0" w:type="auto"/>
          </w:tcPr>
          <w:p w14:paraId="064EF084" w14:textId="71AE053D" w:rsidR="003940EE" w:rsidRPr="00310D6A" w:rsidRDefault="003940EE" w:rsidP="002A273B">
            <w:pPr>
              <w:rPr>
                <w:sz w:val="18"/>
                <w:szCs w:val="18"/>
              </w:rPr>
            </w:pPr>
            <w:r w:rsidRPr="00310D6A">
              <w:rPr>
                <w:sz w:val="18"/>
                <w:szCs w:val="18"/>
              </w:rPr>
              <w:t>Szczecin</w:t>
            </w:r>
          </w:p>
        </w:tc>
      </w:tr>
      <w:tr w:rsidR="003940EE" w:rsidRPr="009C3BAF" w14:paraId="59D58387" w14:textId="1C1FD109" w:rsidTr="00310D6A">
        <w:trPr>
          <w:gridAfter w:val="2"/>
          <w:jc w:val="center"/>
        </w:trPr>
        <w:tc>
          <w:tcPr>
            <w:tcW w:w="0" w:type="auto"/>
          </w:tcPr>
          <w:p w14:paraId="471298F8" w14:textId="095BF360" w:rsidR="003940EE" w:rsidRPr="00310D6A" w:rsidRDefault="003940EE" w:rsidP="002A273B">
            <w:pPr>
              <w:rPr>
                <w:sz w:val="18"/>
                <w:szCs w:val="18"/>
              </w:rPr>
            </w:pPr>
            <w:r w:rsidRPr="00310D6A">
              <w:rPr>
                <w:sz w:val="18"/>
                <w:szCs w:val="18"/>
              </w:rPr>
              <w:lastRenderedPageBreak/>
              <w:t>10</w:t>
            </w:r>
          </w:p>
        </w:tc>
        <w:tc>
          <w:tcPr>
            <w:tcW w:w="0" w:type="auto"/>
          </w:tcPr>
          <w:p w14:paraId="2F834407" w14:textId="1D0EDCF2" w:rsidR="003940EE" w:rsidRPr="00310D6A" w:rsidRDefault="003940EE" w:rsidP="002A273B">
            <w:pPr>
              <w:rPr>
                <w:sz w:val="18"/>
                <w:szCs w:val="18"/>
              </w:rPr>
            </w:pPr>
            <w:r w:rsidRPr="00310D6A">
              <w:rPr>
                <w:sz w:val="18"/>
                <w:szCs w:val="18"/>
              </w:rPr>
              <w:t>Toruń</w:t>
            </w:r>
          </w:p>
        </w:tc>
      </w:tr>
      <w:tr w:rsidR="003940EE" w:rsidRPr="009C3BAF" w14:paraId="74422344" w14:textId="0A8F954E" w:rsidTr="00310D6A">
        <w:trPr>
          <w:gridAfter w:val="2"/>
          <w:cnfStyle w:val="000000100000" w:firstRow="0" w:lastRow="0" w:firstColumn="0" w:lastColumn="0" w:oddVBand="0" w:evenVBand="0" w:oddHBand="1" w:evenHBand="0" w:firstRowFirstColumn="0" w:firstRowLastColumn="0" w:lastRowFirstColumn="0" w:lastRowLastColumn="0"/>
          <w:jc w:val="center"/>
        </w:trPr>
        <w:tc>
          <w:tcPr>
            <w:tcW w:w="0" w:type="auto"/>
          </w:tcPr>
          <w:p w14:paraId="60D041AB" w14:textId="1FEB2B22" w:rsidR="003940EE" w:rsidRPr="00310D6A" w:rsidRDefault="003940EE" w:rsidP="002A273B">
            <w:pPr>
              <w:rPr>
                <w:sz w:val="18"/>
                <w:szCs w:val="18"/>
              </w:rPr>
            </w:pPr>
            <w:r w:rsidRPr="00310D6A">
              <w:rPr>
                <w:sz w:val="18"/>
                <w:szCs w:val="18"/>
              </w:rPr>
              <w:t>11</w:t>
            </w:r>
          </w:p>
        </w:tc>
        <w:tc>
          <w:tcPr>
            <w:tcW w:w="0" w:type="auto"/>
          </w:tcPr>
          <w:p w14:paraId="30742F2A" w14:textId="788A0A8E" w:rsidR="003940EE" w:rsidRPr="00310D6A" w:rsidRDefault="003940EE" w:rsidP="002A273B">
            <w:pPr>
              <w:rPr>
                <w:sz w:val="18"/>
                <w:szCs w:val="18"/>
              </w:rPr>
            </w:pPr>
            <w:r w:rsidRPr="00310D6A">
              <w:rPr>
                <w:sz w:val="18"/>
                <w:szCs w:val="18"/>
              </w:rPr>
              <w:t>Wrocław</w:t>
            </w:r>
          </w:p>
        </w:tc>
      </w:tr>
      <w:tr w:rsidR="003940EE" w:rsidRPr="009C3BAF" w14:paraId="6F923056" w14:textId="0B4870C7" w:rsidTr="00310D6A">
        <w:trPr>
          <w:gridAfter w:val="2"/>
          <w:jc w:val="center"/>
        </w:trPr>
        <w:tc>
          <w:tcPr>
            <w:tcW w:w="0" w:type="auto"/>
          </w:tcPr>
          <w:p w14:paraId="54CDBB74" w14:textId="597F294C" w:rsidR="003940EE" w:rsidRPr="00310D6A" w:rsidRDefault="003940EE" w:rsidP="002A273B">
            <w:pPr>
              <w:rPr>
                <w:sz w:val="18"/>
                <w:szCs w:val="18"/>
              </w:rPr>
            </w:pPr>
            <w:r w:rsidRPr="00310D6A">
              <w:rPr>
                <w:sz w:val="18"/>
                <w:szCs w:val="18"/>
              </w:rPr>
              <w:t>12</w:t>
            </w:r>
          </w:p>
        </w:tc>
        <w:tc>
          <w:tcPr>
            <w:tcW w:w="0" w:type="auto"/>
          </w:tcPr>
          <w:p w14:paraId="739D2B47" w14:textId="19CA208D" w:rsidR="003940EE" w:rsidRPr="00310D6A" w:rsidRDefault="003940EE" w:rsidP="002A273B">
            <w:pPr>
              <w:rPr>
                <w:sz w:val="18"/>
                <w:szCs w:val="18"/>
              </w:rPr>
            </w:pPr>
            <w:r w:rsidRPr="00310D6A">
              <w:rPr>
                <w:sz w:val="18"/>
                <w:szCs w:val="18"/>
              </w:rPr>
              <w:t>Zielona Góra</w:t>
            </w:r>
          </w:p>
        </w:tc>
      </w:tr>
    </w:tbl>
    <w:p w14:paraId="1F004129" w14:textId="45A912DC" w:rsidR="001C4FF8" w:rsidRDefault="001C4FF8" w:rsidP="00310D6A">
      <w:pPr>
        <w:pStyle w:val="rdo"/>
      </w:pPr>
      <w:r w:rsidRPr="00391608">
        <w:t>Źródło: opracowanie własne.</w:t>
      </w:r>
    </w:p>
    <w:p w14:paraId="407946ED" w14:textId="1C8F595E" w:rsidR="006D4F0F" w:rsidRPr="001633D6" w:rsidRDefault="002A273B" w:rsidP="002A273B">
      <w:r w:rsidRPr="001633D6">
        <w:t>Panel pozwoli</w:t>
      </w:r>
      <w:r w:rsidR="00C91014" w:rsidRPr="001633D6">
        <w:t>ł</w:t>
      </w:r>
      <w:r w:rsidRPr="001633D6">
        <w:t xml:space="preserve"> uzyskać dodatkowe informacje dotyczące m.in. częstości korzystania ze środków transportu oraz postrzegania innych kwestii (np. dostępności usług, łatwości zakupu biletu, komfortu taboru). </w:t>
      </w:r>
      <w:bookmarkStart w:id="65" w:name="_Hlk24127000"/>
      <w:r w:rsidR="001C7F35" w:rsidRPr="001633D6">
        <w:t>L</w:t>
      </w:r>
      <w:r w:rsidRPr="001633D6">
        <w:t>istę pytań bezpośrednio dotyczących badanych zagadnień</w:t>
      </w:r>
      <w:r w:rsidR="001C7F35" w:rsidRPr="001633D6">
        <w:t xml:space="preserve"> zawiera </w:t>
      </w:r>
      <w:r w:rsidR="001C7F35" w:rsidRPr="001633D6">
        <w:fldChar w:fldCharType="begin"/>
      </w:r>
      <w:r w:rsidR="001C7F35" w:rsidRPr="001633D6">
        <w:instrText xml:space="preserve"> REF Załącznik1 \h </w:instrText>
      </w:r>
      <w:r w:rsidR="001C7F35" w:rsidRPr="001633D6">
        <w:fldChar w:fldCharType="separate"/>
      </w:r>
      <w:r w:rsidR="00C93FD7" w:rsidRPr="00CE65CD">
        <w:rPr>
          <w:color w:val="000000" w:themeColor="text1"/>
        </w:rPr>
        <w:t>Załącznik 1.</w:t>
      </w:r>
      <w:r w:rsidR="001C7F35" w:rsidRPr="001633D6">
        <w:fldChar w:fldCharType="end"/>
      </w:r>
      <w:bookmarkEnd w:id="65"/>
    </w:p>
    <w:p w14:paraId="05667D56" w14:textId="6D7F30AD" w:rsidR="00A81BC0" w:rsidRPr="001633D6" w:rsidRDefault="00A81BC0" w:rsidP="009707CB">
      <w:pPr>
        <w:pStyle w:val="Nagwek2"/>
        <w:rPr>
          <w:color w:val="auto"/>
        </w:rPr>
      </w:pPr>
      <w:bookmarkStart w:id="66" w:name="_Toc27125333"/>
      <w:r w:rsidRPr="001633D6">
        <w:rPr>
          <w:color w:val="auto"/>
        </w:rPr>
        <w:t>Analiza kosztów i korzyści</w:t>
      </w:r>
      <w:bookmarkEnd w:id="66"/>
    </w:p>
    <w:p w14:paraId="0A7E8909" w14:textId="4F468DF3" w:rsidR="00E364D9" w:rsidRPr="001633D6" w:rsidRDefault="00E364D9" w:rsidP="00E364D9">
      <w:r w:rsidRPr="001633D6">
        <w:t>Zgodnie z wymogami Zamawiającego analiz</w:t>
      </w:r>
      <w:r w:rsidR="00307F12" w:rsidRPr="001633D6">
        <w:t>y</w:t>
      </w:r>
      <w:r w:rsidRPr="001633D6">
        <w:t xml:space="preserve"> kosztów i korzyści zosta</w:t>
      </w:r>
      <w:r w:rsidR="00307F12" w:rsidRPr="001633D6">
        <w:t>ły</w:t>
      </w:r>
      <w:r w:rsidRPr="001633D6">
        <w:t xml:space="preserve"> </w:t>
      </w:r>
      <w:r w:rsidR="00307F12" w:rsidRPr="001633D6">
        <w:t xml:space="preserve">zweryfikowane </w:t>
      </w:r>
      <w:r w:rsidRPr="001633D6">
        <w:t>dla projektów z</w:t>
      </w:r>
      <w:r w:rsidR="00307F12" w:rsidRPr="001633D6">
        <w:t> </w:t>
      </w:r>
      <w:r w:rsidRPr="001633D6">
        <w:t xml:space="preserve">Warszawskiego Obszaru Funkcjonalnego, w tym pilotażowo </w:t>
      </w:r>
      <w:r w:rsidR="00307F12" w:rsidRPr="001633D6">
        <w:t>z</w:t>
      </w:r>
      <w:r w:rsidRPr="001633D6">
        <w:t xml:space="preserve"> perspektywy 2007-2013.</w:t>
      </w:r>
      <w:r w:rsidR="00307F12" w:rsidRPr="001633D6">
        <w:t xml:space="preserve"> Analizie poddano projekty POIiŚ 2007-2013, które swoim zakresem merytorycznym odpowiadały projektom realizowanym w ramach VI OP POIiŚ 2014-2020, tj.:</w:t>
      </w:r>
    </w:p>
    <w:p w14:paraId="54FCA904" w14:textId="77777777" w:rsidR="00307F12" w:rsidRPr="001633D6" w:rsidRDefault="00307F12" w:rsidP="001B2A4E">
      <w:pPr>
        <w:pStyle w:val="Akapitzlist"/>
        <w:numPr>
          <w:ilvl w:val="0"/>
          <w:numId w:val="46"/>
        </w:numPr>
      </w:pPr>
      <w:r w:rsidRPr="001633D6">
        <w:t>Modernizacja trasy tramwajowej Dworzec Wileński – Stadion Narodowy – Rondo Waszyngtona wraz z zakupem 30 tramwajów niskopodłogowych;</w:t>
      </w:r>
    </w:p>
    <w:p w14:paraId="7BECE16E" w14:textId="77777777" w:rsidR="00307F12" w:rsidRPr="001633D6" w:rsidRDefault="00307F12" w:rsidP="001B2A4E">
      <w:pPr>
        <w:pStyle w:val="Akapitzlist"/>
        <w:numPr>
          <w:ilvl w:val="0"/>
          <w:numId w:val="46"/>
        </w:numPr>
      </w:pPr>
      <w:r w:rsidRPr="001633D6">
        <w:t>II linia metra w Warszawie - Prace przygotowawcze, projekt i budowa odcinka centralnego wraz z zakupem taboru;</w:t>
      </w:r>
    </w:p>
    <w:p w14:paraId="49913724" w14:textId="77777777" w:rsidR="00307F12" w:rsidRPr="001633D6" w:rsidRDefault="00307F12" w:rsidP="001B2A4E">
      <w:pPr>
        <w:pStyle w:val="Akapitzlist"/>
        <w:numPr>
          <w:ilvl w:val="0"/>
          <w:numId w:val="46"/>
        </w:numPr>
      </w:pPr>
      <w:r w:rsidRPr="001633D6">
        <w:t>Obsługa północnych obszarów Warszawy komunikacją tramwajową w związku z rozbudową sieci metra oraz zakupem taboru;</w:t>
      </w:r>
    </w:p>
    <w:p w14:paraId="62FD356B" w14:textId="77777777" w:rsidR="00307F12" w:rsidRPr="001633D6" w:rsidRDefault="00307F12" w:rsidP="001B2A4E">
      <w:pPr>
        <w:pStyle w:val="Akapitzlist"/>
        <w:numPr>
          <w:ilvl w:val="0"/>
          <w:numId w:val="46"/>
        </w:numPr>
      </w:pPr>
      <w:r w:rsidRPr="001633D6">
        <w:t>Dostosowanie infrastruktury tramwajowej w Warszawie do potrzeb związanych z eksploatacją tramwajów niskopodłogowych;</w:t>
      </w:r>
    </w:p>
    <w:p w14:paraId="26F745CE" w14:textId="77777777" w:rsidR="00307F12" w:rsidRPr="001633D6" w:rsidRDefault="00307F12" w:rsidP="001B2A4E">
      <w:pPr>
        <w:pStyle w:val="Akapitzlist"/>
        <w:numPr>
          <w:ilvl w:val="0"/>
          <w:numId w:val="46"/>
        </w:numPr>
      </w:pPr>
      <w:r w:rsidRPr="001633D6">
        <w:t>Budowa trasy tramwajowej w ciągu ul. Powstańców Śląskich oraz modernizacja zaplecza wraz z wymianą sprzętu;</w:t>
      </w:r>
    </w:p>
    <w:p w14:paraId="773DB3F1" w14:textId="77777777" w:rsidR="00307F12" w:rsidRPr="001633D6" w:rsidRDefault="00307F12" w:rsidP="001B2A4E">
      <w:pPr>
        <w:pStyle w:val="Akapitzlist"/>
        <w:numPr>
          <w:ilvl w:val="0"/>
          <w:numId w:val="46"/>
        </w:numPr>
      </w:pPr>
      <w:r w:rsidRPr="001633D6">
        <w:t>Modernizacja trasy tramwajowej W-Z w Warszawie na odcinku Cm. Wolski – Dw. Wileński.</w:t>
      </w:r>
    </w:p>
    <w:p w14:paraId="335BD5F1" w14:textId="4D54EDC0" w:rsidR="00E364D9" w:rsidRPr="001633D6" w:rsidRDefault="00E364D9" w:rsidP="00E364D9">
      <w:r w:rsidRPr="001633D6">
        <w:t xml:space="preserve">Podstawowe podejście stosowane w AKK </w:t>
      </w:r>
      <w:r w:rsidRPr="001633D6">
        <w:rPr>
          <w:i/>
        </w:rPr>
        <w:t>ex</w:t>
      </w:r>
      <w:r w:rsidR="00760E00">
        <w:rPr>
          <w:i/>
        </w:rPr>
        <w:t xml:space="preserve"> </w:t>
      </w:r>
      <w:r w:rsidRPr="001633D6">
        <w:rPr>
          <w:i/>
        </w:rPr>
        <w:t xml:space="preserve">post </w:t>
      </w:r>
      <w:r w:rsidR="00297D1B">
        <w:t>bazowało na weryfikacji</w:t>
      </w:r>
      <w:r w:rsidRPr="001633D6">
        <w:t xml:space="preserve"> AKK </w:t>
      </w:r>
      <w:r w:rsidRPr="001633D6">
        <w:rPr>
          <w:i/>
        </w:rPr>
        <w:t>ex</w:t>
      </w:r>
      <w:r w:rsidR="00760E00">
        <w:rPr>
          <w:i/>
        </w:rPr>
        <w:t xml:space="preserve"> </w:t>
      </w:r>
      <w:proofErr w:type="spellStart"/>
      <w:r w:rsidRPr="001633D6">
        <w:rPr>
          <w:i/>
        </w:rPr>
        <w:t>ante</w:t>
      </w:r>
      <w:proofErr w:type="spellEnd"/>
      <w:r w:rsidRPr="001633D6">
        <w:rPr>
          <w:i/>
        </w:rPr>
        <w:t xml:space="preserve">, </w:t>
      </w:r>
      <w:r w:rsidRPr="001633D6">
        <w:t>z</w:t>
      </w:r>
      <w:r w:rsidR="00311EFF">
        <w:t> </w:t>
      </w:r>
      <w:r w:rsidRPr="001633D6">
        <w:t xml:space="preserve">wykorzystaniem nowych wartości wejściowych, które są już częściowo znane po realizacji projektów, np. dotyczących faktycznych kosztów realizacji, skrócenia czasu przejazdu, liczby użytkowników itp. Wartości te w rzeczywistości mogą się różnić zarówno in plus jak i in minus od pierwotnie zakładanych. </w:t>
      </w:r>
      <w:r w:rsidR="00307F12" w:rsidRPr="001633D6">
        <w:t>C</w:t>
      </w:r>
      <w:r w:rsidRPr="001633D6">
        <w:t>zerpan</w:t>
      </w:r>
      <w:r w:rsidR="00307F12" w:rsidRPr="001633D6">
        <w:t>o je</w:t>
      </w:r>
      <w:r w:rsidRPr="001633D6">
        <w:t xml:space="preserve"> z innych metod badawczych oraz danych monitoringowych (sprawozdań beneficjentów).</w:t>
      </w:r>
    </w:p>
    <w:p w14:paraId="2725EBA9" w14:textId="5D2FD576" w:rsidR="00E364D9" w:rsidRPr="001633D6" w:rsidRDefault="00E364D9" w:rsidP="00E364D9">
      <w:pPr>
        <w:spacing w:before="0" w:line="259" w:lineRule="auto"/>
      </w:pPr>
      <w:r w:rsidRPr="001633D6">
        <w:t>Dodatkowo zosta</w:t>
      </w:r>
      <w:r w:rsidR="00307F12" w:rsidRPr="001633D6">
        <w:t>ła</w:t>
      </w:r>
      <w:r w:rsidRPr="001633D6">
        <w:t xml:space="preserve"> przeprowadzona analiza kosztów i korzyści dla budowy parkingów </w:t>
      </w:r>
      <w:r w:rsidRPr="001633D6">
        <w:rPr>
          <w:i/>
        </w:rPr>
        <w:t xml:space="preserve">Park </w:t>
      </w:r>
      <w:r w:rsidR="00552334">
        <w:rPr>
          <w:i/>
        </w:rPr>
        <w:t>&amp;</w:t>
      </w:r>
      <w:r w:rsidRPr="001633D6">
        <w:rPr>
          <w:i/>
        </w:rPr>
        <w:t xml:space="preserve"> </w:t>
      </w:r>
      <w:proofErr w:type="spellStart"/>
      <w:r w:rsidRPr="001633D6">
        <w:rPr>
          <w:i/>
        </w:rPr>
        <w:t>Ride</w:t>
      </w:r>
      <w:proofErr w:type="spellEnd"/>
      <w:r w:rsidRPr="001633D6">
        <w:t xml:space="preserve">, obejmująca pełne koszty oraz korzyści związane z wyborem </w:t>
      </w:r>
      <w:r w:rsidR="00307F12" w:rsidRPr="001633D6">
        <w:t xml:space="preserve">parkingów </w:t>
      </w:r>
      <w:r w:rsidRPr="001633D6">
        <w:t>przez określoną liczbę osób, oszacowane na podstawie wytycznych Niebieskiej Księgi Jaspers dla projektów w</w:t>
      </w:r>
      <w:r w:rsidR="00307F12" w:rsidRPr="001633D6">
        <w:t> </w:t>
      </w:r>
      <w:r w:rsidRPr="001633D6">
        <w:t xml:space="preserve">sektorze transportu publicznego. </w:t>
      </w:r>
    </w:p>
    <w:p w14:paraId="74CE82F1" w14:textId="14F5CA31" w:rsidR="00E364D9" w:rsidRPr="001633D6" w:rsidRDefault="00E364D9" w:rsidP="00E364D9">
      <w:r w:rsidRPr="001633D6">
        <w:t xml:space="preserve">Analiza miała charakter wielowymiarowy – </w:t>
      </w:r>
      <w:proofErr w:type="spellStart"/>
      <w:r w:rsidRPr="001633D6">
        <w:rPr>
          <w:i/>
        </w:rPr>
        <w:t>break</w:t>
      </w:r>
      <w:proofErr w:type="spellEnd"/>
      <w:r w:rsidRPr="001633D6">
        <w:rPr>
          <w:i/>
        </w:rPr>
        <w:t xml:space="preserve"> </w:t>
      </w:r>
      <w:proofErr w:type="spellStart"/>
      <w:r w:rsidRPr="001633D6">
        <w:rPr>
          <w:i/>
        </w:rPr>
        <w:t>even</w:t>
      </w:r>
      <w:proofErr w:type="spellEnd"/>
      <w:r w:rsidRPr="001633D6">
        <w:t xml:space="preserve">, czyli wartość krytyczna opłacalności </w:t>
      </w:r>
      <w:r w:rsidR="00307F12" w:rsidRPr="001633D6">
        <w:t xml:space="preserve">została </w:t>
      </w:r>
      <w:r w:rsidRPr="001633D6">
        <w:t>przedstawi</w:t>
      </w:r>
      <w:r w:rsidR="00307F12" w:rsidRPr="001633D6">
        <w:t>o</w:t>
      </w:r>
      <w:r w:rsidRPr="001633D6">
        <w:t>na w funkcji kosztu budowy i utrzymania miejsca oraz przeciętnej odległości podróży użytkownika. Pomo</w:t>
      </w:r>
      <w:r w:rsidR="00307F12" w:rsidRPr="001633D6">
        <w:t>gło</w:t>
      </w:r>
      <w:r w:rsidRPr="001633D6">
        <w:t xml:space="preserve"> to rozróżnić specyfikę </w:t>
      </w:r>
      <w:r w:rsidRPr="001633D6">
        <w:rPr>
          <w:i/>
        </w:rPr>
        <w:t xml:space="preserve">Park </w:t>
      </w:r>
      <w:r w:rsidR="00552334">
        <w:rPr>
          <w:i/>
        </w:rPr>
        <w:t>&amp;</w:t>
      </w:r>
      <w:r w:rsidRPr="001633D6">
        <w:rPr>
          <w:i/>
        </w:rPr>
        <w:t xml:space="preserve"> </w:t>
      </w:r>
      <w:proofErr w:type="spellStart"/>
      <w:r w:rsidRPr="001633D6">
        <w:rPr>
          <w:i/>
        </w:rPr>
        <w:t>Ride</w:t>
      </w:r>
      <w:proofErr w:type="spellEnd"/>
      <w:r w:rsidRPr="001633D6">
        <w:t xml:space="preserve"> w rdzeniu aglomeracji (wyższe koszty parkingów kubaturowych, krótsze podróże) oraz poza nim (niższe koszty parkingów jednopoziomowych, dłuższe podróże), wraz z różnymi kombinacjami (np. parking wielopoziomowy </w:t>
      </w:r>
      <w:r w:rsidRPr="001633D6">
        <w:lastRenderedPageBreak/>
        <w:t xml:space="preserve">w centrum miasta satelickiego). Wyniki analizy </w:t>
      </w:r>
      <w:r w:rsidR="00307F12" w:rsidRPr="001633D6">
        <w:t>zostały z</w:t>
      </w:r>
      <w:r w:rsidRPr="001633D6">
        <w:t>weryfikowane pod względem spójności z</w:t>
      </w:r>
      <w:r w:rsidR="00ED74CB">
        <w:t> </w:t>
      </w:r>
      <w:r w:rsidRPr="001633D6">
        <w:t>wynikami analiz w udostępnionych studiach wykonalności.</w:t>
      </w:r>
    </w:p>
    <w:p w14:paraId="489AEB85" w14:textId="036F91B5" w:rsidR="00FE6EF8" w:rsidRPr="001633D6" w:rsidRDefault="00742CBC" w:rsidP="00FE6EF8">
      <w:pPr>
        <w:pStyle w:val="Nagwek2"/>
        <w:rPr>
          <w:color w:val="auto"/>
        </w:rPr>
      </w:pPr>
      <w:bookmarkStart w:id="67" w:name="_Toc27125334"/>
      <w:r w:rsidRPr="001633D6">
        <w:rPr>
          <w:color w:val="auto"/>
        </w:rPr>
        <w:t>A</w:t>
      </w:r>
      <w:r w:rsidR="00595713" w:rsidRPr="001633D6">
        <w:rPr>
          <w:color w:val="auto"/>
        </w:rPr>
        <w:t>nalizy kontrfaktyczne</w:t>
      </w:r>
      <w:bookmarkEnd w:id="67"/>
    </w:p>
    <w:p w14:paraId="3E94422B" w14:textId="47F4B685" w:rsidR="00742CBC" w:rsidRPr="001633D6" w:rsidRDefault="00742CBC" w:rsidP="00742CBC">
      <w:r w:rsidRPr="001633D6">
        <w:t>Jak wspomniano we wcześniejszej części opracowania, wykorzystanie metod kontrfaktycznych do analizy efektu netto wynika wprost z wniosków i rekomendacji z badania pilotażowego. W</w:t>
      </w:r>
      <w:r w:rsidR="000F10A4" w:rsidRPr="001633D6">
        <w:t> </w:t>
      </w:r>
      <w:r w:rsidRPr="001633D6">
        <w:t xml:space="preserve">niniejszym badaniu zaplanowano wypracowanie założeń dla analiz efektu netto metodą </w:t>
      </w:r>
      <w:proofErr w:type="spellStart"/>
      <w:r w:rsidRPr="001633D6">
        <w:rPr>
          <w:i/>
          <w:iCs/>
        </w:rPr>
        <w:t>Propensity</w:t>
      </w:r>
      <w:proofErr w:type="spellEnd"/>
      <w:r w:rsidRPr="001633D6">
        <w:rPr>
          <w:i/>
          <w:iCs/>
        </w:rPr>
        <w:t xml:space="preserve"> </w:t>
      </w:r>
      <w:proofErr w:type="spellStart"/>
      <w:r w:rsidRPr="001633D6">
        <w:rPr>
          <w:i/>
          <w:iCs/>
        </w:rPr>
        <w:t>Score</w:t>
      </w:r>
      <w:proofErr w:type="spellEnd"/>
      <w:r w:rsidRPr="001633D6">
        <w:rPr>
          <w:i/>
          <w:iCs/>
        </w:rPr>
        <w:t xml:space="preserve"> </w:t>
      </w:r>
      <w:proofErr w:type="spellStart"/>
      <w:r w:rsidRPr="001633D6">
        <w:rPr>
          <w:i/>
          <w:iCs/>
        </w:rPr>
        <w:t>Matching</w:t>
      </w:r>
      <w:proofErr w:type="spellEnd"/>
      <w:r w:rsidRPr="001633D6">
        <w:t xml:space="preserve"> (PSM) oraz weryfikacja założeń dla metody </w:t>
      </w:r>
      <w:proofErr w:type="spellStart"/>
      <w:r w:rsidRPr="001633D6">
        <w:rPr>
          <w:i/>
          <w:iCs/>
        </w:rPr>
        <w:t>Stratified</w:t>
      </w:r>
      <w:proofErr w:type="spellEnd"/>
      <w:r w:rsidRPr="001633D6">
        <w:rPr>
          <w:i/>
          <w:iCs/>
        </w:rPr>
        <w:t xml:space="preserve"> </w:t>
      </w:r>
      <w:proofErr w:type="spellStart"/>
      <w:r w:rsidRPr="001633D6">
        <w:rPr>
          <w:i/>
          <w:iCs/>
        </w:rPr>
        <w:t>Propensity</w:t>
      </w:r>
      <w:proofErr w:type="spellEnd"/>
      <w:r w:rsidRPr="001633D6">
        <w:rPr>
          <w:i/>
          <w:iCs/>
        </w:rPr>
        <w:t xml:space="preserve"> </w:t>
      </w:r>
      <w:proofErr w:type="spellStart"/>
      <w:r w:rsidRPr="001633D6">
        <w:rPr>
          <w:i/>
          <w:iCs/>
        </w:rPr>
        <w:t>Score</w:t>
      </w:r>
      <w:proofErr w:type="spellEnd"/>
      <w:r w:rsidRPr="001633D6">
        <w:rPr>
          <w:i/>
          <w:iCs/>
        </w:rPr>
        <w:t xml:space="preserve"> </w:t>
      </w:r>
      <w:proofErr w:type="spellStart"/>
      <w:r w:rsidRPr="001633D6">
        <w:rPr>
          <w:i/>
          <w:iCs/>
        </w:rPr>
        <w:t>Matching</w:t>
      </w:r>
      <w:proofErr w:type="spellEnd"/>
      <w:r w:rsidRPr="001633D6">
        <w:t xml:space="preserve"> (SPSM) wypracowanych w badaniu pilotażowym. </w:t>
      </w:r>
    </w:p>
    <w:p w14:paraId="58BB4A08" w14:textId="77777777" w:rsidR="00742CBC" w:rsidRPr="001633D6" w:rsidRDefault="00742CBC" w:rsidP="00742CBC">
      <w:r w:rsidRPr="001633D6">
        <w:t>Koncepcja pomiaru efektu netto w niniejszym badaniu opiera się na:</w:t>
      </w:r>
    </w:p>
    <w:p w14:paraId="2413E9A7" w14:textId="4B912437" w:rsidR="00742CBC" w:rsidRPr="001633D6" w:rsidRDefault="00742CBC" w:rsidP="001B2A4E">
      <w:pPr>
        <w:pStyle w:val="Akapitzlist"/>
        <w:numPr>
          <w:ilvl w:val="0"/>
          <w:numId w:val="11"/>
        </w:numPr>
      </w:pPr>
      <w:r w:rsidRPr="001633D6">
        <w:t>pilotażu zastosowania metody PSM, która w założeniach koncepcyjnych może być dobrą metodą do analizy danych w zakresie płynności ruchu, jednak możliwość jej zastosowania jest zależna od faktycznego istnienia odcinków kontrfaktycznych (co zosta</w:t>
      </w:r>
      <w:r w:rsidR="00B320B7" w:rsidRPr="001633D6">
        <w:t>ło</w:t>
      </w:r>
      <w:r w:rsidRPr="001633D6">
        <w:t xml:space="preserve"> zweryfikowane) oraz zebrania danych sprzed interwencji (co zosta</w:t>
      </w:r>
      <w:r w:rsidR="00B320B7" w:rsidRPr="001633D6">
        <w:t>ło</w:t>
      </w:r>
      <w:r w:rsidRPr="001633D6">
        <w:t xml:space="preserve"> wykonane);</w:t>
      </w:r>
    </w:p>
    <w:p w14:paraId="2AF76FDB" w14:textId="77777777" w:rsidR="00742CBC" w:rsidRPr="001633D6" w:rsidRDefault="00742CBC" w:rsidP="001B2A4E">
      <w:pPr>
        <w:pStyle w:val="Akapitzlist"/>
        <w:numPr>
          <w:ilvl w:val="0"/>
          <w:numId w:val="11"/>
        </w:numPr>
      </w:pPr>
      <w:r w:rsidRPr="001633D6">
        <w:t>rozszerzeniu zastosowania metody SPSM:</w:t>
      </w:r>
    </w:p>
    <w:p w14:paraId="718AE345" w14:textId="77777777" w:rsidR="00742CBC" w:rsidRPr="001633D6" w:rsidRDefault="00742CBC" w:rsidP="001B2A4E">
      <w:pPr>
        <w:pStyle w:val="Akapitzlist"/>
        <w:numPr>
          <w:ilvl w:val="1"/>
          <w:numId w:val="11"/>
        </w:numPr>
      </w:pPr>
      <w:r w:rsidRPr="001633D6">
        <w:t>optymalizację próby miast kontrfaktycznych, poprzez pozyskanie danych dla lepiej dopasowanych oraz brakujących miast poddanych interwencji;</w:t>
      </w:r>
    </w:p>
    <w:p w14:paraId="783DCF8A" w14:textId="77777777" w:rsidR="00742CBC" w:rsidRPr="001633D6" w:rsidRDefault="00742CBC" w:rsidP="001B2A4E">
      <w:pPr>
        <w:pStyle w:val="Akapitzlist"/>
        <w:numPr>
          <w:ilvl w:val="1"/>
          <w:numId w:val="11"/>
        </w:numPr>
      </w:pPr>
      <w:r w:rsidRPr="001633D6">
        <w:t>uzupełnienie wyjściowej listy zmiennych objaśnianych i utrwalenie ich dla stanu wyjściowego w związku z nowymi celami badawczymi, w tym dotyczącymi płynności ruchu.</w:t>
      </w:r>
    </w:p>
    <w:p w14:paraId="764FDC89" w14:textId="1472D254" w:rsidR="00742CBC" w:rsidRPr="001633D6" w:rsidRDefault="00742CBC" w:rsidP="00742CBC">
      <w:r w:rsidRPr="001633D6">
        <w:t xml:space="preserve">Porównanie obu metod kontrfaktycznych przedstawia </w:t>
      </w:r>
      <w:r w:rsidRPr="001633D6">
        <w:fldChar w:fldCharType="begin"/>
      </w:r>
      <w:r w:rsidRPr="001633D6">
        <w:instrText xml:space="preserve"> REF _Ref24453031 \h </w:instrText>
      </w:r>
      <w:r w:rsidRPr="001633D6">
        <w:fldChar w:fldCharType="separate"/>
      </w:r>
      <w:r w:rsidR="00C93FD7" w:rsidRPr="001633D6">
        <w:t xml:space="preserve">Rysunek </w:t>
      </w:r>
      <w:r w:rsidR="00C93FD7">
        <w:rPr>
          <w:noProof/>
        </w:rPr>
        <w:t>1</w:t>
      </w:r>
      <w:r w:rsidRPr="001633D6">
        <w:fldChar w:fldCharType="end"/>
      </w:r>
      <w:r w:rsidRPr="001633D6">
        <w:t>.</w:t>
      </w:r>
    </w:p>
    <w:p w14:paraId="70CC7A43" w14:textId="4BBD2EBC" w:rsidR="00742CBC" w:rsidRPr="001633D6" w:rsidRDefault="00742CBC" w:rsidP="00742CBC">
      <w:pPr>
        <w:pStyle w:val="Legenda"/>
        <w:rPr>
          <w:color w:val="auto"/>
        </w:rPr>
      </w:pPr>
      <w:bookmarkStart w:id="68" w:name="_Ref24453031"/>
      <w:bookmarkStart w:id="69" w:name="_Toc27125379"/>
      <w:r w:rsidRPr="001633D6">
        <w:rPr>
          <w:color w:val="auto"/>
        </w:rPr>
        <w:lastRenderedPageBreak/>
        <w:t xml:space="preserve">Rysunek </w:t>
      </w:r>
      <w:r w:rsidR="008C2AB5">
        <w:rPr>
          <w:color w:val="auto"/>
        </w:rPr>
        <w:fldChar w:fldCharType="begin"/>
      </w:r>
      <w:r w:rsidR="008C2AB5">
        <w:rPr>
          <w:color w:val="auto"/>
        </w:rPr>
        <w:instrText xml:space="preserve"> SEQ Rysunek \* ARABIC </w:instrText>
      </w:r>
      <w:r w:rsidR="008C2AB5">
        <w:rPr>
          <w:color w:val="auto"/>
        </w:rPr>
        <w:fldChar w:fldCharType="separate"/>
      </w:r>
      <w:r w:rsidR="00C93FD7">
        <w:rPr>
          <w:noProof/>
          <w:color w:val="auto"/>
        </w:rPr>
        <w:t>1</w:t>
      </w:r>
      <w:r w:rsidR="008C2AB5">
        <w:rPr>
          <w:color w:val="auto"/>
        </w:rPr>
        <w:fldChar w:fldCharType="end"/>
      </w:r>
      <w:bookmarkEnd w:id="68"/>
      <w:r w:rsidRPr="001633D6">
        <w:rPr>
          <w:color w:val="auto"/>
        </w:rPr>
        <w:t>. Porównanie metod kontrfaktycznych PSM i SPSM</w:t>
      </w:r>
      <w:bookmarkEnd w:id="69"/>
    </w:p>
    <w:p w14:paraId="6F7B5E56" w14:textId="77777777" w:rsidR="00742CBC" w:rsidRPr="000F10A4" w:rsidRDefault="00742CBC" w:rsidP="00742CBC">
      <w:pPr>
        <w:rPr>
          <w:color w:val="00B050"/>
          <w:lang w:val="en-GB"/>
        </w:rPr>
      </w:pPr>
      <w:r w:rsidRPr="000F10A4">
        <w:rPr>
          <w:noProof/>
          <w:color w:val="00B050"/>
          <w:lang w:eastAsia="pl-PL"/>
        </w:rPr>
        <w:drawing>
          <wp:inline distT="0" distB="0" distL="0" distR="0" wp14:anchorId="6BE47104" wp14:editId="48DA8D61">
            <wp:extent cx="5760720" cy="4333875"/>
            <wp:effectExtent l="0" t="0" r="0" b="9525"/>
            <wp:docPr id="2" name="Diagram 2" descr="Diagram z porównaniem metod kontrfaktycznych PSM i SPSM. Metoda PSM porównuje jednostki z interwencją i bez interwencji, jest stosowana dla skrzyżowań, odcinków dróg, ale głównie dla osób. Pozwala na wybór jednostek  dużej populacji, aby potem badać lub porównywać populacje - można to wykorzystać do badania odcinków sieci komunikacji miejskiej poddanych interwencji POIiŚ 2014-2020.&#10;Metoda SPSM pozwala na porównanie jednostek objętych interwencją w różnym zakresie, w kilku klasach (grupach), jest stosowana dla rozwoju społeczno-gospodarczego powiatów. Wymaga opisania każdej jednostki i dużej populacji. Wykorzystano ja do porównania miast, w których przeprowadza się inwestycje POIis 2014-2020 w transport miejski.">
              <a:extLst xmlns:a="http://schemas.openxmlformats.org/drawingml/2006/main">
                <a:ext uri="{FF2B5EF4-FFF2-40B4-BE49-F238E27FC236}">
                  <a16:creationId xmlns:a16="http://schemas.microsoft.com/office/drawing/2014/main" id="{899B66BF-E280-49A3-974A-EEB931351EE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ADF0F23" w14:textId="77777777" w:rsidR="00742CBC" w:rsidRPr="001633D6" w:rsidRDefault="00742CBC" w:rsidP="00742CBC">
      <w:pPr>
        <w:pStyle w:val="rdo"/>
        <w:rPr>
          <w:color w:val="auto"/>
        </w:rPr>
      </w:pPr>
      <w:r w:rsidRPr="001633D6">
        <w:rPr>
          <w:color w:val="auto"/>
        </w:rPr>
        <w:t>Źródło: opracowanie własne.</w:t>
      </w:r>
    </w:p>
    <w:p w14:paraId="0A54A256" w14:textId="77777777" w:rsidR="00742CBC" w:rsidRPr="001633D6" w:rsidRDefault="00742CBC" w:rsidP="00742CBC">
      <w:r w:rsidRPr="001633D6">
        <w:t>Szczegółowe założenia obu metod kontrfaktycznych wykorzystanych w niniejszym badaniu przedstawiają załączniki do raportu, odpowiednio Załącznik 9 dla metody PSM i Załącznik 10 dla metody SPSM.</w:t>
      </w:r>
    </w:p>
    <w:p w14:paraId="5F58E60C" w14:textId="77777777" w:rsidR="00C44352" w:rsidRDefault="00C44352" w:rsidP="00F06D0A">
      <w:pPr>
        <w:pStyle w:val="Nagwek1"/>
      </w:pPr>
      <w:bookmarkStart w:id="70" w:name="_Toc27125335"/>
      <w:r>
        <w:lastRenderedPageBreak/>
        <w:t>Wyniki badania</w:t>
      </w:r>
      <w:bookmarkEnd w:id="70"/>
    </w:p>
    <w:p w14:paraId="59A36E9C" w14:textId="3FFF4FE1" w:rsidR="00971C92" w:rsidRDefault="00971C92" w:rsidP="00F06D0A">
      <w:pPr>
        <w:pStyle w:val="Nagwek2"/>
      </w:pPr>
      <w:bookmarkStart w:id="71" w:name="_Toc27125336"/>
      <w:r>
        <w:t xml:space="preserve">Wyniki badania </w:t>
      </w:r>
      <w:r w:rsidR="00FF08AB">
        <w:t xml:space="preserve">pilotażowego </w:t>
      </w:r>
      <w:r>
        <w:t>z 2018 r.</w:t>
      </w:r>
      <w:bookmarkEnd w:id="71"/>
    </w:p>
    <w:p w14:paraId="40A83541" w14:textId="38A583D2" w:rsidR="007951D9" w:rsidRDefault="00D373C4" w:rsidP="007951D9">
      <w:r>
        <w:t xml:space="preserve">W badaniu pilotażowym utworzono </w:t>
      </w:r>
      <w:r w:rsidRPr="007E117B">
        <w:rPr>
          <w:b/>
        </w:rPr>
        <w:t>bazę danych o transporcie</w:t>
      </w:r>
      <w:r>
        <w:t xml:space="preserve"> w miastach, którą zaktualizowano</w:t>
      </w:r>
      <w:r w:rsidR="007E117B">
        <w:t xml:space="preserve"> i uzupełniono</w:t>
      </w:r>
      <w:r>
        <w:t xml:space="preserve"> w niniejszym badaniu. </w:t>
      </w:r>
      <w:r w:rsidR="007E117B">
        <w:t xml:space="preserve">Baza obejmowała 50 polskich miast: </w:t>
      </w:r>
      <w:r w:rsidR="007E117B" w:rsidRPr="007E117B">
        <w:t>miasta wojewódzki</w:t>
      </w:r>
      <w:r w:rsidR="007E117B">
        <w:t>e</w:t>
      </w:r>
      <w:r w:rsidR="007E117B" w:rsidRPr="007E117B">
        <w:t xml:space="preserve"> i ich obszar</w:t>
      </w:r>
      <w:r w:rsidR="007E117B">
        <w:t>y</w:t>
      </w:r>
      <w:r w:rsidR="007E117B" w:rsidRPr="007E117B">
        <w:t xml:space="preserve"> funkcjonaln</w:t>
      </w:r>
      <w:r w:rsidR="007E117B">
        <w:t>e</w:t>
      </w:r>
      <w:r w:rsidR="007E117B" w:rsidRPr="007E117B">
        <w:t xml:space="preserve">, miasta </w:t>
      </w:r>
      <w:r w:rsidR="00D477F2">
        <w:t>regionalne</w:t>
      </w:r>
      <w:r w:rsidR="007E117B" w:rsidRPr="007E117B">
        <w:t xml:space="preserve"> </w:t>
      </w:r>
      <w:r w:rsidR="007E117B">
        <w:t xml:space="preserve">z </w:t>
      </w:r>
      <w:r w:rsidR="007E117B" w:rsidRPr="007E117B">
        <w:t>ich obszara</w:t>
      </w:r>
      <w:r w:rsidR="007E117B">
        <w:t>mi</w:t>
      </w:r>
      <w:r w:rsidR="007E117B" w:rsidRPr="007E117B">
        <w:t xml:space="preserve"> funkcjonalny</w:t>
      </w:r>
      <w:r w:rsidR="007E117B">
        <w:t>mi</w:t>
      </w:r>
      <w:r w:rsidR="007E117B" w:rsidRPr="007E117B">
        <w:t xml:space="preserve"> oraz dodatkowo inn</w:t>
      </w:r>
      <w:r w:rsidR="007E117B">
        <w:t>e</w:t>
      </w:r>
      <w:r w:rsidR="007E117B" w:rsidRPr="007E117B">
        <w:t xml:space="preserve"> wybran</w:t>
      </w:r>
      <w:r w:rsidR="007E117B">
        <w:t xml:space="preserve">e </w:t>
      </w:r>
      <w:r w:rsidR="007E117B" w:rsidRPr="007E117B">
        <w:t>miasta</w:t>
      </w:r>
      <w:r w:rsidR="007E117B">
        <w:t xml:space="preserve">. Baza w dużej mierze opierała się na ankietach skierowanych do urzędów miast, jednak żaden z formularzy zwrotnych nie zawierał kompletu informacji. Na tej podstawie podjęto próbę uzupełnienia bazy </w:t>
      </w:r>
      <w:r w:rsidR="005B4BFF">
        <w:t xml:space="preserve">w niniejszym badaniu </w:t>
      </w:r>
      <w:r w:rsidR="007E117B">
        <w:t>o jak największą liczbę danych</w:t>
      </w:r>
      <w:r w:rsidR="00297D1B">
        <w:t>, z założeniem że nie będą one pełne, ale nie powinny pomijać najważniejszych ośrodków i najważniejszych parametrów</w:t>
      </w:r>
      <w:r w:rsidR="007E117B">
        <w:t>.</w:t>
      </w:r>
    </w:p>
    <w:p w14:paraId="4DCC207F" w14:textId="453634A8" w:rsidR="007E117B" w:rsidRDefault="007E117B" w:rsidP="007951D9">
      <w:r w:rsidRPr="007E117B">
        <w:rPr>
          <w:b/>
        </w:rPr>
        <w:t>Wywiady IDI</w:t>
      </w:r>
      <w:r>
        <w:t xml:space="preserve"> z beneficjentami projektów wykorzystano do określenia oczekiwanych </w:t>
      </w:r>
      <w:r w:rsidR="00754CFB">
        <w:t xml:space="preserve">przez organizatorów transportu w miastach </w:t>
      </w:r>
      <w:r>
        <w:t xml:space="preserve">zmian w kontekście </w:t>
      </w:r>
      <w:r w:rsidR="00754CFB">
        <w:t xml:space="preserve">przedstawionych </w:t>
      </w:r>
      <w:r>
        <w:t>pytań badawczych badania pilotażowego. Wśród najważniejszych stwierdzeń znalazł</w:t>
      </w:r>
      <w:r w:rsidR="00754CFB">
        <w:t>o</w:t>
      </w:r>
      <w:r>
        <w:t xml:space="preserve"> się</w:t>
      </w:r>
      <w:r w:rsidR="00754CFB">
        <w:t xml:space="preserve"> </w:t>
      </w:r>
      <w:r w:rsidRPr="007E117B">
        <w:t>skrócenie czasów przejazdów i wiążąca się z tym najczęściej poprawa oferty transportu publicznego</w:t>
      </w:r>
      <w:r w:rsidR="00754CFB">
        <w:t>. W</w:t>
      </w:r>
      <w:r w:rsidRPr="007E117B">
        <w:t xml:space="preserve">raz ze zwiększeniem przepustowości (likwidacją „wąskich gardeł” dla transportu publicznego), </w:t>
      </w:r>
      <w:r w:rsidR="00754CFB">
        <w:t xml:space="preserve">był to </w:t>
      </w:r>
      <w:r w:rsidRPr="007E117B">
        <w:t>jeden z podstawowych motywatorów w procesie wyboru i selekcji projektów przez miasta</w:t>
      </w:r>
      <w:r w:rsidR="00754CFB">
        <w:t>.</w:t>
      </w:r>
    </w:p>
    <w:p w14:paraId="422B0072" w14:textId="0292FB1F" w:rsidR="007E117B" w:rsidRDefault="00106552" w:rsidP="007E117B">
      <w:pPr>
        <w:rPr>
          <w:rFonts w:ascii="Lora" w:hAnsi="Lora"/>
        </w:rPr>
      </w:pPr>
      <w:r>
        <w:rPr>
          <w:rFonts w:ascii="Lora" w:hAnsi="Lora"/>
        </w:rPr>
        <w:t>Stwierdzono, że n</w:t>
      </w:r>
      <w:r w:rsidR="007E117B">
        <w:rPr>
          <w:rFonts w:ascii="Lora" w:hAnsi="Lora"/>
        </w:rPr>
        <w:t>owy tabor, zarówno autobusowy, jak i tramwajowy, jest wyposaż</w:t>
      </w:r>
      <w:r>
        <w:rPr>
          <w:rFonts w:ascii="Lora" w:hAnsi="Lora"/>
        </w:rPr>
        <w:t>a</w:t>
      </w:r>
      <w:r w:rsidR="007E117B">
        <w:rPr>
          <w:rFonts w:ascii="Lora" w:hAnsi="Lora"/>
        </w:rPr>
        <w:t>ny we wszystkie współczesne systemy służące poprawie bezpieczeństwa takie jak monitoring wizyjny czy łączność kierowcy/motorniczego z centralą ruchu. Nie nastąpi</w:t>
      </w:r>
      <w:r>
        <w:rPr>
          <w:rFonts w:ascii="Lora" w:hAnsi="Lora"/>
        </w:rPr>
        <w:t xml:space="preserve"> więc</w:t>
      </w:r>
      <w:r w:rsidR="007E117B">
        <w:rPr>
          <w:rFonts w:ascii="Lora" w:hAnsi="Lora"/>
        </w:rPr>
        <w:t xml:space="preserve"> na tym polu przełom jakościowy, ponieważ – co wynika z przeprowadzonego badania jakościowego – ogólny poziom bezpieczeństwa w transporcie publicznym określany </w:t>
      </w:r>
      <w:r>
        <w:rPr>
          <w:rFonts w:ascii="Lora" w:hAnsi="Lora"/>
        </w:rPr>
        <w:t xml:space="preserve">był </w:t>
      </w:r>
      <w:r w:rsidR="007E117B">
        <w:rPr>
          <w:rFonts w:ascii="Lora" w:hAnsi="Lora"/>
        </w:rPr>
        <w:t xml:space="preserve">przez respondentów jako satysfakcjonujący. </w:t>
      </w:r>
    </w:p>
    <w:p w14:paraId="16FE76C1" w14:textId="0BEF87D0" w:rsidR="007E117B" w:rsidRDefault="007E117B" w:rsidP="007951D9">
      <w:pPr>
        <w:rPr>
          <w:rFonts w:ascii="Lora" w:hAnsi="Lora"/>
        </w:rPr>
      </w:pPr>
      <w:r w:rsidRPr="007731FC">
        <w:rPr>
          <w:rFonts w:ascii="Lora" w:hAnsi="Lora"/>
        </w:rPr>
        <w:t xml:space="preserve">W dużych miastach </w:t>
      </w:r>
      <w:r>
        <w:rPr>
          <w:rFonts w:ascii="Lora" w:hAnsi="Lora"/>
        </w:rPr>
        <w:t xml:space="preserve">niewątpliwie największe inwestycje nakierowane </w:t>
      </w:r>
      <w:r w:rsidR="00106552">
        <w:rPr>
          <w:rFonts w:ascii="Lora" w:hAnsi="Lora"/>
        </w:rPr>
        <w:t xml:space="preserve">są </w:t>
      </w:r>
      <w:r>
        <w:rPr>
          <w:rFonts w:ascii="Lora" w:hAnsi="Lora"/>
        </w:rPr>
        <w:t xml:space="preserve">na zwiększenie udziału transportu szynowego w podziale międzygałęziowym przewozów </w:t>
      </w:r>
      <w:r w:rsidR="00106552">
        <w:rPr>
          <w:rFonts w:ascii="Lora" w:hAnsi="Lora"/>
        </w:rPr>
        <w:t>(</w:t>
      </w:r>
      <w:proofErr w:type="spellStart"/>
      <w:r w:rsidRPr="00A66E4A">
        <w:rPr>
          <w:rFonts w:ascii="Lora" w:hAnsi="Lora"/>
          <w:i/>
        </w:rPr>
        <w:t>modal</w:t>
      </w:r>
      <w:proofErr w:type="spellEnd"/>
      <w:r w:rsidRPr="00A66E4A">
        <w:rPr>
          <w:rFonts w:ascii="Lora" w:hAnsi="Lora"/>
          <w:i/>
        </w:rPr>
        <w:t xml:space="preserve"> </w:t>
      </w:r>
      <w:proofErr w:type="spellStart"/>
      <w:r w:rsidRPr="00A66E4A">
        <w:rPr>
          <w:rFonts w:ascii="Lora" w:hAnsi="Lora"/>
          <w:i/>
        </w:rPr>
        <w:t>split</w:t>
      </w:r>
      <w:proofErr w:type="spellEnd"/>
      <w:r>
        <w:rPr>
          <w:rFonts w:ascii="Lora" w:hAnsi="Lora"/>
        </w:rPr>
        <w:t>). Tramwaje i metro mają stanowić główny środek komunikacji w podróżach wewnątrzmiejskich, będąc najbardziej wydajnym i efektywnym rodzajem transportu przy jednoznacznie deklarowanej jako uzupełniająca roli komunikacji autobusowej.</w:t>
      </w:r>
    </w:p>
    <w:p w14:paraId="103264BD" w14:textId="3B4F57F4" w:rsidR="007E117B" w:rsidRDefault="007E117B" w:rsidP="007951D9">
      <w:pPr>
        <w:rPr>
          <w:rFonts w:ascii="Lora" w:hAnsi="Lora"/>
        </w:rPr>
      </w:pPr>
      <w:r w:rsidRPr="00E167B4">
        <w:rPr>
          <w:rFonts w:ascii="Lora" w:hAnsi="Lora"/>
        </w:rPr>
        <w:t xml:space="preserve">Inwestycjom </w:t>
      </w:r>
      <w:r>
        <w:rPr>
          <w:rFonts w:ascii="Lora" w:hAnsi="Lora"/>
        </w:rPr>
        <w:t xml:space="preserve">transportowym </w:t>
      </w:r>
      <w:r w:rsidRPr="00E167B4">
        <w:rPr>
          <w:rFonts w:ascii="Lora" w:hAnsi="Lora"/>
        </w:rPr>
        <w:t>towarzyszą zmiany</w:t>
      </w:r>
      <w:r>
        <w:rPr>
          <w:rFonts w:ascii="Lora" w:hAnsi="Lora"/>
        </w:rPr>
        <w:t xml:space="preserve"> w przestrzeni miejskiej. Najczęściej dotyczy to rozbudowy infrastruktury dla pieszych i rowerzystów, wdrażane są też systemy roweru miejskiego,</w:t>
      </w:r>
      <w:r w:rsidR="00106552">
        <w:rPr>
          <w:rFonts w:ascii="Lora" w:hAnsi="Lora"/>
        </w:rPr>
        <w:t xml:space="preserve"> </w:t>
      </w:r>
      <w:r>
        <w:rPr>
          <w:rFonts w:ascii="Lora" w:hAnsi="Lora"/>
        </w:rPr>
        <w:t>przy nowych liniach tramwajowych budowane są parkingi</w:t>
      </w:r>
      <w:r w:rsidR="00106552">
        <w:rPr>
          <w:rFonts w:ascii="Lora" w:hAnsi="Lora"/>
        </w:rPr>
        <w:t xml:space="preserve"> </w:t>
      </w:r>
      <w:r w:rsidRPr="00200679">
        <w:rPr>
          <w:rFonts w:ascii="Lora" w:hAnsi="Lora"/>
          <w:i/>
        </w:rPr>
        <w:t>Park</w:t>
      </w:r>
      <w:r w:rsidR="00552334">
        <w:rPr>
          <w:rFonts w:ascii="Lora" w:hAnsi="Lora"/>
          <w:i/>
        </w:rPr>
        <w:t xml:space="preserve"> </w:t>
      </w:r>
      <w:r w:rsidRPr="00200679">
        <w:rPr>
          <w:rFonts w:ascii="Lora" w:hAnsi="Lora"/>
          <w:i/>
        </w:rPr>
        <w:t>&amp;</w:t>
      </w:r>
      <w:r w:rsidR="00552334">
        <w:rPr>
          <w:rFonts w:ascii="Lora" w:hAnsi="Lora"/>
          <w:i/>
        </w:rPr>
        <w:t xml:space="preserve"> </w:t>
      </w:r>
      <w:proofErr w:type="spellStart"/>
      <w:r w:rsidRPr="00200679">
        <w:rPr>
          <w:rFonts w:ascii="Lora" w:hAnsi="Lora"/>
          <w:i/>
        </w:rPr>
        <w:t>Ride</w:t>
      </w:r>
      <w:proofErr w:type="spellEnd"/>
      <w:r>
        <w:rPr>
          <w:rFonts w:ascii="Lora" w:hAnsi="Lora"/>
        </w:rPr>
        <w:t xml:space="preserve"> i ścieżki rowerowe, zmniejszana jest zaś liczba miejsc parkingowych lub przynajmniej następuje ich porządkowanie.</w:t>
      </w:r>
    </w:p>
    <w:p w14:paraId="30FA6146" w14:textId="77777777" w:rsidR="007E117B" w:rsidRDefault="007E117B" w:rsidP="007E117B">
      <w:r>
        <w:t>Zdaniem respondentów badania jakościowego zwiększenie efektywności przewozów następuje poprzez:</w:t>
      </w:r>
    </w:p>
    <w:p w14:paraId="10727E05" w14:textId="77777777" w:rsidR="007E117B" w:rsidRDefault="007E117B" w:rsidP="001B2A4E">
      <w:pPr>
        <w:pStyle w:val="Akapitzlist"/>
        <w:numPr>
          <w:ilvl w:val="0"/>
          <w:numId w:val="47"/>
        </w:numPr>
      </w:pPr>
      <w:r>
        <w:t>likwidowanie „wąskich gardeł” na istniejących sieciach tramwajowych i drogowych;</w:t>
      </w:r>
    </w:p>
    <w:p w14:paraId="13593327" w14:textId="77777777" w:rsidR="007E117B" w:rsidRDefault="007E117B" w:rsidP="001B2A4E">
      <w:pPr>
        <w:pStyle w:val="Akapitzlist"/>
        <w:numPr>
          <w:ilvl w:val="0"/>
          <w:numId w:val="47"/>
        </w:numPr>
      </w:pPr>
      <w:r>
        <w:t>modernizację zdegradowanych odcinków sieci tramwajowych;</w:t>
      </w:r>
    </w:p>
    <w:p w14:paraId="600C0E85" w14:textId="747E85A0" w:rsidR="007E117B" w:rsidRDefault="007E117B" w:rsidP="001B2A4E">
      <w:pPr>
        <w:pStyle w:val="Akapitzlist"/>
        <w:numPr>
          <w:ilvl w:val="0"/>
          <w:numId w:val="47"/>
        </w:numPr>
      </w:pPr>
      <w:r>
        <w:t>optymalizację kształtu sieci tramwajowych (Bydgoszcz – zwiększenie oferty i skrócenie czasu bez konieczności zwiększania pracy przewozowej, Szczecin – inwestycja tramwajowa przy Arkońskiej umożliwiająca możliwość zawracania do zajezdni przez ul. Wojska Polskiego z</w:t>
      </w:r>
      <w:r w:rsidR="00D477F2">
        <w:t> </w:t>
      </w:r>
      <w:r>
        <w:t>pominięciem centrum);</w:t>
      </w:r>
    </w:p>
    <w:p w14:paraId="4995FCBA" w14:textId="77777777" w:rsidR="007E117B" w:rsidRDefault="007E117B" w:rsidP="001B2A4E">
      <w:pPr>
        <w:pStyle w:val="Akapitzlist"/>
        <w:numPr>
          <w:ilvl w:val="0"/>
          <w:numId w:val="47"/>
        </w:numPr>
      </w:pPr>
      <w:r>
        <w:t>dalszą rozbudowę inteligentnych systemów sterowania ruchem;</w:t>
      </w:r>
    </w:p>
    <w:p w14:paraId="1A0D4171" w14:textId="77777777" w:rsidR="007E117B" w:rsidRDefault="007E117B" w:rsidP="001B2A4E">
      <w:pPr>
        <w:pStyle w:val="Akapitzlist"/>
        <w:numPr>
          <w:ilvl w:val="0"/>
          <w:numId w:val="47"/>
        </w:numPr>
      </w:pPr>
      <w:r>
        <w:t>zakup oprogramowania umożliwiającego modelowanie rozkładów jazdy sprzężonych z danymi przewozowymi online i dynamiczną informacją pasażerską;</w:t>
      </w:r>
    </w:p>
    <w:p w14:paraId="099445AD" w14:textId="77777777" w:rsidR="007E117B" w:rsidRDefault="007E117B" w:rsidP="001B2A4E">
      <w:pPr>
        <w:pStyle w:val="Akapitzlist"/>
        <w:numPr>
          <w:ilvl w:val="0"/>
          <w:numId w:val="47"/>
        </w:numPr>
      </w:pPr>
      <w:r>
        <w:lastRenderedPageBreak/>
        <w:t>zakup taboru wyposażonego w automatyczne systemy liczące.</w:t>
      </w:r>
    </w:p>
    <w:p w14:paraId="677F152F" w14:textId="7E395F2C" w:rsidR="00402A6C" w:rsidRPr="00E211FB" w:rsidRDefault="007E117B" w:rsidP="00402A6C">
      <w:r>
        <w:t xml:space="preserve">Przeprowadzono badanie </w:t>
      </w:r>
      <w:r w:rsidRPr="00402A6C">
        <w:rPr>
          <w:b/>
        </w:rPr>
        <w:t xml:space="preserve">CAPI metodą </w:t>
      </w:r>
      <w:proofErr w:type="spellStart"/>
      <w:r w:rsidRPr="00402A6C">
        <w:rPr>
          <w:b/>
        </w:rPr>
        <w:t>random</w:t>
      </w:r>
      <w:proofErr w:type="spellEnd"/>
      <w:r w:rsidRPr="00402A6C">
        <w:rPr>
          <w:b/>
        </w:rPr>
        <w:t xml:space="preserve"> </w:t>
      </w:r>
      <w:proofErr w:type="spellStart"/>
      <w:r w:rsidRPr="00402A6C">
        <w:rPr>
          <w:b/>
        </w:rPr>
        <w:t>route</w:t>
      </w:r>
      <w:proofErr w:type="spellEnd"/>
      <w:r>
        <w:t xml:space="preserve"> wśród mieszkańców Szczecina i Zielonej Góry. W badaniu wyznaczono wskaźnik motoryzacji (244 pojazdy na 1000 </w:t>
      </w:r>
      <w:r w:rsidR="00402A6C">
        <w:t xml:space="preserve">mieszkańców </w:t>
      </w:r>
      <w:r>
        <w:t>w</w:t>
      </w:r>
      <w:r w:rsidR="00106552">
        <w:t> </w:t>
      </w:r>
      <w:r>
        <w:t>Szczecinie i 321</w:t>
      </w:r>
      <w:r w:rsidR="00402A6C">
        <w:t xml:space="preserve"> pojazdów w Zielonej Górze</w:t>
      </w:r>
      <w:r>
        <w:t>)</w:t>
      </w:r>
      <w:r w:rsidR="00402A6C">
        <w:t>.</w:t>
      </w:r>
      <w:r w:rsidR="00402A6C" w:rsidRPr="00402A6C">
        <w:t xml:space="preserve"> Udział gospodarstw domowych, w których nie </w:t>
      </w:r>
      <w:r w:rsidR="00106552">
        <w:t>było</w:t>
      </w:r>
      <w:r w:rsidR="00402A6C" w:rsidRPr="00402A6C">
        <w:t xml:space="preserve"> samochodów osobowych, wynosi</w:t>
      </w:r>
      <w:r w:rsidR="00106552">
        <w:t>ł</w:t>
      </w:r>
      <w:r w:rsidR="00402A6C" w:rsidRPr="00402A6C">
        <w:t xml:space="preserve"> odpowiednio 33,19% i 31,99%.</w:t>
      </w:r>
      <w:r w:rsidR="00402A6C">
        <w:t xml:space="preserve"> W Zielonej Górze aż 37,5% ankietowanych korzystało z samochodu codziennie, podczas gdy w Szczecinie </w:t>
      </w:r>
      <w:r w:rsidR="00106552">
        <w:t>było</w:t>
      </w:r>
      <w:r w:rsidR="00402A6C">
        <w:t xml:space="preserve"> to tylko 16,2% (por. </w:t>
      </w:r>
      <w:r w:rsidR="00402A6C">
        <w:fldChar w:fldCharType="begin"/>
      </w:r>
      <w:r w:rsidR="00402A6C">
        <w:instrText xml:space="preserve"> REF _Ref529543469 \h </w:instrText>
      </w:r>
      <w:r w:rsidR="00402A6C">
        <w:fldChar w:fldCharType="separate"/>
      </w:r>
      <w:r w:rsidR="00C93FD7">
        <w:t xml:space="preserve">Rysunek </w:t>
      </w:r>
      <w:r w:rsidR="00C93FD7">
        <w:rPr>
          <w:noProof/>
        </w:rPr>
        <w:t>2</w:t>
      </w:r>
      <w:r w:rsidR="00402A6C">
        <w:fldChar w:fldCharType="end"/>
      </w:r>
      <w:r w:rsidR="00402A6C">
        <w:t xml:space="preserve">) przy podobnym w obu ośrodkach udziale osób korzystających z samochodu od poniedziałku do piątku (blisko 29% w Zielonej Górze i około 30% w Szczecinie. </w:t>
      </w:r>
    </w:p>
    <w:p w14:paraId="115C8A1D" w14:textId="06E934E0" w:rsidR="00402A6C" w:rsidRDefault="00402A6C" w:rsidP="00402A6C">
      <w:pPr>
        <w:pStyle w:val="Legenda"/>
      </w:pPr>
      <w:bookmarkStart w:id="72" w:name="_Ref529543469"/>
      <w:bookmarkStart w:id="73" w:name="_Toc27125380"/>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2</w:t>
      </w:r>
      <w:r w:rsidR="003C20BE">
        <w:rPr>
          <w:noProof/>
        </w:rPr>
        <w:fldChar w:fldCharType="end"/>
      </w:r>
      <w:bookmarkEnd w:id="72"/>
      <w:r>
        <w:t>. Częstotliwość korzystania z samochodu w codziennych dojazdach</w:t>
      </w:r>
      <w:bookmarkEnd w:id="73"/>
    </w:p>
    <w:p w14:paraId="262B2C70" w14:textId="1E67264B" w:rsidR="00402A6C" w:rsidRDefault="00402A6C" w:rsidP="00402A6C">
      <w:r>
        <w:rPr>
          <w:noProof/>
          <w:lang w:eastAsia="pl-PL"/>
        </w:rPr>
        <w:drawing>
          <wp:inline distT="0" distB="0" distL="0" distR="0" wp14:anchorId="61549D7A" wp14:editId="56FEFDDF">
            <wp:extent cx="5760085" cy="2223770"/>
            <wp:effectExtent l="0" t="0" r="0" b="5080"/>
            <wp:docPr id="36" name="Wykres 36" descr="Wyniki badania CAPI wśród ankietowanych w Zielonej Górze i Szczecinie dotyczące częstotliwości korzystania z samochodu w codziennych dojazdach. 37,5% ankietowanych w Zielonej Górze korzystało z samochodu codziennie, 28,9% od poniedziałku do piątku, 13,9% 3-4 razy w tygodniu, 5,4% 1-2 razy w tygodniu bez weekendu, a pozostali podczas weekendów, kilka razy w miesiącu lub rzadziej. W przypadku Szczecina codziennie 16,2%, 30,3% od poniedziałku do piątku, 24,6% 3-4 razy w tygodniu, a 10,5% 1-2 razy w tygodniu bez weekendów.">
              <a:extLst xmlns:a="http://schemas.openxmlformats.org/drawingml/2006/main">
                <a:ext uri="{FF2B5EF4-FFF2-40B4-BE49-F238E27FC236}">
                  <a16:creationId xmlns:a16="http://schemas.microsoft.com/office/drawing/2014/main" id="{28AFF59C-A41C-4208-ACE4-DFECB95635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6308125" w14:textId="248A1988" w:rsidR="001C4FF8" w:rsidRPr="00310D6A" w:rsidRDefault="001C4FF8" w:rsidP="00D415F4">
      <w:pPr>
        <w:pStyle w:val="rdo"/>
      </w:pPr>
      <w:r w:rsidRPr="00391608">
        <w:t>Źródło: opracowanie własne</w:t>
      </w:r>
      <w:r>
        <w:t xml:space="preserve"> na podstawie CAPI </w:t>
      </w:r>
      <w:proofErr w:type="spellStart"/>
      <w:r>
        <w:t>random</w:t>
      </w:r>
      <w:proofErr w:type="spellEnd"/>
      <w:r>
        <w:t xml:space="preserve"> </w:t>
      </w:r>
      <w:proofErr w:type="spellStart"/>
      <w:r>
        <w:t>route</w:t>
      </w:r>
      <w:proofErr w:type="spellEnd"/>
      <w:r>
        <w:t>.</w:t>
      </w:r>
    </w:p>
    <w:p w14:paraId="037D3A3A" w14:textId="0D9C09CC" w:rsidR="002B5194" w:rsidRDefault="002B5194" w:rsidP="002B5194">
      <w:pPr>
        <w:rPr>
          <w:sz w:val="19"/>
        </w:rPr>
      </w:pPr>
      <w:r>
        <w:rPr>
          <w:sz w:val="19"/>
        </w:rPr>
        <w:t xml:space="preserve">W Szczecinie 38,3% podróży wykonywanych </w:t>
      </w:r>
      <w:r w:rsidR="00106552">
        <w:rPr>
          <w:sz w:val="19"/>
        </w:rPr>
        <w:t xml:space="preserve">było </w:t>
      </w:r>
      <w:r>
        <w:rPr>
          <w:sz w:val="19"/>
        </w:rPr>
        <w:t>transportem publicznym wobec 23,9% podróży wykonywanych samochodami. Natomiast w Zielonej Górze liczba podróży samochodami (44,9%) aż dwukrotnie przewyższa</w:t>
      </w:r>
      <w:r w:rsidR="00106552">
        <w:rPr>
          <w:sz w:val="19"/>
        </w:rPr>
        <w:t>ła</w:t>
      </w:r>
      <w:r>
        <w:rPr>
          <w:sz w:val="19"/>
        </w:rPr>
        <w:t xml:space="preserve"> liczbę podróży wykonywanych transportem publicznym (22,2%). Potwierdz</w:t>
      </w:r>
      <w:r w:rsidR="00106552">
        <w:rPr>
          <w:sz w:val="19"/>
        </w:rPr>
        <w:t>iło</w:t>
      </w:r>
      <w:r>
        <w:rPr>
          <w:sz w:val="19"/>
        </w:rPr>
        <w:t xml:space="preserve"> to obserwowane wcześniej w literaturze zróżnicowanie pozycji konkurencyjnej transportu publicznego w miastach powyżej i poniżej 200</w:t>
      </w:r>
      <w:r>
        <w:rPr>
          <w:rFonts w:ascii="Calibri" w:hAnsi="Calibri" w:cs="Calibri"/>
          <w:sz w:val="19"/>
        </w:rPr>
        <w:t> </w:t>
      </w:r>
      <w:r>
        <w:rPr>
          <w:sz w:val="19"/>
        </w:rPr>
        <w:t>000 mieszkańców, chociaż pozornie w</w:t>
      </w:r>
      <w:r>
        <w:rPr>
          <w:rFonts w:ascii="Calibri" w:hAnsi="Calibri" w:cs="Calibri"/>
          <w:sz w:val="19"/>
        </w:rPr>
        <w:t> </w:t>
      </w:r>
      <w:r>
        <w:rPr>
          <w:sz w:val="19"/>
        </w:rPr>
        <w:t>obu miastach domin</w:t>
      </w:r>
      <w:r w:rsidR="00106552">
        <w:rPr>
          <w:sz w:val="19"/>
        </w:rPr>
        <w:t>owały</w:t>
      </w:r>
      <w:r>
        <w:rPr>
          <w:sz w:val="19"/>
        </w:rPr>
        <w:t xml:space="preserve"> dobre oceny transportu publicznego.</w:t>
      </w:r>
    </w:p>
    <w:p w14:paraId="7634D798" w14:textId="1DD2220E" w:rsidR="002B5194" w:rsidRDefault="002B5194" w:rsidP="002B5194">
      <w:r>
        <w:rPr>
          <w:sz w:val="19"/>
        </w:rPr>
        <w:t>Mimo to w obu miastach taki sam procent respondentów (2/3) narzeka</w:t>
      </w:r>
      <w:r w:rsidR="00106552">
        <w:rPr>
          <w:sz w:val="19"/>
        </w:rPr>
        <w:t>ł</w:t>
      </w:r>
      <w:r>
        <w:rPr>
          <w:sz w:val="19"/>
        </w:rPr>
        <w:t xml:space="preserve"> na zatory drogowe, pan</w:t>
      </w:r>
      <w:r w:rsidR="00106552">
        <w:rPr>
          <w:sz w:val="19"/>
        </w:rPr>
        <w:t>owało</w:t>
      </w:r>
      <w:r>
        <w:rPr>
          <w:sz w:val="19"/>
        </w:rPr>
        <w:t xml:space="preserve"> przy tym społeczne przekonanie, że w ich eliminacji pomoże rozbudowa dróg. Mieszkańcy obu miast znacznie większy nacisk kład</w:t>
      </w:r>
      <w:r w:rsidR="00106552">
        <w:rPr>
          <w:sz w:val="19"/>
        </w:rPr>
        <w:t>li</w:t>
      </w:r>
      <w:r>
        <w:rPr>
          <w:sz w:val="19"/>
        </w:rPr>
        <w:t xml:space="preserve"> na uprzywilejowanie komunikacji miejskiej niż na wymianę taboru. Niewielka </w:t>
      </w:r>
      <w:r w:rsidR="00106552">
        <w:rPr>
          <w:sz w:val="19"/>
        </w:rPr>
        <w:t>była</w:t>
      </w:r>
      <w:r>
        <w:rPr>
          <w:sz w:val="19"/>
        </w:rPr>
        <w:t xml:space="preserve"> natomiast akceptacja społeczna dla takich działań jak podwyższanie opłat parkingowych. Zielonogórzanie zwr</w:t>
      </w:r>
      <w:r w:rsidR="00106552">
        <w:rPr>
          <w:sz w:val="19"/>
        </w:rPr>
        <w:t>ócili</w:t>
      </w:r>
      <w:r>
        <w:rPr>
          <w:sz w:val="19"/>
        </w:rPr>
        <w:t xml:space="preserve"> przy tym uwagę na konieczność modernizacji infrastruktury pieszej.</w:t>
      </w:r>
    </w:p>
    <w:p w14:paraId="5A772013" w14:textId="5E3188D7" w:rsidR="002B5194" w:rsidRDefault="002B5194" w:rsidP="002B5194">
      <w:r w:rsidRPr="002B5194">
        <w:rPr>
          <w:b/>
        </w:rPr>
        <w:t>Pomiary czasów i kosztów przejazdów</w:t>
      </w:r>
      <w:r>
        <w:t xml:space="preserve"> </w:t>
      </w:r>
      <w:r w:rsidR="00106552">
        <w:t xml:space="preserve">wskazały na fakt, </w:t>
      </w:r>
      <w:r>
        <w:t>że codzienna podróż samochodem (z</w:t>
      </w:r>
      <w:r w:rsidR="00106552">
        <w:t> </w:t>
      </w:r>
      <w:r>
        <w:t xml:space="preserve">indywidualnego punktu widzenia) </w:t>
      </w:r>
      <w:r w:rsidR="00106552">
        <w:t>była</w:t>
      </w:r>
      <w:r>
        <w:t xml:space="preserve"> dla mieszkańców miast i ich obszarów funkcjonalnych znacznie korzystniejsza niż wybór transportu publicznego zarówno ze względu na koszt, jak i na czas przejazdu. Rozkład różnic kosztów pojedynczego przejazdu </w:t>
      </w:r>
      <w:r w:rsidR="00106552">
        <w:t>obrazuje</w:t>
      </w:r>
      <w:r>
        <w:t xml:space="preserve"> </w:t>
      </w:r>
      <w:r>
        <w:fldChar w:fldCharType="begin"/>
      </w:r>
      <w:r>
        <w:instrText xml:space="preserve"> REF _Ref529868925 \h </w:instrText>
      </w:r>
      <w:r>
        <w:fldChar w:fldCharType="separate"/>
      </w:r>
      <w:r w:rsidR="00C93FD7">
        <w:t xml:space="preserve">Rysunek </w:t>
      </w:r>
      <w:r w:rsidR="00C93FD7">
        <w:rPr>
          <w:noProof/>
        </w:rPr>
        <w:t>3</w:t>
      </w:r>
      <w:r>
        <w:fldChar w:fldCharType="end"/>
      </w:r>
      <w:r>
        <w:t>.</w:t>
      </w:r>
      <w:r w:rsidR="00106552">
        <w:t xml:space="preserve"> </w:t>
      </w:r>
      <w:r>
        <w:t xml:space="preserve">Ponad 85% kosztów przejazdów transportem publicznym </w:t>
      </w:r>
      <w:r w:rsidR="00106552">
        <w:t>t</w:t>
      </w:r>
      <w:r>
        <w:t>o koszty czasu, zaś zaledwie kilkanaście procent to koszt biletów.</w:t>
      </w:r>
    </w:p>
    <w:p w14:paraId="271670CA" w14:textId="4923F064" w:rsidR="002B5194" w:rsidRDefault="002B5194" w:rsidP="002B5194">
      <w:r>
        <w:t xml:space="preserve">Zaskakująco, aż w 41 z 51 badanych relacji miejskich podróż samochodem </w:t>
      </w:r>
      <w:r w:rsidR="004A7541">
        <w:t xml:space="preserve">była </w:t>
      </w:r>
      <w:r>
        <w:t>rozwiązaniem tańszym, jeśli uwzględni</w:t>
      </w:r>
      <w:r w:rsidR="004A7541">
        <w:t>ono</w:t>
      </w:r>
      <w:r>
        <w:t xml:space="preserve"> koszt czasu i biletów lub eksploatacji samochodu. Wynika</w:t>
      </w:r>
      <w:r w:rsidR="004A7541">
        <w:t>ło</w:t>
      </w:r>
      <w:r>
        <w:t xml:space="preserve"> to w dużej mierze z dobrych warunków ruchu samochodów i powolności transportu publicznego.</w:t>
      </w:r>
    </w:p>
    <w:p w14:paraId="22F1C0D6" w14:textId="01760D2B" w:rsidR="002B5194" w:rsidRDefault="002B5194" w:rsidP="002B5194">
      <w:r>
        <w:lastRenderedPageBreak/>
        <w:t>Lepiej sytuacja wygląda</w:t>
      </w:r>
      <w:r w:rsidR="004A7541">
        <w:t>ła</w:t>
      </w:r>
      <w:r>
        <w:t xml:space="preserve"> w relacjach aglomeracyjnych, na których dostępny </w:t>
      </w:r>
      <w:r w:rsidR="004A7541">
        <w:t xml:space="preserve">był </w:t>
      </w:r>
      <w:r>
        <w:t>transport kolejowy – w 21 na 39 pomiarów wygrywa</w:t>
      </w:r>
      <w:r w:rsidR="004A7541">
        <w:t>ł</w:t>
      </w:r>
      <w:r>
        <w:t xml:space="preserve"> transport publiczny. </w:t>
      </w:r>
    </w:p>
    <w:p w14:paraId="0A629CF5" w14:textId="28A0DE57" w:rsidR="002B5194" w:rsidRDefault="004A7541" w:rsidP="002B5194">
      <w:r>
        <w:t xml:space="preserve">Zwrócono przy tym uwagę, że </w:t>
      </w:r>
      <w:r w:rsidR="002B5194">
        <w:t>badane były relacje z najludniejszych osiedli i miast satelickich, a nie ze źle skomunikowanych terenów zabudowy mało intensywnej. Wska</w:t>
      </w:r>
      <w:r>
        <w:t>zywało</w:t>
      </w:r>
      <w:r w:rsidR="002B5194">
        <w:t xml:space="preserve"> to m.in. na dużą rolę połączonych koleją miast satelickich w zrównoważonym rozwoju przestrzennym aglomeracji oraz na różnice między kontrolowaną i niekontrolowaną </w:t>
      </w:r>
      <w:proofErr w:type="spellStart"/>
      <w:r w:rsidR="002B5194">
        <w:t>suburbanizacją</w:t>
      </w:r>
      <w:proofErr w:type="spellEnd"/>
      <w:r w:rsidR="002B5194">
        <w:t>.</w:t>
      </w:r>
    </w:p>
    <w:p w14:paraId="29B91678" w14:textId="19043289" w:rsidR="002B5194" w:rsidRDefault="002B5194" w:rsidP="002B5194">
      <w:pPr>
        <w:pStyle w:val="Legenda"/>
      </w:pPr>
      <w:bookmarkStart w:id="74" w:name="_Ref529868925"/>
      <w:bookmarkStart w:id="75" w:name="_Toc27125381"/>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3</w:t>
      </w:r>
      <w:r w:rsidR="003C20BE">
        <w:rPr>
          <w:noProof/>
        </w:rPr>
        <w:fldChar w:fldCharType="end"/>
      </w:r>
      <w:bookmarkEnd w:id="74"/>
      <w:r>
        <w:t>. Rozkład różnic kosztów pomiędzy przejazdami transportem publicznym a</w:t>
      </w:r>
      <w:r>
        <w:rPr>
          <w:rFonts w:ascii="Calibri" w:hAnsi="Calibri"/>
        </w:rPr>
        <w:t> </w:t>
      </w:r>
      <w:r>
        <w:t>indywidualnym (kolorem żółtym oznaczono relacje aglomeracyjne)</w:t>
      </w:r>
      <w:bookmarkEnd w:id="75"/>
    </w:p>
    <w:p w14:paraId="3C9FBD2E" w14:textId="0AAB4B69" w:rsidR="002B5194" w:rsidRDefault="002B5194" w:rsidP="002B5194">
      <w:r>
        <w:rPr>
          <w:noProof/>
          <w:lang w:eastAsia="pl-PL"/>
        </w:rPr>
        <w:drawing>
          <wp:inline distT="0" distB="0" distL="0" distR="0" wp14:anchorId="57296168" wp14:editId="0F5E2F47">
            <wp:extent cx="5760085" cy="3469005"/>
            <wp:effectExtent l="0" t="0" r="0" b="0"/>
            <wp:docPr id="20" name="Wykres 20" descr="Wykres przedstawiający różnice miedzy kosztem przejazdu transportem publicznym a samochodem. Ponad połowa badanych odcinków wykazywała korzyść przejazdu samochodem ponad transport publiczny. Największe korzyści na odcinku z transportem publicznym były jednak znacznie większe niż największa korzyść na odcinku samochodowym.">
              <a:extLst xmlns:a="http://schemas.openxmlformats.org/drawingml/2006/main">
                <a:ext uri="{FF2B5EF4-FFF2-40B4-BE49-F238E27FC236}">
                  <a16:creationId xmlns:a16="http://schemas.microsoft.com/office/drawing/2014/main" id="{ABB461F8-81D1-4C5E-BB16-73E3FBD93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878ACE5" w14:textId="727CB2F4" w:rsidR="001633D6" w:rsidRDefault="001633D6" w:rsidP="002071E4">
      <w:pPr>
        <w:pStyle w:val="rdo"/>
      </w:pPr>
      <w:r>
        <w:t xml:space="preserve">Źródło: opracowanie własne na podstawie CAPI </w:t>
      </w:r>
      <w:proofErr w:type="spellStart"/>
      <w:r>
        <w:t>random</w:t>
      </w:r>
      <w:proofErr w:type="spellEnd"/>
      <w:r>
        <w:t xml:space="preserve"> </w:t>
      </w:r>
      <w:proofErr w:type="spellStart"/>
      <w:r>
        <w:t>route</w:t>
      </w:r>
      <w:proofErr w:type="spellEnd"/>
      <w:r w:rsidR="002071E4">
        <w:t>.</w:t>
      </w:r>
    </w:p>
    <w:p w14:paraId="20EE0D40" w14:textId="4C3D80D3" w:rsidR="00402A6C" w:rsidRDefault="00402A6C" w:rsidP="007951D9">
      <w:r>
        <w:t xml:space="preserve">Analiza kontrfaktyczna </w:t>
      </w:r>
      <w:r w:rsidRPr="00402A6C">
        <w:rPr>
          <w:b/>
        </w:rPr>
        <w:t>metodą SPSM</w:t>
      </w:r>
      <w:r>
        <w:t xml:space="preserve"> pozwoliła oszacować sumaryczny oraz średni efekt netto osiągnięty w 2017 r. dla każdej ze zmiennych objaśnianych i próby 21 miast.</w:t>
      </w:r>
      <w:r w:rsidRPr="00402A6C">
        <w:t xml:space="preserve"> </w:t>
      </w:r>
      <w:r>
        <w:t>Ł</w:t>
      </w:r>
      <w:r w:rsidRPr="00402A6C">
        <w:t>ączne nakłady unijne na transport miejski w analizowanych 21 miastach (bez Warszawy) wynosiły 6,8 mld zł, z czego w</w:t>
      </w:r>
      <w:r>
        <w:t> </w:t>
      </w:r>
      <w:r w:rsidRPr="00402A6C">
        <w:t>pojedynczych miastach od 1,75 mld zł (Poznań) do 0 zł (Elbląg). Średnio na miasto przypadało 326 mln zł. Oznacza</w:t>
      </w:r>
      <w:r>
        <w:t xml:space="preserve">ło </w:t>
      </w:r>
      <w:r w:rsidRPr="00402A6C">
        <w:t xml:space="preserve">to, że oddziaływanie analizowanej interwencji – jakkolwiek pozytywne – nie </w:t>
      </w:r>
      <w:r>
        <w:t>było</w:t>
      </w:r>
      <w:r w:rsidRPr="00402A6C">
        <w:t xml:space="preserve"> wielkie, co stanowi</w:t>
      </w:r>
      <w:r>
        <w:t>ło</w:t>
      </w:r>
      <w:r w:rsidRPr="00402A6C">
        <w:t xml:space="preserve"> czynnik utrudniający modelowanie i wyciąganie wniosków. </w:t>
      </w:r>
      <w:r>
        <w:t>D</w:t>
      </w:r>
      <w:r w:rsidRPr="00402A6C">
        <w:t>o zidentyfikowania wpływu interwencji i potencjalnego wpływu czynników zewnętrznych na zmiany badanych zjawisk posłużyła analiza regresji.</w:t>
      </w:r>
      <w:r w:rsidR="00D471AB">
        <w:t xml:space="preserve"> Wyniki analizy regresji zawiera </w:t>
      </w:r>
      <w:r w:rsidR="00D471AB">
        <w:fldChar w:fldCharType="begin"/>
      </w:r>
      <w:r w:rsidR="00D471AB">
        <w:instrText xml:space="preserve"> REF _Ref529864798 \h </w:instrText>
      </w:r>
      <w:r w:rsidR="00D471AB">
        <w:fldChar w:fldCharType="separate"/>
      </w:r>
      <w:r w:rsidR="00C93FD7">
        <w:t xml:space="preserve">Rysunek </w:t>
      </w:r>
      <w:r w:rsidR="00C93FD7">
        <w:rPr>
          <w:noProof/>
        </w:rPr>
        <w:t>4</w:t>
      </w:r>
      <w:r w:rsidR="00D471AB">
        <w:fldChar w:fldCharType="end"/>
      </w:r>
      <w:r w:rsidR="00D471AB">
        <w:t>.</w:t>
      </w:r>
    </w:p>
    <w:p w14:paraId="18DA5514" w14:textId="1D9BFB38" w:rsidR="00D471AB" w:rsidRDefault="00D471AB" w:rsidP="00D471AB">
      <w:r w:rsidRPr="00C61DCD">
        <w:rPr>
          <w:b/>
        </w:rPr>
        <w:t>W przypadku liczby pasażerów i przychodów ze sprzedaży biletów długookresowych inwestycje w transport miejski odpowiadały jedynie za około 20-30% zmienności tych zmiennych, zaś czynniki zewnętrzne w stosunku do interwencji – za prawie 70% ich zmienności</w:t>
      </w:r>
      <w:r>
        <w:rPr>
          <w:b/>
        </w:rPr>
        <w:t xml:space="preserve"> </w:t>
      </w:r>
      <w:r w:rsidRPr="00D471AB">
        <w:t>(por.</w:t>
      </w:r>
      <w:r>
        <w:rPr>
          <w:b/>
        </w:rPr>
        <w:t xml:space="preserve"> </w:t>
      </w:r>
      <w:r>
        <w:rPr>
          <w:b/>
        </w:rPr>
        <w:fldChar w:fldCharType="begin"/>
      </w:r>
      <w:r>
        <w:rPr>
          <w:b/>
        </w:rPr>
        <w:instrText xml:space="preserve"> REF _Ref529383379 \h </w:instrText>
      </w:r>
      <w:r>
        <w:rPr>
          <w:b/>
        </w:rPr>
      </w:r>
      <w:r>
        <w:rPr>
          <w:b/>
        </w:rPr>
        <w:fldChar w:fldCharType="separate"/>
      </w:r>
      <w:r w:rsidR="00C93FD7">
        <w:t xml:space="preserve">Tabela </w:t>
      </w:r>
      <w:r w:rsidR="00C93FD7">
        <w:rPr>
          <w:noProof/>
        </w:rPr>
        <w:t>10</w:t>
      </w:r>
      <w:r>
        <w:rPr>
          <w:b/>
        </w:rPr>
        <w:fldChar w:fldCharType="end"/>
      </w:r>
      <w:r w:rsidRPr="00D471AB">
        <w:t>).</w:t>
      </w:r>
      <w:r>
        <w:t xml:space="preserve"> Przykładem był przyrost liczby pasażerów, który był mocno zdeterminowany wielkością wydatków na infrastrukturę drogową.</w:t>
      </w:r>
      <w:r w:rsidRPr="00402A6C">
        <w:t xml:space="preserve"> </w:t>
      </w:r>
      <w:r>
        <w:t xml:space="preserve">Była to </w:t>
      </w:r>
      <w:proofErr w:type="spellStart"/>
      <w:r>
        <w:t>destymulanta</w:t>
      </w:r>
      <w:proofErr w:type="spellEnd"/>
      <w:r>
        <w:t xml:space="preserve"> – </w:t>
      </w:r>
      <w:r w:rsidRPr="00285648">
        <w:rPr>
          <w:b/>
        </w:rPr>
        <w:t>im więcej wydawano na drogi, tym mniejszy przyrost liczby przewiezionych pasażerów osiągano</w:t>
      </w:r>
      <w:r>
        <w:t xml:space="preserve">. Kolejnym istotnym czynnikiem zewnętrznym okazała się liczba pojazdów komunikacji miejskiej w ruchu – </w:t>
      </w:r>
      <w:r w:rsidRPr="00C61DCD">
        <w:rPr>
          <w:b/>
        </w:rPr>
        <w:t xml:space="preserve">wysoka dostępność </w:t>
      </w:r>
      <w:r w:rsidRPr="00C61DCD">
        <w:rPr>
          <w:b/>
        </w:rPr>
        <w:lastRenderedPageBreak/>
        <w:t>komunikacji miejskiej i przepustowość, szczególnie w godzinach szczytu, warunkuje przyciąganie stałych klientów, co przejawia się zarówno w liczbie przewiezionych pasażerów, jak i w przychodach ze sprzedaży biletów długookresowych.</w:t>
      </w:r>
    </w:p>
    <w:p w14:paraId="6B7AB888" w14:textId="2B8196B1" w:rsidR="002B5194" w:rsidRDefault="002B5194" w:rsidP="002B5194">
      <w:pPr>
        <w:pStyle w:val="Legenda"/>
      </w:pPr>
      <w:bookmarkStart w:id="76" w:name="_Ref529864798"/>
      <w:bookmarkStart w:id="77" w:name="_Toc27125382"/>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4</w:t>
      </w:r>
      <w:r w:rsidR="003C20BE">
        <w:rPr>
          <w:noProof/>
        </w:rPr>
        <w:fldChar w:fldCharType="end"/>
      </w:r>
      <w:bookmarkEnd w:id="76"/>
      <w:r>
        <w:t>. Zestawienie wyników analizy regresji dla obu segmentów miast</w:t>
      </w:r>
      <w:bookmarkEnd w:id="77"/>
    </w:p>
    <w:p w14:paraId="5E063111" w14:textId="0363222F" w:rsidR="002B5194" w:rsidRDefault="002B5194" w:rsidP="002B5194">
      <w:r>
        <w:rPr>
          <w:noProof/>
          <w:lang w:eastAsia="pl-PL"/>
        </w:rPr>
        <w:drawing>
          <wp:inline distT="0" distB="0" distL="0" distR="0" wp14:anchorId="2E95362A" wp14:editId="2B487369">
            <wp:extent cx="5760085" cy="2700000"/>
            <wp:effectExtent l="0" t="0" r="0" b="5715"/>
            <wp:docPr id="11" name="Wykres 11" descr="Zestawienie wyników analizy regresji dla obu segmentów miast. W przypadku liczby pasażerów i przychodów ze sprzedaży biletów długookresowych inwestycje w transport miejski odpowiadały jedynie za około 20-30% zmienności tych zmiennych, zaś czynniki zewnętrzne w stosunku do interwencji – za prawie 70% ich zmienności (por. Tabela 10). Przykładem był przyrost liczby pasażerów, który był mocno zdeterminowany wielkością wydatków na infrastrukturę drogową. Była to destymulanta – im więcej wydawano na drogi, tym mniejszy przyrost liczby przewiezionych pasażerów osiągano. Kolejnym istotnym czynnikiem zewnętrznym okazała się liczba pojazdów komunikacji miejskiej w ruchu – wysoka dostępność komunikacji miejskiej i przepustowość, szczególnie w godzinach szczytu, warunkuje przyciąganie stałych klientów, co przejawia się zarówno w liczbie przewiezionych pasażerów, jak i w przychodach ze sprzedaży biletów długookresowych.">
              <a:extLst xmlns:a="http://schemas.openxmlformats.org/drawingml/2006/main">
                <a:ext uri="{FF2B5EF4-FFF2-40B4-BE49-F238E27FC236}">
                  <a16:creationId xmlns:a16="http://schemas.microsoft.com/office/drawing/2014/main" id="{4CA90A00-0795-4E15-B5E9-AD4345AB83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230778" w14:textId="34EA3440" w:rsidR="001633D6" w:rsidRDefault="001633D6" w:rsidP="002071E4">
      <w:pPr>
        <w:pStyle w:val="rdo"/>
      </w:pPr>
      <w:r>
        <w:t>Źródło: opracowanie własne na podstawie analiz SPSM</w:t>
      </w:r>
      <w:r w:rsidR="002071E4">
        <w:t>.</w:t>
      </w:r>
    </w:p>
    <w:p w14:paraId="33BFA987" w14:textId="30162EBC" w:rsidR="00402A6C" w:rsidRDefault="00402A6C" w:rsidP="00402A6C">
      <w:r w:rsidRPr="00C61DCD">
        <w:rPr>
          <w:b/>
        </w:rPr>
        <w:t>Na zmianę wskaźników odzwierciedlających oddziaływanie interwencji na sferę bezpieczeństwa ruchu drogowego, podobnie jak w przypadku przeciętnego wynagrodzenia brutto, większy wpływ miały zmienne objaśniające związane z interwencją</w:t>
      </w:r>
      <w:r>
        <w:t>, m.in. projekty związane z budową i przebudową infrastruktury transportu szynowego oraz innych obiektów infrastrukturalnych. Wśród czynników zewnętrznych determinujących zmiany wskaźników poziomu bezpieczeństwa wyróżniły się takie zmienne jak liczba fotoradarów (im więcej, tym mniej ofiar wypadków drogowych) i liczba pojazdów wjeżdżających do miasta (im więcej, tym mniej ofiar wypadków drogowych).</w:t>
      </w:r>
      <w:r w:rsidR="00D471AB">
        <w:t xml:space="preserve"> </w:t>
      </w:r>
    </w:p>
    <w:p w14:paraId="590BB3A6" w14:textId="424BD56F" w:rsidR="002B5194" w:rsidRDefault="002B5194" w:rsidP="002B5194">
      <w:pPr>
        <w:pStyle w:val="Legenda"/>
      </w:pPr>
      <w:bookmarkStart w:id="78" w:name="_Ref529383379"/>
      <w:bookmarkStart w:id="79" w:name="_Toc27125368"/>
      <w:r>
        <w:t xml:space="preserve">Tabela </w:t>
      </w:r>
      <w:r>
        <w:rPr>
          <w:noProof/>
        </w:rPr>
        <w:fldChar w:fldCharType="begin"/>
      </w:r>
      <w:r>
        <w:rPr>
          <w:noProof/>
        </w:rPr>
        <w:instrText xml:space="preserve"> SEQ Tabela \* ARABIC </w:instrText>
      </w:r>
      <w:r>
        <w:rPr>
          <w:noProof/>
        </w:rPr>
        <w:fldChar w:fldCharType="separate"/>
      </w:r>
      <w:r w:rsidR="00C93FD7">
        <w:rPr>
          <w:noProof/>
        </w:rPr>
        <w:t>10</w:t>
      </w:r>
      <w:r>
        <w:rPr>
          <w:noProof/>
        </w:rPr>
        <w:fldChar w:fldCharType="end"/>
      </w:r>
      <w:bookmarkEnd w:id="78"/>
      <w:r>
        <w:t>. Zestawienie najważniejszych determinant zmian badanych zjawisk</w:t>
      </w:r>
      <w:bookmarkEnd w:id="79"/>
    </w:p>
    <w:tbl>
      <w:tblPr>
        <w:tblStyle w:val="WolanskiCorpTabela"/>
        <w:tblW w:w="5000" w:type="pct"/>
        <w:jc w:val="center"/>
        <w:tblLook w:val="04A0" w:firstRow="1" w:lastRow="0" w:firstColumn="1" w:lastColumn="0" w:noHBand="0" w:noVBand="1"/>
      </w:tblPr>
      <w:tblGrid>
        <w:gridCol w:w="2694"/>
        <w:gridCol w:w="6377"/>
      </w:tblGrid>
      <w:tr w:rsidR="002B5194" w:rsidRPr="00B93BE9" w14:paraId="4DDF4BFF" w14:textId="77777777" w:rsidTr="003E4F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pct"/>
          </w:tcPr>
          <w:p w14:paraId="30F7D706" w14:textId="77777777" w:rsidR="002B5194" w:rsidRPr="008D10AC" w:rsidRDefault="002B5194" w:rsidP="003E4F54">
            <w:pPr>
              <w:rPr>
                <w:sz w:val="18"/>
                <w:szCs w:val="18"/>
              </w:rPr>
            </w:pPr>
            <w:bookmarkStart w:id="80" w:name="_Hlk529460597"/>
            <w:r w:rsidRPr="008D10AC">
              <w:rPr>
                <w:sz w:val="18"/>
                <w:szCs w:val="18"/>
              </w:rPr>
              <w:t>zmienna objaśniana</w:t>
            </w:r>
          </w:p>
        </w:tc>
        <w:tc>
          <w:tcPr>
            <w:tcW w:w="3515" w:type="pct"/>
          </w:tcPr>
          <w:p w14:paraId="2F00D45A" w14:textId="77777777" w:rsidR="002B5194" w:rsidRPr="008D10AC" w:rsidRDefault="002B5194" w:rsidP="003E4F54">
            <w:pPr>
              <w:jc w:val="left"/>
              <w:cnfStyle w:val="100000000000" w:firstRow="1" w:lastRow="0" w:firstColumn="0" w:lastColumn="0" w:oddVBand="0" w:evenVBand="0" w:oddHBand="0" w:evenHBand="0" w:firstRowFirstColumn="0" w:firstRowLastColumn="0" w:lastRowFirstColumn="0" w:lastRowLastColumn="0"/>
              <w:rPr>
                <w:sz w:val="18"/>
                <w:szCs w:val="18"/>
              </w:rPr>
            </w:pPr>
            <w:r w:rsidRPr="008D10AC">
              <w:rPr>
                <w:sz w:val="18"/>
                <w:szCs w:val="18"/>
              </w:rPr>
              <w:t>najważniejsze determinanty zmian - % wyjaśnianej zmienności</w:t>
            </w:r>
          </w:p>
        </w:tc>
      </w:tr>
      <w:tr w:rsidR="002B5194" w:rsidRPr="00B93BE9" w14:paraId="2FA591A9" w14:textId="77777777" w:rsidTr="003E4F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pct"/>
          </w:tcPr>
          <w:p w14:paraId="0A736489" w14:textId="77777777" w:rsidR="002B5194" w:rsidRPr="008D10AC" w:rsidRDefault="002B5194" w:rsidP="003E4F54">
            <w:pPr>
              <w:jc w:val="left"/>
              <w:rPr>
                <w:sz w:val="18"/>
                <w:szCs w:val="18"/>
              </w:rPr>
            </w:pPr>
            <w:r w:rsidRPr="008D10AC">
              <w:rPr>
                <w:sz w:val="18"/>
                <w:szCs w:val="18"/>
              </w:rPr>
              <w:t>Liczba przewiezionych pasażerów</w:t>
            </w:r>
          </w:p>
        </w:tc>
        <w:tc>
          <w:tcPr>
            <w:tcW w:w="3515" w:type="pct"/>
          </w:tcPr>
          <w:p w14:paraId="07E488A8" w14:textId="77777777" w:rsidR="002B5194" w:rsidRPr="008D10AC" w:rsidRDefault="002B5194" w:rsidP="001B2A4E">
            <w:pPr>
              <w:pStyle w:val="Akapitzlist"/>
              <w:numPr>
                <w:ilvl w:val="0"/>
                <w:numId w:val="24"/>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wydatki na infrastrukturę drogową – 59,17%</w:t>
            </w:r>
          </w:p>
          <w:p w14:paraId="655B40F0" w14:textId="77777777" w:rsidR="002B5194" w:rsidRPr="008D10AC" w:rsidRDefault="002B5194" w:rsidP="001B2A4E">
            <w:pPr>
              <w:pStyle w:val="Akapitzlist"/>
              <w:numPr>
                <w:ilvl w:val="0"/>
                <w:numId w:val="24"/>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inwestycje w sieć trolejbusową – 17,44%</w:t>
            </w:r>
          </w:p>
          <w:p w14:paraId="78D721F5" w14:textId="78E3ED27" w:rsidR="002B5194" w:rsidRPr="008D10AC" w:rsidRDefault="002B5194" w:rsidP="001B2A4E">
            <w:pPr>
              <w:pStyle w:val="Akapitzlist"/>
              <w:numPr>
                <w:ilvl w:val="0"/>
                <w:numId w:val="24"/>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 xml:space="preserve">obiekty typu </w:t>
            </w:r>
            <w:r w:rsidRPr="00713B59">
              <w:rPr>
                <w:i/>
                <w:sz w:val="18"/>
                <w:szCs w:val="18"/>
              </w:rPr>
              <w:t>Park</w:t>
            </w:r>
            <w:r w:rsidR="00552334">
              <w:rPr>
                <w:i/>
                <w:sz w:val="18"/>
                <w:szCs w:val="18"/>
              </w:rPr>
              <w:t xml:space="preserve"> </w:t>
            </w:r>
            <w:r w:rsidRPr="00713B59">
              <w:rPr>
                <w:i/>
                <w:sz w:val="18"/>
                <w:szCs w:val="18"/>
              </w:rPr>
              <w:t>&amp;</w:t>
            </w:r>
            <w:r w:rsidR="00552334">
              <w:rPr>
                <w:i/>
                <w:sz w:val="18"/>
                <w:szCs w:val="18"/>
              </w:rPr>
              <w:t xml:space="preserve"> </w:t>
            </w:r>
            <w:proofErr w:type="spellStart"/>
            <w:r w:rsidRPr="00713B59">
              <w:rPr>
                <w:i/>
                <w:sz w:val="18"/>
                <w:szCs w:val="18"/>
              </w:rPr>
              <w:t>Ride</w:t>
            </w:r>
            <w:proofErr w:type="spellEnd"/>
            <w:r w:rsidRPr="008D10AC">
              <w:rPr>
                <w:sz w:val="18"/>
                <w:szCs w:val="18"/>
              </w:rPr>
              <w:t xml:space="preserve"> – 9,24%</w:t>
            </w:r>
          </w:p>
          <w:p w14:paraId="703EADFC" w14:textId="77777777" w:rsidR="002B5194" w:rsidRPr="008D10AC" w:rsidRDefault="002B5194" w:rsidP="001B2A4E">
            <w:pPr>
              <w:pStyle w:val="Akapitzlist"/>
              <w:numPr>
                <w:ilvl w:val="0"/>
                <w:numId w:val="24"/>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liczba pojazdów komunikacji miejskiej w ruchu – 8,01%</w:t>
            </w:r>
          </w:p>
        </w:tc>
      </w:tr>
      <w:tr w:rsidR="002B5194" w:rsidRPr="00B93BE9" w14:paraId="67618D56" w14:textId="77777777" w:rsidTr="003E4F54">
        <w:trPr>
          <w:jc w:val="center"/>
        </w:trPr>
        <w:tc>
          <w:tcPr>
            <w:cnfStyle w:val="001000000000" w:firstRow="0" w:lastRow="0" w:firstColumn="1" w:lastColumn="0" w:oddVBand="0" w:evenVBand="0" w:oddHBand="0" w:evenHBand="0" w:firstRowFirstColumn="0" w:firstRowLastColumn="0" w:lastRowFirstColumn="0" w:lastRowLastColumn="0"/>
            <w:tcW w:w="1485" w:type="pct"/>
          </w:tcPr>
          <w:p w14:paraId="7DD1D6A2" w14:textId="77777777" w:rsidR="002B5194" w:rsidRPr="008D10AC" w:rsidRDefault="002B5194" w:rsidP="003E4F54">
            <w:pPr>
              <w:jc w:val="left"/>
              <w:rPr>
                <w:sz w:val="18"/>
                <w:szCs w:val="18"/>
              </w:rPr>
            </w:pPr>
            <w:r w:rsidRPr="008D10AC">
              <w:rPr>
                <w:sz w:val="18"/>
                <w:szCs w:val="18"/>
              </w:rPr>
              <w:t>Przychody ze sprzedaży biletów długookresowych</w:t>
            </w:r>
          </w:p>
        </w:tc>
        <w:tc>
          <w:tcPr>
            <w:tcW w:w="3515" w:type="pct"/>
          </w:tcPr>
          <w:p w14:paraId="762407AC" w14:textId="77777777" w:rsidR="002B5194" w:rsidRPr="008D10AC" w:rsidRDefault="002B5194" w:rsidP="001B2A4E">
            <w:pPr>
              <w:pStyle w:val="Akapitzlist"/>
              <w:numPr>
                <w:ilvl w:val="0"/>
                <w:numId w:val="19"/>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liczba pojazdów komunikacji miejskiej w ruchu – 45,62%</w:t>
            </w:r>
          </w:p>
          <w:p w14:paraId="5F475761" w14:textId="77777777" w:rsidR="002B5194" w:rsidRPr="008D10AC" w:rsidRDefault="002B5194" w:rsidP="001B2A4E">
            <w:pPr>
              <w:pStyle w:val="Akapitzlist"/>
              <w:numPr>
                <w:ilvl w:val="0"/>
                <w:numId w:val="19"/>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odsetek ludności w wieku produkcyjnym – 25,45%</w:t>
            </w:r>
          </w:p>
          <w:p w14:paraId="4EF014DB" w14:textId="40AF7E29" w:rsidR="002B5194" w:rsidRPr="008D10AC" w:rsidRDefault="002B5194" w:rsidP="001B2A4E">
            <w:pPr>
              <w:pStyle w:val="Akapitzlist"/>
              <w:numPr>
                <w:ilvl w:val="0"/>
                <w:numId w:val="19"/>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 xml:space="preserve">obiekty typu </w:t>
            </w:r>
            <w:r w:rsidRPr="00713B59">
              <w:rPr>
                <w:i/>
                <w:sz w:val="18"/>
                <w:szCs w:val="18"/>
              </w:rPr>
              <w:t>Park</w:t>
            </w:r>
            <w:r w:rsidR="00552334">
              <w:rPr>
                <w:i/>
                <w:sz w:val="18"/>
                <w:szCs w:val="18"/>
              </w:rPr>
              <w:t xml:space="preserve"> </w:t>
            </w:r>
            <w:r w:rsidRPr="00713B59">
              <w:rPr>
                <w:i/>
                <w:sz w:val="18"/>
                <w:szCs w:val="18"/>
              </w:rPr>
              <w:t>&amp;</w:t>
            </w:r>
            <w:r w:rsidR="00552334">
              <w:rPr>
                <w:i/>
                <w:sz w:val="18"/>
                <w:szCs w:val="18"/>
              </w:rPr>
              <w:t xml:space="preserve"> </w:t>
            </w:r>
            <w:proofErr w:type="spellStart"/>
            <w:r w:rsidRPr="00713B59">
              <w:rPr>
                <w:i/>
                <w:sz w:val="18"/>
                <w:szCs w:val="18"/>
              </w:rPr>
              <w:t>Ride</w:t>
            </w:r>
            <w:proofErr w:type="spellEnd"/>
            <w:r w:rsidRPr="008D10AC">
              <w:rPr>
                <w:sz w:val="18"/>
                <w:szCs w:val="18"/>
              </w:rPr>
              <w:t xml:space="preserve"> – 10,96%</w:t>
            </w:r>
          </w:p>
          <w:p w14:paraId="6B5CEF9F" w14:textId="77777777" w:rsidR="002B5194" w:rsidRPr="008D10AC" w:rsidRDefault="002B5194" w:rsidP="001B2A4E">
            <w:pPr>
              <w:pStyle w:val="Akapitzlist"/>
              <w:numPr>
                <w:ilvl w:val="0"/>
                <w:numId w:val="19"/>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zakup nowych jednostek taboru komunikacji miejskiej – 10,17%</w:t>
            </w:r>
          </w:p>
        </w:tc>
      </w:tr>
      <w:tr w:rsidR="002B5194" w:rsidRPr="00B93BE9" w14:paraId="4A46610A" w14:textId="77777777" w:rsidTr="003E4F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pct"/>
          </w:tcPr>
          <w:p w14:paraId="24780FB5" w14:textId="77777777" w:rsidR="002B5194" w:rsidRPr="008D10AC" w:rsidRDefault="002B5194" w:rsidP="003E4F54">
            <w:pPr>
              <w:jc w:val="left"/>
              <w:rPr>
                <w:sz w:val="18"/>
                <w:szCs w:val="18"/>
              </w:rPr>
            </w:pPr>
            <w:r w:rsidRPr="008D10AC">
              <w:rPr>
                <w:sz w:val="18"/>
                <w:szCs w:val="18"/>
              </w:rPr>
              <w:lastRenderedPageBreak/>
              <w:t>Przychody ze sprzedaży biletów łącznie</w:t>
            </w:r>
          </w:p>
        </w:tc>
        <w:tc>
          <w:tcPr>
            <w:tcW w:w="3515" w:type="pct"/>
          </w:tcPr>
          <w:p w14:paraId="2CFF6913" w14:textId="77777777" w:rsidR="002B5194" w:rsidRPr="008D10AC" w:rsidRDefault="002B5194" w:rsidP="001B2A4E">
            <w:pPr>
              <w:pStyle w:val="Akapitzlist"/>
              <w:numPr>
                <w:ilvl w:val="0"/>
                <w:numId w:val="19"/>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zakup nowych jednostek taboru komunikacji miejskiej – 29,35%</w:t>
            </w:r>
          </w:p>
          <w:p w14:paraId="5D6EBAF8" w14:textId="77777777" w:rsidR="002B5194" w:rsidRPr="008D10AC" w:rsidRDefault="002B5194" w:rsidP="001B2A4E">
            <w:pPr>
              <w:pStyle w:val="Akapitzlist"/>
              <w:numPr>
                <w:ilvl w:val="0"/>
                <w:numId w:val="19"/>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procentowa zmiana liczby ludności – 27,10%</w:t>
            </w:r>
          </w:p>
          <w:p w14:paraId="7C07975A" w14:textId="77777777" w:rsidR="002B5194" w:rsidRPr="008D10AC" w:rsidRDefault="002B5194" w:rsidP="001B2A4E">
            <w:pPr>
              <w:pStyle w:val="Akapitzlist"/>
              <w:numPr>
                <w:ilvl w:val="0"/>
                <w:numId w:val="19"/>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inwestycje w sieć transportu szynowego – 22,74%</w:t>
            </w:r>
          </w:p>
        </w:tc>
      </w:tr>
      <w:tr w:rsidR="002B5194" w:rsidRPr="00B93BE9" w14:paraId="74B8F709" w14:textId="77777777" w:rsidTr="003E4F54">
        <w:trPr>
          <w:jc w:val="center"/>
        </w:trPr>
        <w:tc>
          <w:tcPr>
            <w:cnfStyle w:val="001000000000" w:firstRow="0" w:lastRow="0" w:firstColumn="1" w:lastColumn="0" w:oddVBand="0" w:evenVBand="0" w:oddHBand="0" w:evenHBand="0" w:firstRowFirstColumn="0" w:firstRowLastColumn="0" w:lastRowFirstColumn="0" w:lastRowLastColumn="0"/>
            <w:tcW w:w="1485" w:type="pct"/>
          </w:tcPr>
          <w:p w14:paraId="09059487" w14:textId="77777777" w:rsidR="002B5194" w:rsidRPr="008D10AC" w:rsidRDefault="002B5194" w:rsidP="003E4F54">
            <w:pPr>
              <w:jc w:val="left"/>
              <w:rPr>
                <w:rFonts w:cs="Calibri"/>
                <w:color w:val="000000"/>
                <w:sz w:val="18"/>
                <w:szCs w:val="18"/>
              </w:rPr>
            </w:pPr>
            <w:r w:rsidRPr="008D10AC">
              <w:rPr>
                <w:rFonts w:cs="Calibri"/>
                <w:color w:val="000000"/>
                <w:sz w:val="18"/>
                <w:szCs w:val="18"/>
              </w:rPr>
              <w:t>Liczba zabitych w wypadkach drogowych</w:t>
            </w:r>
          </w:p>
        </w:tc>
        <w:tc>
          <w:tcPr>
            <w:tcW w:w="3515" w:type="pct"/>
          </w:tcPr>
          <w:p w14:paraId="361FB4FE" w14:textId="77777777" w:rsidR="002B5194" w:rsidRPr="008D10AC" w:rsidRDefault="002B5194" w:rsidP="001B2A4E">
            <w:pPr>
              <w:pStyle w:val="Akapitzlist"/>
              <w:numPr>
                <w:ilvl w:val="0"/>
                <w:numId w:val="20"/>
              </w:numPr>
              <w:spacing w:after="120"/>
              <w:cnfStyle w:val="000000000000" w:firstRow="0" w:lastRow="0" w:firstColumn="0" w:lastColumn="0" w:oddVBand="0" w:evenVBand="0" w:oddHBand="0" w:evenHBand="0" w:firstRowFirstColumn="0" w:firstRowLastColumn="0" w:lastRowFirstColumn="0" w:lastRowLastColumn="0"/>
              <w:rPr>
                <w:rFonts w:cs="Calibri"/>
                <w:color w:val="000000"/>
                <w:sz w:val="18"/>
              </w:rPr>
            </w:pPr>
            <w:r w:rsidRPr="008D10AC">
              <w:rPr>
                <w:rFonts w:cs="Calibri"/>
                <w:color w:val="000000"/>
                <w:sz w:val="18"/>
              </w:rPr>
              <w:t>inwestycje w sieć transportu szynowego – 46,66%</w:t>
            </w:r>
          </w:p>
          <w:p w14:paraId="796F45B8" w14:textId="77777777" w:rsidR="002B5194" w:rsidRPr="008D10AC" w:rsidRDefault="002B5194" w:rsidP="001B2A4E">
            <w:pPr>
              <w:pStyle w:val="Akapitzlist"/>
              <w:numPr>
                <w:ilvl w:val="0"/>
                <w:numId w:val="20"/>
              </w:numPr>
              <w:spacing w:after="120"/>
              <w:cnfStyle w:val="000000000000" w:firstRow="0" w:lastRow="0" w:firstColumn="0" w:lastColumn="0" w:oddVBand="0" w:evenVBand="0" w:oddHBand="0" w:evenHBand="0" w:firstRowFirstColumn="0" w:firstRowLastColumn="0" w:lastRowFirstColumn="0" w:lastRowLastColumn="0"/>
              <w:rPr>
                <w:rFonts w:cs="Calibri"/>
                <w:color w:val="000000"/>
                <w:sz w:val="18"/>
              </w:rPr>
            </w:pPr>
            <w:r w:rsidRPr="008D10AC">
              <w:rPr>
                <w:rFonts w:cs="Calibri"/>
                <w:color w:val="000000"/>
                <w:sz w:val="18"/>
              </w:rPr>
              <w:t>liczba pojazdów wjeżdżających do miasta – 28,07%</w:t>
            </w:r>
          </w:p>
          <w:p w14:paraId="3CD28EB1" w14:textId="77777777" w:rsidR="002B5194" w:rsidRPr="008D10AC" w:rsidRDefault="002B5194" w:rsidP="001B2A4E">
            <w:pPr>
              <w:pStyle w:val="Akapitzlist"/>
              <w:numPr>
                <w:ilvl w:val="0"/>
                <w:numId w:val="20"/>
              </w:numPr>
              <w:spacing w:after="120"/>
              <w:cnfStyle w:val="000000000000" w:firstRow="0" w:lastRow="0" w:firstColumn="0" w:lastColumn="0" w:oddVBand="0" w:evenVBand="0" w:oddHBand="0" w:evenHBand="0" w:firstRowFirstColumn="0" w:firstRowLastColumn="0" w:lastRowFirstColumn="0" w:lastRowLastColumn="0"/>
              <w:rPr>
                <w:rFonts w:cs="Calibri"/>
                <w:color w:val="000000"/>
                <w:sz w:val="18"/>
              </w:rPr>
            </w:pPr>
            <w:r w:rsidRPr="008D10AC">
              <w:rPr>
                <w:rFonts w:cs="Calibri"/>
                <w:color w:val="000000"/>
                <w:sz w:val="18"/>
              </w:rPr>
              <w:t>liczba fotoradarów – 12,11%</w:t>
            </w:r>
          </w:p>
        </w:tc>
      </w:tr>
      <w:tr w:rsidR="002B5194" w:rsidRPr="00B93BE9" w14:paraId="0B7C7183" w14:textId="77777777" w:rsidTr="003E4F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pct"/>
          </w:tcPr>
          <w:p w14:paraId="76EA1332" w14:textId="77777777" w:rsidR="002B5194" w:rsidRPr="008D10AC" w:rsidRDefault="002B5194" w:rsidP="003E4F54">
            <w:pPr>
              <w:jc w:val="left"/>
              <w:rPr>
                <w:sz w:val="18"/>
                <w:szCs w:val="18"/>
              </w:rPr>
            </w:pPr>
            <w:r w:rsidRPr="008D10AC">
              <w:rPr>
                <w:rFonts w:cs="Calibri"/>
                <w:color w:val="000000"/>
                <w:sz w:val="18"/>
                <w:szCs w:val="18"/>
              </w:rPr>
              <w:t>Liczba wypadków z udziałem pojazdów komunikacji miejskiej</w:t>
            </w:r>
          </w:p>
        </w:tc>
        <w:tc>
          <w:tcPr>
            <w:tcW w:w="3515" w:type="pct"/>
          </w:tcPr>
          <w:p w14:paraId="0CEF59FB" w14:textId="1B76F5CB" w:rsidR="002B5194" w:rsidRPr="008D10AC" w:rsidRDefault="002B5194" w:rsidP="001B2A4E">
            <w:pPr>
              <w:pStyle w:val="Akapitzlist"/>
              <w:numPr>
                <w:ilvl w:val="0"/>
                <w:numId w:val="20"/>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rFonts w:cs="Calibri"/>
                <w:color w:val="000000"/>
                <w:sz w:val="18"/>
              </w:rPr>
              <w:t xml:space="preserve">obiekty typu </w:t>
            </w:r>
            <w:proofErr w:type="spellStart"/>
            <w:r w:rsidRPr="00713B59">
              <w:rPr>
                <w:rFonts w:cs="Calibri"/>
                <w:i/>
                <w:color w:val="000000"/>
                <w:sz w:val="18"/>
              </w:rPr>
              <w:t>Bike</w:t>
            </w:r>
            <w:proofErr w:type="spellEnd"/>
            <w:r w:rsidR="00552334">
              <w:rPr>
                <w:rFonts w:cs="Calibri"/>
                <w:i/>
                <w:color w:val="000000"/>
                <w:sz w:val="18"/>
              </w:rPr>
              <w:t xml:space="preserve"> </w:t>
            </w:r>
            <w:r w:rsidRPr="00713B59">
              <w:rPr>
                <w:rFonts w:cs="Calibri"/>
                <w:i/>
                <w:color w:val="000000"/>
                <w:sz w:val="18"/>
              </w:rPr>
              <w:t>&amp;</w:t>
            </w:r>
            <w:r w:rsidR="00552334">
              <w:rPr>
                <w:rFonts w:cs="Calibri"/>
                <w:i/>
                <w:color w:val="000000"/>
                <w:sz w:val="18"/>
              </w:rPr>
              <w:t xml:space="preserve"> </w:t>
            </w:r>
            <w:proofErr w:type="spellStart"/>
            <w:r w:rsidRPr="00713B59">
              <w:rPr>
                <w:rFonts w:cs="Calibri"/>
                <w:i/>
                <w:color w:val="000000"/>
                <w:sz w:val="18"/>
              </w:rPr>
              <w:t>Ride</w:t>
            </w:r>
            <w:proofErr w:type="spellEnd"/>
            <w:r w:rsidRPr="008D10AC">
              <w:rPr>
                <w:rFonts w:cs="Calibri"/>
                <w:color w:val="000000"/>
                <w:sz w:val="18"/>
              </w:rPr>
              <w:t xml:space="preserve"> – 23,26%</w:t>
            </w:r>
          </w:p>
          <w:p w14:paraId="555BAC8D" w14:textId="77777777" w:rsidR="002B5194" w:rsidRPr="008D10AC" w:rsidRDefault="002B5194" w:rsidP="001B2A4E">
            <w:pPr>
              <w:pStyle w:val="Akapitzlist"/>
              <w:numPr>
                <w:ilvl w:val="0"/>
                <w:numId w:val="20"/>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liczba pojazdów wjeżdżających do miasta – 14,17%</w:t>
            </w:r>
          </w:p>
          <w:p w14:paraId="38F78A2B" w14:textId="77777777" w:rsidR="002B5194" w:rsidRPr="008D10AC" w:rsidRDefault="002B5194" w:rsidP="001B2A4E">
            <w:pPr>
              <w:pStyle w:val="Akapitzlist"/>
              <w:numPr>
                <w:ilvl w:val="0"/>
                <w:numId w:val="20"/>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wydatki na infrastrukturę drogową – 13,71%</w:t>
            </w:r>
          </w:p>
        </w:tc>
      </w:tr>
      <w:tr w:rsidR="002B5194" w:rsidRPr="00B93BE9" w14:paraId="70A1941B" w14:textId="77777777" w:rsidTr="003E4F54">
        <w:trPr>
          <w:jc w:val="center"/>
        </w:trPr>
        <w:tc>
          <w:tcPr>
            <w:cnfStyle w:val="001000000000" w:firstRow="0" w:lastRow="0" w:firstColumn="1" w:lastColumn="0" w:oddVBand="0" w:evenVBand="0" w:oddHBand="0" w:evenHBand="0" w:firstRowFirstColumn="0" w:firstRowLastColumn="0" w:lastRowFirstColumn="0" w:lastRowLastColumn="0"/>
            <w:tcW w:w="1485" w:type="pct"/>
          </w:tcPr>
          <w:p w14:paraId="401B528E" w14:textId="77777777" w:rsidR="002B5194" w:rsidRPr="008D10AC" w:rsidRDefault="002B5194" w:rsidP="003E4F54">
            <w:pPr>
              <w:jc w:val="left"/>
              <w:rPr>
                <w:sz w:val="18"/>
                <w:szCs w:val="18"/>
              </w:rPr>
            </w:pPr>
            <w:r w:rsidRPr="008D10AC">
              <w:rPr>
                <w:rFonts w:cs="Calibri"/>
                <w:color w:val="000000"/>
                <w:sz w:val="18"/>
                <w:szCs w:val="18"/>
              </w:rPr>
              <w:t>Liczba dni z przekroczoną średniodobową normą stężenia PM10</w:t>
            </w:r>
          </w:p>
        </w:tc>
        <w:tc>
          <w:tcPr>
            <w:tcW w:w="3515" w:type="pct"/>
          </w:tcPr>
          <w:p w14:paraId="733AF29E" w14:textId="77777777" w:rsidR="002B5194" w:rsidRPr="008D10AC" w:rsidRDefault="002B5194" w:rsidP="001B2A4E">
            <w:pPr>
              <w:pStyle w:val="Akapitzlist"/>
              <w:numPr>
                <w:ilvl w:val="0"/>
                <w:numId w:val="21"/>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zakup nowych jednostek taboru komunikacji miejskiej – 17,40%</w:t>
            </w:r>
          </w:p>
          <w:p w14:paraId="377A79DB" w14:textId="47A8C1F8" w:rsidR="002B5194" w:rsidRPr="008D10AC" w:rsidRDefault="002B5194" w:rsidP="001B2A4E">
            <w:pPr>
              <w:pStyle w:val="Akapitzlist"/>
              <w:numPr>
                <w:ilvl w:val="0"/>
                <w:numId w:val="21"/>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 xml:space="preserve">obiekty typu </w:t>
            </w:r>
            <w:r w:rsidRPr="00713B59">
              <w:rPr>
                <w:i/>
                <w:sz w:val="18"/>
                <w:szCs w:val="18"/>
              </w:rPr>
              <w:t>Park</w:t>
            </w:r>
            <w:r w:rsidR="00552334">
              <w:rPr>
                <w:i/>
                <w:sz w:val="18"/>
                <w:szCs w:val="18"/>
              </w:rPr>
              <w:t xml:space="preserve"> </w:t>
            </w:r>
            <w:r w:rsidRPr="00713B59">
              <w:rPr>
                <w:i/>
                <w:sz w:val="18"/>
                <w:szCs w:val="18"/>
              </w:rPr>
              <w:t>&amp;</w:t>
            </w:r>
            <w:r w:rsidR="00552334">
              <w:rPr>
                <w:i/>
                <w:sz w:val="18"/>
                <w:szCs w:val="18"/>
              </w:rPr>
              <w:t xml:space="preserve"> </w:t>
            </w:r>
            <w:proofErr w:type="spellStart"/>
            <w:r w:rsidRPr="00713B59">
              <w:rPr>
                <w:i/>
                <w:sz w:val="18"/>
                <w:szCs w:val="18"/>
              </w:rPr>
              <w:t>Ride</w:t>
            </w:r>
            <w:proofErr w:type="spellEnd"/>
            <w:r w:rsidRPr="008D10AC">
              <w:rPr>
                <w:sz w:val="18"/>
                <w:szCs w:val="18"/>
              </w:rPr>
              <w:t xml:space="preserve"> i </w:t>
            </w:r>
            <w:proofErr w:type="spellStart"/>
            <w:r w:rsidRPr="00713B59">
              <w:rPr>
                <w:i/>
                <w:sz w:val="18"/>
                <w:szCs w:val="18"/>
              </w:rPr>
              <w:t>Bike</w:t>
            </w:r>
            <w:proofErr w:type="spellEnd"/>
            <w:r w:rsidR="00552334">
              <w:rPr>
                <w:i/>
                <w:sz w:val="18"/>
                <w:szCs w:val="18"/>
              </w:rPr>
              <w:t xml:space="preserve"> </w:t>
            </w:r>
            <w:r w:rsidRPr="00713B59">
              <w:rPr>
                <w:i/>
                <w:sz w:val="18"/>
                <w:szCs w:val="18"/>
              </w:rPr>
              <w:t>&amp;</w:t>
            </w:r>
            <w:r w:rsidR="00552334">
              <w:rPr>
                <w:i/>
                <w:sz w:val="18"/>
                <w:szCs w:val="18"/>
              </w:rPr>
              <w:t xml:space="preserve"> </w:t>
            </w:r>
            <w:proofErr w:type="spellStart"/>
            <w:r w:rsidRPr="00713B59">
              <w:rPr>
                <w:i/>
                <w:sz w:val="18"/>
                <w:szCs w:val="18"/>
              </w:rPr>
              <w:t>Ride</w:t>
            </w:r>
            <w:proofErr w:type="spellEnd"/>
            <w:r w:rsidRPr="008D10AC">
              <w:rPr>
                <w:sz w:val="18"/>
                <w:szCs w:val="18"/>
              </w:rPr>
              <w:t xml:space="preserve"> – 9,54%</w:t>
            </w:r>
          </w:p>
        </w:tc>
      </w:tr>
      <w:tr w:rsidR="002B5194" w:rsidRPr="00B93BE9" w14:paraId="68A4977A" w14:textId="77777777" w:rsidTr="003E4F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5" w:type="pct"/>
          </w:tcPr>
          <w:p w14:paraId="01BBCFF1" w14:textId="77777777" w:rsidR="002B5194" w:rsidRPr="008D10AC" w:rsidRDefault="002B5194" w:rsidP="003E4F54">
            <w:pPr>
              <w:jc w:val="left"/>
              <w:rPr>
                <w:sz w:val="18"/>
                <w:szCs w:val="18"/>
              </w:rPr>
            </w:pPr>
            <w:r w:rsidRPr="008D10AC">
              <w:rPr>
                <w:rFonts w:cs="Calibri"/>
                <w:color w:val="000000"/>
                <w:sz w:val="18"/>
                <w:szCs w:val="18"/>
              </w:rPr>
              <w:t>Przeciętne miesięczne wynagrodzenia brutto</w:t>
            </w:r>
          </w:p>
        </w:tc>
        <w:tc>
          <w:tcPr>
            <w:tcW w:w="3515" w:type="pct"/>
          </w:tcPr>
          <w:p w14:paraId="1D24F50B" w14:textId="77777777" w:rsidR="002B5194" w:rsidRPr="008D10AC" w:rsidRDefault="002B5194" w:rsidP="001B2A4E">
            <w:pPr>
              <w:pStyle w:val="Akapitzlist"/>
              <w:numPr>
                <w:ilvl w:val="0"/>
                <w:numId w:val="22"/>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inwestycje w sieć transportu szynowego – 33,67%</w:t>
            </w:r>
          </w:p>
          <w:p w14:paraId="2DD96C15" w14:textId="77777777" w:rsidR="002B5194" w:rsidRPr="008D10AC" w:rsidRDefault="002B5194" w:rsidP="001B2A4E">
            <w:pPr>
              <w:pStyle w:val="Akapitzlist"/>
              <w:numPr>
                <w:ilvl w:val="0"/>
                <w:numId w:val="22"/>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produkcja sprzedana przemysłu na mieszkańca – 29,27%</w:t>
            </w:r>
          </w:p>
          <w:p w14:paraId="09143E3E" w14:textId="3FD61900" w:rsidR="002B5194" w:rsidRPr="008D10AC" w:rsidRDefault="002B5194" w:rsidP="001B2A4E">
            <w:pPr>
              <w:pStyle w:val="Akapitzlist"/>
              <w:numPr>
                <w:ilvl w:val="0"/>
                <w:numId w:val="22"/>
              </w:numPr>
              <w:spacing w:after="120"/>
              <w:cnfStyle w:val="000000100000" w:firstRow="0" w:lastRow="0" w:firstColumn="0" w:lastColumn="0" w:oddVBand="0" w:evenVBand="0" w:oddHBand="1" w:evenHBand="0" w:firstRowFirstColumn="0" w:firstRowLastColumn="0" w:lastRowFirstColumn="0" w:lastRowLastColumn="0"/>
              <w:rPr>
                <w:sz w:val="18"/>
                <w:szCs w:val="18"/>
              </w:rPr>
            </w:pPr>
            <w:r w:rsidRPr="008D10AC">
              <w:rPr>
                <w:sz w:val="18"/>
                <w:szCs w:val="18"/>
              </w:rPr>
              <w:t xml:space="preserve">obiekty typu </w:t>
            </w:r>
            <w:proofErr w:type="spellStart"/>
            <w:r w:rsidRPr="00713B59">
              <w:rPr>
                <w:i/>
                <w:sz w:val="18"/>
                <w:szCs w:val="18"/>
              </w:rPr>
              <w:t>Bike</w:t>
            </w:r>
            <w:proofErr w:type="spellEnd"/>
            <w:r w:rsidR="00552334">
              <w:rPr>
                <w:i/>
                <w:sz w:val="18"/>
                <w:szCs w:val="18"/>
              </w:rPr>
              <w:t xml:space="preserve"> </w:t>
            </w:r>
            <w:r w:rsidRPr="00713B59">
              <w:rPr>
                <w:i/>
                <w:sz w:val="18"/>
                <w:szCs w:val="18"/>
              </w:rPr>
              <w:t>&amp;</w:t>
            </w:r>
            <w:r w:rsidR="00552334">
              <w:rPr>
                <w:i/>
                <w:sz w:val="18"/>
                <w:szCs w:val="18"/>
              </w:rPr>
              <w:t xml:space="preserve"> </w:t>
            </w:r>
            <w:proofErr w:type="spellStart"/>
            <w:r w:rsidRPr="00713B59">
              <w:rPr>
                <w:i/>
                <w:sz w:val="18"/>
                <w:szCs w:val="18"/>
              </w:rPr>
              <w:t>Ride</w:t>
            </w:r>
            <w:proofErr w:type="spellEnd"/>
            <w:r w:rsidRPr="008D10AC">
              <w:rPr>
                <w:sz w:val="18"/>
                <w:szCs w:val="18"/>
              </w:rPr>
              <w:t xml:space="preserve"> – 14,11%</w:t>
            </w:r>
          </w:p>
        </w:tc>
      </w:tr>
      <w:tr w:rsidR="002B5194" w:rsidRPr="00B93BE9" w14:paraId="2437148E" w14:textId="77777777" w:rsidTr="003E4F54">
        <w:trPr>
          <w:jc w:val="center"/>
        </w:trPr>
        <w:tc>
          <w:tcPr>
            <w:cnfStyle w:val="001000000000" w:firstRow="0" w:lastRow="0" w:firstColumn="1" w:lastColumn="0" w:oddVBand="0" w:evenVBand="0" w:oddHBand="0" w:evenHBand="0" w:firstRowFirstColumn="0" w:firstRowLastColumn="0" w:lastRowFirstColumn="0" w:lastRowLastColumn="0"/>
            <w:tcW w:w="1485" w:type="pct"/>
          </w:tcPr>
          <w:p w14:paraId="0D54240D" w14:textId="77777777" w:rsidR="002B5194" w:rsidRPr="008D10AC" w:rsidRDefault="002B5194" w:rsidP="003E4F54">
            <w:pPr>
              <w:jc w:val="left"/>
              <w:rPr>
                <w:sz w:val="18"/>
                <w:szCs w:val="18"/>
              </w:rPr>
            </w:pPr>
            <w:r w:rsidRPr="008D10AC">
              <w:rPr>
                <w:rFonts w:cs="Calibri"/>
                <w:color w:val="000000"/>
                <w:sz w:val="18"/>
                <w:szCs w:val="18"/>
              </w:rPr>
              <w:t>Stopa bezrobocia</w:t>
            </w:r>
          </w:p>
        </w:tc>
        <w:tc>
          <w:tcPr>
            <w:tcW w:w="3515" w:type="pct"/>
          </w:tcPr>
          <w:p w14:paraId="6FF7BC72" w14:textId="77777777" w:rsidR="002B5194" w:rsidRPr="008D10AC" w:rsidRDefault="002B5194" w:rsidP="001B2A4E">
            <w:pPr>
              <w:pStyle w:val="Akapitzlist"/>
              <w:numPr>
                <w:ilvl w:val="0"/>
                <w:numId w:val="23"/>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odsetek pracujących w przemyśle – 39,23%</w:t>
            </w:r>
          </w:p>
          <w:p w14:paraId="0E054453" w14:textId="77777777" w:rsidR="002B5194" w:rsidRPr="008D10AC" w:rsidRDefault="002B5194" w:rsidP="001B2A4E">
            <w:pPr>
              <w:pStyle w:val="Akapitzlist"/>
              <w:numPr>
                <w:ilvl w:val="0"/>
                <w:numId w:val="23"/>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nakłady inwestycyjne w przedsiębiorstwach – 19,24%</w:t>
            </w:r>
          </w:p>
          <w:p w14:paraId="7B1ACEA2" w14:textId="77777777" w:rsidR="002B5194" w:rsidRPr="008D10AC" w:rsidRDefault="002B5194" w:rsidP="001B2A4E">
            <w:pPr>
              <w:pStyle w:val="Akapitzlist"/>
              <w:numPr>
                <w:ilvl w:val="0"/>
                <w:numId w:val="23"/>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nakłady na Program Operacyjny Kapitał Ludzki – 13,55%</w:t>
            </w:r>
          </w:p>
          <w:p w14:paraId="4E761CAE" w14:textId="77777777" w:rsidR="002B5194" w:rsidRPr="008D10AC" w:rsidRDefault="002B5194" w:rsidP="001B2A4E">
            <w:pPr>
              <w:pStyle w:val="Akapitzlist"/>
              <w:numPr>
                <w:ilvl w:val="0"/>
                <w:numId w:val="23"/>
              </w:numPr>
              <w:spacing w:after="120"/>
              <w:cnfStyle w:val="000000000000" w:firstRow="0" w:lastRow="0" w:firstColumn="0" w:lastColumn="0" w:oddVBand="0" w:evenVBand="0" w:oddHBand="0" w:evenHBand="0" w:firstRowFirstColumn="0" w:firstRowLastColumn="0" w:lastRowFirstColumn="0" w:lastRowLastColumn="0"/>
              <w:rPr>
                <w:sz w:val="18"/>
                <w:szCs w:val="18"/>
              </w:rPr>
            </w:pPr>
            <w:r w:rsidRPr="008D10AC">
              <w:rPr>
                <w:sz w:val="18"/>
                <w:szCs w:val="18"/>
              </w:rPr>
              <w:t>modernizacja taboru komunikacji miejskiej – 10,61%</w:t>
            </w:r>
          </w:p>
        </w:tc>
      </w:tr>
    </w:tbl>
    <w:bookmarkEnd w:id="80"/>
    <w:p w14:paraId="3C875ADD" w14:textId="6497B577" w:rsidR="001C4FF8" w:rsidRDefault="001C4FF8" w:rsidP="00D415F4">
      <w:pPr>
        <w:pStyle w:val="rdo"/>
      </w:pPr>
      <w:r w:rsidRPr="00391608">
        <w:t>Źródło: opracowanie własne.</w:t>
      </w:r>
    </w:p>
    <w:p w14:paraId="4E280A28" w14:textId="41BD46DB" w:rsidR="00402A6C" w:rsidRDefault="00402A6C" w:rsidP="00402A6C">
      <w:r>
        <w:t xml:space="preserve">Model </w:t>
      </w:r>
      <w:r w:rsidR="006E26C3" w:rsidRPr="006E26C3">
        <w:rPr>
          <w:b/>
        </w:rPr>
        <w:t>uporządkowanej regresji logistycznej</w:t>
      </w:r>
      <w:r w:rsidR="006E26C3">
        <w:t xml:space="preserve"> </w:t>
      </w:r>
      <w:r>
        <w:t xml:space="preserve">dla całej populacji (por. </w:t>
      </w:r>
      <w:r>
        <w:fldChar w:fldCharType="begin"/>
      </w:r>
      <w:r>
        <w:instrText xml:space="preserve"> REF _Ref528928911 \h </w:instrText>
      </w:r>
      <w:r>
        <w:fldChar w:fldCharType="separate"/>
      </w:r>
      <w:r w:rsidR="00C93FD7">
        <w:t xml:space="preserve">Rysunek </w:t>
      </w:r>
      <w:r w:rsidR="00C93FD7">
        <w:rPr>
          <w:noProof/>
        </w:rPr>
        <w:t>5</w:t>
      </w:r>
      <w:r>
        <w:fldChar w:fldCharType="end"/>
      </w:r>
      <w:r>
        <w:t xml:space="preserve">) zawierający wyłącznie jakości cząstkowe o poziomie istotności statystycznej </w:t>
      </w:r>
      <w:r>
        <w:rPr>
          <w:rFonts w:ascii="Cambria" w:hAnsi="Cambria" w:cs="Cambria"/>
        </w:rPr>
        <w:t>α</w:t>
      </w:r>
      <w:r>
        <w:t xml:space="preserve"> &lt; 0,1 wskaz</w:t>
      </w:r>
      <w:r w:rsidR="006E26C3">
        <w:t>ał</w:t>
      </w:r>
      <w:r>
        <w:t xml:space="preserve">, że do </w:t>
      </w:r>
      <w:r w:rsidRPr="006E26C3">
        <w:t>najważniejszych determinant ogólnej oceny jakości przez pasażerów należ</w:t>
      </w:r>
      <w:r w:rsidR="006E26C3">
        <w:t>ały</w:t>
      </w:r>
      <w:r w:rsidRPr="006E26C3">
        <w:t xml:space="preserve"> kolejno bezpieczeństwo podróży, częstotliwość kursowania i przebieg tras</w:t>
      </w:r>
      <w:r>
        <w:t>. Elementy te cech</w:t>
      </w:r>
      <w:r w:rsidR="006E26C3">
        <w:t>owały</w:t>
      </w:r>
      <w:r>
        <w:t xml:space="preserve"> się oceną pasażerów na poziomie średnim (ok. 3,7 w pięciostopniowej skali), a zatem ich duża rola nie </w:t>
      </w:r>
      <w:r w:rsidR="006E26C3">
        <w:t>była</w:t>
      </w:r>
      <w:r>
        <w:t xml:space="preserve"> związana ze szczególnym niezadowoleniem. Wskaz</w:t>
      </w:r>
      <w:r w:rsidR="006E26C3">
        <w:t>ywały one</w:t>
      </w:r>
      <w:r>
        <w:t xml:space="preserve">, że najważniejsze determinanty satysfakcji pasażerów </w:t>
      </w:r>
      <w:r w:rsidR="006E26C3">
        <w:t xml:space="preserve">były </w:t>
      </w:r>
      <w:r>
        <w:t xml:space="preserve">niezależne od programów POIiŚ i mają charakter pozainwestycyjny, związany z ofertą – a zatem </w:t>
      </w:r>
      <w:r w:rsidRPr="006E26C3">
        <w:t>może się okazać, że efekt netto inwestycji POIiŚ będzie względnie mały w porównaniu z efektem działań pozainwestycyjnych, zwłaszcza związanych z zarządzaniem siecią komunikacyjną.</w:t>
      </w:r>
    </w:p>
    <w:p w14:paraId="70D3B400" w14:textId="32A2E340" w:rsidR="006E26C3" w:rsidRDefault="006E26C3" w:rsidP="006E26C3">
      <w:r>
        <w:t>P</w:t>
      </w:r>
      <w:r w:rsidRPr="00CB4D82">
        <w:t>ilotaż potwierdził, że</w:t>
      </w:r>
      <w:r w:rsidRPr="00C61DCD">
        <w:rPr>
          <w:b/>
        </w:rPr>
        <w:t xml:space="preserve"> </w:t>
      </w:r>
      <w:r w:rsidRPr="006E26C3">
        <w:t>uporządkowana regresja logistyczna jest metodą znacznie prostszą, wymagającą nieskomplikowanych danych, a przy tym dającą ciekawe rezultaty dotyczące wpływu poszczególnych czynników na satysfakcję pasażerów. Jej słabą stroną pozosta</w:t>
      </w:r>
      <w:r>
        <w:t>wał</w:t>
      </w:r>
      <w:r w:rsidRPr="006E26C3">
        <w:t xml:space="preserve"> brak jednoznacznych dowodów na powiązanie satysfakcji pasażerów z dokonywanymi przez nich wyborami, a także brak możliwości pomiaru szerszego oddziaływania.</w:t>
      </w:r>
    </w:p>
    <w:p w14:paraId="34CEADF8" w14:textId="4F33335E" w:rsidR="00D471AB" w:rsidRDefault="006E26C3" w:rsidP="00402A6C">
      <w:pPr>
        <w:rPr>
          <w:b/>
        </w:rPr>
      </w:pPr>
      <w:r>
        <w:t xml:space="preserve">Z merytorycznego punktu widzenia </w:t>
      </w:r>
      <w:r w:rsidRPr="00CB4D82">
        <w:t>modele wykonane metodą uporządkowanej regresji logistycznej wskaz</w:t>
      </w:r>
      <w:r>
        <w:t>ały</w:t>
      </w:r>
      <w:r w:rsidRPr="00CB4D82">
        <w:t xml:space="preserve">, że </w:t>
      </w:r>
      <w:r w:rsidRPr="00C61DCD">
        <w:rPr>
          <w:b/>
        </w:rPr>
        <w:t xml:space="preserve">najistotniejszą determinantą satysfakcji pasażerów jest jakość sieci komunikacyjnej rozumiana jako wysokie częstotliwości, dogodny przebieg tras oraz poczucie </w:t>
      </w:r>
      <w:r w:rsidRPr="00C61DCD">
        <w:rPr>
          <w:b/>
        </w:rPr>
        <w:lastRenderedPageBreak/>
        <w:t>bezpieczeństwa ruchu drogowego</w:t>
      </w:r>
      <w:r>
        <w:t xml:space="preserve">. W mniejszym mieście, jakim jest Zielona Góra, dużej roli nabrały ceny biletów. Pilotaż wskazał, że trudności interpretacyjne spowodował brak uwzględnienia wśród ocenianych jakości cząstkowych „czasu podróży”, </w:t>
      </w:r>
      <w:r w:rsidRPr="006E26C3">
        <w:rPr>
          <w:b/>
          <w:color w:val="000000" w:themeColor="text1"/>
        </w:rPr>
        <w:t xml:space="preserve">co zostało uwzględnione </w:t>
      </w:r>
      <w:r>
        <w:rPr>
          <w:b/>
          <w:color w:val="000000" w:themeColor="text1"/>
        </w:rPr>
        <w:t xml:space="preserve">wśród pytań </w:t>
      </w:r>
      <w:r w:rsidRPr="006E26C3">
        <w:rPr>
          <w:b/>
          <w:color w:val="000000" w:themeColor="text1"/>
        </w:rPr>
        <w:t>formularz</w:t>
      </w:r>
      <w:r>
        <w:rPr>
          <w:b/>
          <w:color w:val="000000" w:themeColor="text1"/>
        </w:rPr>
        <w:t>a</w:t>
      </w:r>
      <w:r w:rsidRPr="006E26C3">
        <w:rPr>
          <w:b/>
          <w:color w:val="000000" w:themeColor="text1"/>
        </w:rPr>
        <w:t xml:space="preserve"> CAWI</w:t>
      </w:r>
      <w:r>
        <w:rPr>
          <w:b/>
          <w:color w:val="000000" w:themeColor="text1"/>
        </w:rPr>
        <w:t xml:space="preserve"> w </w:t>
      </w:r>
      <w:r w:rsidRPr="006E26C3">
        <w:rPr>
          <w:b/>
          <w:color w:val="000000" w:themeColor="text1"/>
        </w:rPr>
        <w:t>niniejsz</w:t>
      </w:r>
      <w:r>
        <w:rPr>
          <w:b/>
          <w:color w:val="000000" w:themeColor="text1"/>
        </w:rPr>
        <w:t>ym</w:t>
      </w:r>
      <w:r w:rsidRPr="006E26C3">
        <w:rPr>
          <w:b/>
          <w:color w:val="000000" w:themeColor="text1"/>
        </w:rPr>
        <w:t xml:space="preserve"> badani</w:t>
      </w:r>
      <w:r>
        <w:rPr>
          <w:b/>
          <w:color w:val="000000" w:themeColor="text1"/>
        </w:rPr>
        <w:t xml:space="preserve">u, </w:t>
      </w:r>
      <w:r w:rsidRPr="006E26C3">
        <w:rPr>
          <w:color w:val="000000" w:themeColor="text1"/>
        </w:rPr>
        <w:t xml:space="preserve">skierowanego do mieszkańców </w:t>
      </w:r>
      <w:r>
        <w:rPr>
          <w:color w:val="000000" w:themeColor="text1"/>
        </w:rPr>
        <w:t xml:space="preserve">wybranych </w:t>
      </w:r>
      <w:r w:rsidRPr="006E26C3">
        <w:rPr>
          <w:color w:val="000000" w:themeColor="text1"/>
        </w:rPr>
        <w:t>20 miast</w:t>
      </w:r>
      <w:r w:rsidR="00D4305F">
        <w:rPr>
          <w:color w:val="000000" w:themeColor="text1"/>
        </w:rPr>
        <w:t xml:space="preserve"> Polski</w:t>
      </w:r>
      <w:r w:rsidRPr="006E26C3">
        <w:rPr>
          <w:b/>
          <w:color w:val="000000" w:themeColor="text1"/>
        </w:rPr>
        <w:t>.</w:t>
      </w:r>
      <w:r w:rsidRPr="006E26C3">
        <w:rPr>
          <w:color w:val="000000" w:themeColor="text1"/>
        </w:rPr>
        <w:t xml:space="preserve"> </w:t>
      </w:r>
    </w:p>
    <w:p w14:paraId="779022D3" w14:textId="5D3BC12A" w:rsidR="00D471AB" w:rsidRDefault="00D471AB" w:rsidP="00D471AB">
      <w:pPr>
        <w:pStyle w:val="Legenda"/>
      </w:pPr>
      <w:bookmarkStart w:id="81" w:name="_Ref528928911"/>
      <w:bookmarkStart w:id="82" w:name="_Toc27125383"/>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5</w:t>
      </w:r>
      <w:r w:rsidR="003C20BE">
        <w:rPr>
          <w:noProof/>
        </w:rPr>
        <w:fldChar w:fldCharType="end"/>
      </w:r>
      <w:bookmarkEnd w:id="81"/>
      <w:r>
        <w:t>. Wyniki badania metodą uporządkowanej regresji logistycznej – cała próba (n = 916) na tle średniej oceny jakości cząstkowych</w:t>
      </w:r>
      <w:bookmarkEnd w:id="82"/>
    </w:p>
    <w:p w14:paraId="6F94FD46" w14:textId="55E426CE" w:rsidR="00D471AB" w:rsidRDefault="00D471AB" w:rsidP="00D471AB">
      <w:r>
        <w:rPr>
          <w:noProof/>
          <w:lang w:eastAsia="pl-PL"/>
        </w:rPr>
        <w:drawing>
          <wp:inline distT="0" distB="0" distL="0" distR="0" wp14:anchorId="41C553C0" wp14:editId="022436F0">
            <wp:extent cx="5715000" cy="3895725"/>
            <wp:effectExtent l="0" t="0" r="0" b="0"/>
            <wp:docPr id="14" name="Wykres 14" descr="Wyniki badania metodą uporządkowanej regresji logistycznej – cała próba (n = 916) na tle średniej oceny jakości cząstkowych. Model uporządkowanej regresji logistycznej dla całej populacji (por. Rysunek 5) zawierający wyłącznie jakości cząstkowe o poziomie istotności statystycznej α &lt; 0,1 wskazał, że do najważniejszych determinant ogólnej oceny jakości przez pasażerów należały kolejno bezpieczeństwo podróży, częstotliwość kursowania i przebieg tras. Elementy te cechowały się oceną pasażerów na poziomie średnim (ok. 3,7 w pięciostopniowej skali), a zatem ich duża rola nie była związana ze szczególnym niezadowoleniem. Wskazywały one, że najważniejsze determinanty satysfakcji pasażerów były niezależne od programów POIiŚ i mają charakter pozainwestycyjny, związany z ofertą – a zatem może się okazać, że efekt netto inwestycji POIiŚ będzie względnie mały w porównaniu z efektem działań pozainwestycyjnych, zwłaszcza związanych z zarządzaniem siecią komunikacyjną.">
              <a:extLst xmlns:a="http://schemas.openxmlformats.org/drawingml/2006/main">
                <a:ext uri="{FF2B5EF4-FFF2-40B4-BE49-F238E27FC236}">
                  <a16:creationId xmlns:a16="http://schemas.microsoft.com/office/drawing/2014/main" id="{5076A5F6-60FF-4148-B7F3-4B9AF2127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B180C2" w14:textId="775F3326" w:rsidR="0057270A" w:rsidRDefault="0057270A" w:rsidP="00DE4EAE">
      <w:pPr>
        <w:pStyle w:val="rdo"/>
      </w:pPr>
      <w:r>
        <w:t>Źródło: opracowanie własne.</w:t>
      </w:r>
    </w:p>
    <w:p w14:paraId="4A5FD2C2" w14:textId="62B3430C" w:rsidR="006E26C3" w:rsidRDefault="006E26C3" w:rsidP="006E26C3">
      <w:r w:rsidRPr="006E26C3">
        <w:t>Trudności powod</w:t>
      </w:r>
      <w:r w:rsidR="000F62CE">
        <w:t>owało</w:t>
      </w:r>
      <w:r w:rsidRPr="006E26C3">
        <w:t xml:space="preserve"> również powiązanie zmian z efektami projektów POIiŚ</w:t>
      </w:r>
      <w:r>
        <w:t xml:space="preserve"> – o ile </w:t>
      </w:r>
      <w:r w:rsidR="000F62CE">
        <w:t xml:space="preserve">było </w:t>
      </w:r>
      <w:r>
        <w:t xml:space="preserve">wiadomo, że nie wpływają one na częstotliwość czy ceny biletów, o tyle w przypadku innych parametrów takich jak lokalizacja przystanków, wygoda, czy dostosowanie taboru do potrzeb osób niepełnosprawnych trudno </w:t>
      </w:r>
      <w:r w:rsidR="000F62CE">
        <w:t xml:space="preserve">było </w:t>
      </w:r>
      <w:r>
        <w:t xml:space="preserve">wydzielić bezpośrednie oddziaływanie konkretnych inwestycji. Stąd </w:t>
      </w:r>
      <w:r w:rsidRPr="00C61DCD">
        <w:rPr>
          <w:b/>
        </w:rPr>
        <w:t>metoda ta może być stosowana do analizowania oddziaływania programu jedynie pomocniczo,</w:t>
      </w:r>
      <w:r>
        <w:t xml:space="preserve"> jest natomiast bardzo przydatna przy zarządzaniu działaniami komplementarnymi, a w szczególności – przy formułowaniu kryteriów wyboru projektów do przyszłych interwencji.</w:t>
      </w:r>
    </w:p>
    <w:p w14:paraId="707E3D69" w14:textId="4F14523B" w:rsidR="00C44352" w:rsidRDefault="00505691" w:rsidP="00F06D0A">
      <w:pPr>
        <w:pStyle w:val="Nagwek2"/>
      </w:pPr>
      <w:bookmarkStart w:id="83" w:name="_Toc27125337"/>
      <w:r>
        <w:t>Zebrany materiał</w:t>
      </w:r>
      <w:bookmarkEnd w:id="83"/>
    </w:p>
    <w:p w14:paraId="005D4394" w14:textId="58A4BE41" w:rsidR="00BA71A3" w:rsidRPr="00BA71A3" w:rsidRDefault="00E50697" w:rsidP="00BA71A3">
      <w:pPr>
        <w:pStyle w:val="Nagwek3"/>
      </w:pPr>
      <w:bookmarkStart w:id="84" w:name="_Toc27125338"/>
      <w:r>
        <w:t>Analiza danych zastanych</w:t>
      </w:r>
      <w:bookmarkEnd w:id="84"/>
    </w:p>
    <w:p w14:paraId="5A06AD6B" w14:textId="7B29C1B0" w:rsidR="001825DD" w:rsidRDefault="001825DD" w:rsidP="001825DD">
      <w:pPr>
        <w:pStyle w:val="Podtytu"/>
        <w:rPr>
          <w:rFonts w:eastAsia="Lora"/>
        </w:rPr>
      </w:pPr>
      <w:r>
        <w:rPr>
          <w:rFonts w:eastAsia="Lora"/>
        </w:rPr>
        <w:t>interwencja poiiś 2014-2020</w:t>
      </w:r>
    </w:p>
    <w:p w14:paraId="672C5465" w14:textId="3F7D185E" w:rsidR="00BA71A3" w:rsidRDefault="00BA71A3" w:rsidP="00BA71A3">
      <w:pPr>
        <w:keepNext/>
        <w:rPr>
          <w:rFonts w:ascii="Lora" w:eastAsia="Lora" w:hAnsi="Lora" w:cs="Times New Roman"/>
          <w:iCs/>
          <w:color w:val="000000"/>
          <w:szCs w:val="18"/>
        </w:rPr>
      </w:pPr>
      <w:r>
        <w:rPr>
          <w:rFonts w:ascii="Lora" w:eastAsia="Lora" w:hAnsi="Lora" w:cs="Times New Roman"/>
          <w:iCs/>
          <w:color w:val="000000"/>
          <w:szCs w:val="18"/>
        </w:rPr>
        <w:t xml:space="preserve">Interwencje POIiŚ 2014-2020 zaplanowano adekwatnie do wielkości ośrodków, w których </w:t>
      </w:r>
      <w:r w:rsidR="00DA5622">
        <w:rPr>
          <w:rFonts w:ascii="Lora" w:eastAsia="Lora" w:hAnsi="Lora" w:cs="Times New Roman"/>
          <w:iCs/>
          <w:color w:val="000000"/>
          <w:szCs w:val="18"/>
        </w:rPr>
        <w:t>są one realizowane</w:t>
      </w:r>
      <w:r>
        <w:rPr>
          <w:rFonts w:ascii="Lora" w:eastAsia="Lora" w:hAnsi="Lora" w:cs="Times New Roman"/>
          <w:iCs/>
          <w:color w:val="000000"/>
          <w:szCs w:val="18"/>
        </w:rPr>
        <w:t xml:space="preserve">. Liczbę prowadzonych projektów wraz z ich szacunkową wartością dla </w:t>
      </w:r>
      <w:r>
        <w:rPr>
          <w:rFonts w:ascii="Lora" w:eastAsia="Lora" w:hAnsi="Lora" w:cs="Times New Roman"/>
          <w:iCs/>
          <w:color w:val="000000"/>
          <w:szCs w:val="18"/>
        </w:rPr>
        <w:lastRenderedPageBreak/>
        <w:t xml:space="preserve">poszczególnych miast i ich obszarów funkcjonalnych przedstawia </w:t>
      </w:r>
      <w:r w:rsidR="003865EA">
        <w:rPr>
          <w:rFonts w:ascii="Lora" w:eastAsia="Lora" w:hAnsi="Lora" w:cs="Times New Roman"/>
          <w:iCs/>
          <w:color w:val="000000"/>
          <w:szCs w:val="18"/>
        </w:rPr>
        <w:fldChar w:fldCharType="begin"/>
      </w:r>
      <w:r w:rsidR="003865EA">
        <w:rPr>
          <w:rFonts w:ascii="Lora" w:eastAsia="Lora" w:hAnsi="Lora" w:cs="Times New Roman"/>
          <w:iCs/>
          <w:color w:val="000000"/>
          <w:szCs w:val="18"/>
        </w:rPr>
        <w:instrText xml:space="preserve"> REF _Ref25249131 \h </w:instrText>
      </w:r>
      <w:r w:rsidR="003865EA">
        <w:rPr>
          <w:rFonts w:ascii="Lora" w:eastAsia="Lora" w:hAnsi="Lora" w:cs="Times New Roman"/>
          <w:iCs/>
          <w:color w:val="000000"/>
          <w:szCs w:val="18"/>
        </w:rPr>
      </w:r>
      <w:r w:rsidR="003865EA">
        <w:rPr>
          <w:rFonts w:ascii="Lora" w:eastAsia="Lora" w:hAnsi="Lora" w:cs="Times New Roman"/>
          <w:iCs/>
          <w:color w:val="000000"/>
          <w:szCs w:val="18"/>
        </w:rPr>
        <w:fldChar w:fldCharType="separate"/>
      </w:r>
      <w:r w:rsidR="00C93FD7">
        <w:t xml:space="preserve">Rysunek </w:t>
      </w:r>
      <w:r w:rsidR="00C93FD7">
        <w:rPr>
          <w:noProof/>
        </w:rPr>
        <w:t>6</w:t>
      </w:r>
      <w:r w:rsidR="003865EA">
        <w:rPr>
          <w:rFonts w:ascii="Lora" w:eastAsia="Lora" w:hAnsi="Lora" w:cs="Times New Roman"/>
          <w:iCs/>
          <w:color w:val="000000"/>
          <w:szCs w:val="18"/>
        </w:rPr>
        <w:fldChar w:fldCharType="end"/>
      </w:r>
      <w:r w:rsidRPr="005F6C99">
        <w:t xml:space="preserve">. </w:t>
      </w:r>
      <w:r>
        <w:rPr>
          <w:rFonts w:ascii="Lora" w:eastAsia="Lora" w:hAnsi="Lora" w:cs="Times New Roman"/>
          <w:iCs/>
          <w:color w:val="000000"/>
          <w:szCs w:val="18"/>
        </w:rPr>
        <w:t xml:space="preserve">Pod względem wartości największe projekty realizowane są w Warszawie (łączna wartość prawie 9 mld zł), a pod względem liczby projektów </w:t>
      </w:r>
      <w:r w:rsidR="00F97893">
        <w:rPr>
          <w:rFonts w:ascii="Lora" w:eastAsia="Lora" w:hAnsi="Lora" w:cs="Times New Roman"/>
          <w:iCs/>
          <w:color w:val="000000"/>
          <w:szCs w:val="18"/>
        </w:rPr>
        <w:t xml:space="preserve">– </w:t>
      </w:r>
      <w:r>
        <w:rPr>
          <w:rFonts w:ascii="Lora" w:eastAsia="Lora" w:hAnsi="Lora" w:cs="Times New Roman"/>
          <w:iCs/>
          <w:color w:val="000000"/>
          <w:szCs w:val="18"/>
        </w:rPr>
        <w:t>na terenie Górnośląsko-Zagłębiowskiej Metropolii (8 projektów + Jaworzno)</w:t>
      </w:r>
      <w:r w:rsidR="00297D1B">
        <w:rPr>
          <w:rFonts w:ascii="Lora" w:eastAsia="Lora" w:hAnsi="Lora" w:cs="Times New Roman"/>
          <w:iCs/>
          <w:color w:val="000000"/>
          <w:szCs w:val="18"/>
        </w:rPr>
        <w:t>, co odpowiada roli i specyfice tych ośrodków</w:t>
      </w:r>
      <w:r>
        <w:rPr>
          <w:rFonts w:ascii="Lora" w:eastAsia="Lora" w:hAnsi="Lora" w:cs="Times New Roman"/>
          <w:iCs/>
          <w:color w:val="000000"/>
          <w:szCs w:val="18"/>
        </w:rPr>
        <w:t>. Sumaryczna wartość wszystkich projektów POIiŚ 2014-2020 wynosi 17,2 mld zł.</w:t>
      </w:r>
    </w:p>
    <w:p w14:paraId="6819FD17" w14:textId="22A1EA8F" w:rsidR="004C5F93" w:rsidRDefault="004C5F93" w:rsidP="004C5F93">
      <w:pPr>
        <w:pStyle w:val="Legenda"/>
      </w:pPr>
      <w:bookmarkStart w:id="85" w:name="_Ref25249131"/>
      <w:bookmarkStart w:id="86" w:name="_Toc27125384"/>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6</w:t>
      </w:r>
      <w:r w:rsidR="003C20BE">
        <w:rPr>
          <w:noProof/>
        </w:rPr>
        <w:fldChar w:fldCharType="end"/>
      </w:r>
      <w:bookmarkEnd w:id="85"/>
      <w:r>
        <w:t xml:space="preserve">. </w:t>
      </w:r>
      <w:r w:rsidRPr="004C5F93">
        <w:t>Lokalizacja inwestycji POIiŚ 2014-2020 w miastach Polski, wraz z liczbą i wartością dofinansowanych projektów.</w:t>
      </w:r>
      <w:bookmarkEnd w:id="86"/>
    </w:p>
    <w:p w14:paraId="043ACAEF" w14:textId="77777777" w:rsidR="00BA71A3" w:rsidRDefault="00BA71A3" w:rsidP="00BA71A3">
      <w:pPr>
        <w:jc w:val="center"/>
        <w:rPr>
          <w:rFonts w:ascii="Lora" w:eastAsia="Lora" w:hAnsi="Lora" w:cs="Times New Roman"/>
          <w:sz w:val="22"/>
        </w:rPr>
      </w:pPr>
      <w:r w:rsidRPr="007966FB">
        <w:rPr>
          <w:noProof/>
          <w:lang w:eastAsia="pl-PL"/>
        </w:rPr>
        <w:drawing>
          <wp:inline distT="0" distB="0" distL="0" distR="0" wp14:anchorId="1741551F" wp14:editId="0EA17945">
            <wp:extent cx="4910014" cy="5670720"/>
            <wp:effectExtent l="0" t="0" r="5080" b="6350"/>
            <wp:docPr id="25" name="Obraz 5" descr="Kontur Polski, granic województw i podstawowej sieci drogowej Polski wraz z zaznaczonymi jednostkami miejskimi, w których realizowane są projekty VI osi priorytetowej POIiŚ 2014-2020. W zależności od jednostki realizowanych jest od 1 do 8 projektów o wartości klasyfikowanej w 5 grupach: do 100 mln zł, między 101 a 500 mln zł, między 0,5 a 1 mld zł, między 1,1 a 5 mld zł i 5,1 a 9 mld zł.">
              <a:extLst xmlns:a="http://schemas.openxmlformats.org/drawingml/2006/main">
                <a:ext uri="{FF2B5EF4-FFF2-40B4-BE49-F238E27FC236}">
                  <a16:creationId xmlns:a16="http://schemas.microsoft.com/office/drawing/2014/main" id="{9795A99A-1750-4C47-87D8-805DBD06A8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5">
                      <a:extLst>
                        <a:ext uri="{FF2B5EF4-FFF2-40B4-BE49-F238E27FC236}">
                          <a16:creationId xmlns:a16="http://schemas.microsoft.com/office/drawing/2014/main" id="{9795A99A-1750-4C47-87D8-805DBD06A812}"/>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594" t="1899" r="1367" b="1955"/>
                    <a:stretch/>
                  </pic:blipFill>
                  <pic:spPr>
                    <a:xfrm>
                      <a:off x="0" y="0"/>
                      <a:ext cx="4921263" cy="5683712"/>
                    </a:xfrm>
                    <a:prstGeom prst="rect">
                      <a:avLst/>
                    </a:prstGeom>
                  </pic:spPr>
                </pic:pic>
              </a:graphicData>
            </a:graphic>
          </wp:inline>
        </w:drawing>
      </w:r>
    </w:p>
    <w:p w14:paraId="5E87EEC4" w14:textId="06EB42A3" w:rsidR="00BA71A3" w:rsidRPr="00EB7270" w:rsidRDefault="00BA71A3" w:rsidP="00BA71A3">
      <w:pPr>
        <w:spacing w:before="0" w:after="120"/>
        <w:rPr>
          <w:rFonts w:ascii="Lora" w:eastAsia="Calibri" w:hAnsi="Lora" w:cs="Times New Roman"/>
          <w:bCs/>
          <w:color w:val="000000"/>
          <w:szCs w:val="18"/>
        </w:rPr>
      </w:pPr>
      <w:r w:rsidRPr="00A81707">
        <w:rPr>
          <w:rFonts w:ascii="Lora" w:eastAsia="Calibri" w:hAnsi="Lora" w:cs="Times New Roman"/>
          <w:bCs/>
          <w:color w:val="000000"/>
          <w:szCs w:val="18"/>
        </w:rPr>
        <w:t>Analizując prowadzone inwestycje</w:t>
      </w:r>
      <w:r>
        <w:rPr>
          <w:rFonts w:ascii="Lora" w:eastAsia="Calibri" w:hAnsi="Lora" w:cs="Times New Roman"/>
          <w:bCs/>
          <w:color w:val="000000"/>
          <w:szCs w:val="18"/>
        </w:rPr>
        <w:t xml:space="preserve"> pod względem kierunku udzielanego wsparcia należy zwrócić uwagę, że ponad połowę środków przeznacza się na rozwój i modernizację infrastruktury, mniej niż połowę na nowy tabor oraz około 9% na inteligentne systemy transportowe oraz ich elementy wdrażane przy budowie infrastruktury lub </w:t>
      </w:r>
      <w:r w:rsidRPr="002C0DA5">
        <w:t xml:space="preserve">zakupie taboru (por. </w:t>
      </w:r>
      <w:r w:rsidR="00730501">
        <w:fldChar w:fldCharType="begin"/>
      </w:r>
      <w:r w:rsidR="00730501">
        <w:instrText xml:space="preserve"> REF _Ref25250039 \h </w:instrText>
      </w:r>
      <w:r w:rsidR="00730501">
        <w:fldChar w:fldCharType="separate"/>
      </w:r>
      <w:r w:rsidR="00C93FD7">
        <w:t xml:space="preserve">Rysunek </w:t>
      </w:r>
      <w:r w:rsidR="00C93FD7">
        <w:rPr>
          <w:noProof/>
        </w:rPr>
        <w:t>7</w:t>
      </w:r>
      <w:r w:rsidR="00730501">
        <w:fldChar w:fldCharType="end"/>
      </w:r>
      <w:r w:rsidR="00730501">
        <w:t>)</w:t>
      </w:r>
      <w:r w:rsidRPr="002C0DA5">
        <w:t>.</w:t>
      </w:r>
    </w:p>
    <w:p w14:paraId="7CBB6565" w14:textId="1BB1422E" w:rsidR="004C5F93" w:rsidRDefault="004C5F93" w:rsidP="004C5F93">
      <w:pPr>
        <w:pStyle w:val="Legenda"/>
      </w:pPr>
      <w:bookmarkStart w:id="87" w:name="_Ref25250039"/>
      <w:bookmarkStart w:id="88" w:name="_Ref25064442"/>
      <w:bookmarkStart w:id="89" w:name="_Toc27125385"/>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7</w:t>
      </w:r>
      <w:r w:rsidR="003C20BE">
        <w:rPr>
          <w:noProof/>
        </w:rPr>
        <w:fldChar w:fldCharType="end"/>
      </w:r>
      <w:bookmarkEnd w:id="87"/>
      <w:r>
        <w:t xml:space="preserve">. </w:t>
      </w:r>
      <w:r w:rsidRPr="004C5F93">
        <w:t>Podział inwestycji POIiŚ 2014-2020 między tabor, infrastrukturę i rozwiązania ITS, według szacowanej całkowitej wartości projektów.</w:t>
      </w:r>
      <w:bookmarkEnd w:id="89"/>
    </w:p>
    <w:bookmarkEnd w:id="88"/>
    <w:p w14:paraId="6516F5F9" w14:textId="77777777" w:rsidR="00BA71A3" w:rsidRDefault="00BA71A3" w:rsidP="00BA71A3">
      <w:pPr>
        <w:rPr>
          <w:rFonts w:ascii="Lora" w:eastAsia="Lora" w:hAnsi="Lora" w:cs="Times New Roman"/>
          <w:szCs w:val="20"/>
        </w:rPr>
      </w:pPr>
      <w:r w:rsidRPr="00DE4EAE">
        <w:rPr>
          <w:rFonts w:asciiTheme="majorHAnsi" w:hAnsiTheme="majorHAnsi"/>
          <w:noProof/>
          <w:lang w:eastAsia="pl-PL"/>
        </w:rPr>
        <w:drawing>
          <wp:inline distT="0" distB="0" distL="0" distR="0" wp14:anchorId="6F8F76EE" wp14:editId="1BC7A408">
            <wp:extent cx="5039995" cy="1837426"/>
            <wp:effectExtent l="0" t="0" r="8255" b="0"/>
            <wp:docPr id="7" name="Wykres 7" descr="Wykres kołowy przedstawiający podział szacowanej całkowitej wartości projektów między tabor, infrastrukturę i rozwiązania ITS. Najwięcej środków przeznacza się na infrastrukturę: 54%, następnie na tabor: 37%, a pozostałe na rozwiązania ITS: 9%.">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CE74A04" w14:textId="0749114D" w:rsidR="00BA71A3" w:rsidRDefault="00BA71A3" w:rsidP="00BA71A3">
      <w:pPr>
        <w:keepNext/>
        <w:rPr>
          <w:rFonts w:ascii="Lora" w:eastAsia="Lora" w:hAnsi="Lora" w:cs="Times New Roman"/>
          <w:iCs/>
          <w:color w:val="000000"/>
          <w:szCs w:val="18"/>
        </w:rPr>
      </w:pPr>
      <w:r w:rsidRPr="00AA4E6C">
        <w:rPr>
          <w:rFonts w:ascii="Lora" w:eastAsia="Lora" w:hAnsi="Lora" w:cs="Times New Roman"/>
          <w:iCs/>
          <w:color w:val="000000"/>
          <w:szCs w:val="18"/>
        </w:rPr>
        <w:t>Poło</w:t>
      </w:r>
      <w:r>
        <w:rPr>
          <w:rFonts w:ascii="Lora" w:eastAsia="Lora" w:hAnsi="Lora" w:cs="Times New Roman"/>
          <w:iCs/>
          <w:color w:val="000000"/>
          <w:szCs w:val="18"/>
        </w:rPr>
        <w:t xml:space="preserve">wa </w:t>
      </w:r>
      <w:r w:rsidR="00297D1B">
        <w:rPr>
          <w:rFonts w:ascii="Lora" w:eastAsia="Lora" w:hAnsi="Lora" w:cs="Times New Roman"/>
          <w:iCs/>
          <w:color w:val="000000"/>
          <w:szCs w:val="18"/>
        </w:rPr>
        <w:t xml:space="preserve">środków </w:t>
      </w:r>
      <w:r>
        <w:rPr>
          <w:rFonts w:ascii="Lora" w:eastAsia="Lora" w:hAnsi="Lora" w:cs="Times New Roman"/>
          <w:iCs/>
          <w:color w:val="000000"/>
          <w:szCs w:val="18"/>
        </w:rPr>
        <w:t xml:space="preserve">POIiŚ 2014-2020 </w:t>
      </w:r>
      <w:r w:rsidR="00297D1B">
        <w:rPr>
          <w:rFonts w:ascii="Lora" w:eastAsia="Lora" w:hAnsi="Lora" w:cs="Times New Roman"/>
          <w:iCs/>
          <w:color w:val="000000"/>
          <w:szCs w:val="18"/>
        </w:rPr>
        <w:t xml:space="preserve">ukierunkowana </w:t>
      </w:r>
      <w:r>
        <w:rPr>
          <w:rFonts w:ascii="Lora" w:eastAsia="Lora" w:hAnsi="Lora" w:cs="Times New Roman"/>
          <w:iCs/>
          <w:color w:val="000000"/>
          <w:szCs w:val="18"/>
        </w:rPr>
        <w:t>jest na komunikację tramwajową. Duży udział w</w:t>
      </w:r>
      <w:r w:rsidR="00206A6A">
        <w:rPr>
          <w:rFonts w:ascii="Lora" w:eastAsia="Lora" w:hAnsi="Lora" w:cs="Times New Roman"/>
          <w:iCs/>
          <w:color w:val="000000"/>
          <w:szCs w:val="18"/>
        </w:rPr>
        <w:t> </w:t>
      </w:r>
      <w:r>
        <w:rPr>
          <w:rFonts w:ascii="Lora" w:eastAsia="Lora" w:hAnsi="Lora" w:cs="Times New Roman"/>
          <w:iCs/>
          <w:color w:val="000000"/>
          <w:szCs w:val="18"/>
        </w:rPr>
        <w:t xml:space="preserve">inwestycjach ma też warszawskie metro (39%). Pozostałe środki przeznaczono na komunikację autobusową, budowę lub modernizację węzłów przesiadkowych i systemów dynamicznej informacji </w:t>
      </w:r>
      <w:r w:rsidRPr="00D43957">
        <w:t xml:space="preserve">pasażerskiej (por. </w:t>
      </w:r>
      <w:r w:rsidR="003865EA">
        <w:fldChar w:fldCharType="begin"/>
      </w:r>
      <w:r w:rsidR="003865EA">
        <w:instrText xml:space="preserve"> REF _Ref25249132 \h </w:instrText>
      </w:r>
      <w:r w:rsidR="003865EA">
        <w:fldChar w:fldCharType="separate"/>
      </w:r>
      <w:r w:rsidR="00C93FD7">
        <w:t xml:space="preserve">Rysunek </w:t>
      </w:r>
      <w:r w:rsidR="00C93FD7">
        <w:rPr>
          <w:noProof/>
        </w:rPr>
        <w:t>8</w:t>
      </w:r>
      <w:r w:rsidR="003865EA">
        <w:fldChar w:fldCharType="end"/>
      </w:r>
      <w:r w:rsidRPr="00D43957">
        <w:t>).</w:t>
      </w:r>
      <w:r>
        <w:rPr>
          <w:rFonts w:ascii="Lora" w:eastAsia="Lora" w:hAnsi="Lora" w:cs="Times New Roman"/>
          <w:iCs/>
          <w:color w:val="000000"/>
          <w:szCs w:val="18"/>
        </w:rPr>
        <w:t xml:space="preserve"> </w:t>
      </w:r>
    </w:p>
    <w:p w14:paraId="4C9EF79E" w14:textId="10908770" w:rsidR="004C5F93" w:rsidRDefault="004C5F93" w:rsidP="004C5F93">
      <w:pPr>
        <w:pStyle w:val="Legenda"/>
      </w:pPr>
      <w:bookmarkStart w:id="90" w:name="_Ref25249132"/>
      <w:bookmarkStart w:id="91" w:name="_Toc27125386"/>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8</w:t>
      </w:r>
      <w:r w:rsidR="003C20BE">
        <w:rPr>
          <w:noProof/>
        </w:rPr>
        <w:fldChar w:fldCharType="end"/>
      </w:r>
      <w:bookmarkEnd w:id="90"/>
      <w:r>
        <w:t xml:space="preserve">. </w:t>
      </w:r>
      <w:r w:rsidRPr="004C5F93">
        <w:t>Podział inwestycji POIiŚ 2014-2020 między środki transportu oraz infrastrukturę multimodalną, według szacowanej całkowitej wartości projektów [mln zł].</w:t>
      </w:r>
      <w:bookmarkEnd w:id="91"/>
    </w:p>
    <w:p w14:paraId="38C63EB8" w14:textId="77777777" w:rsidR="00BA71A3" w:rsidRDefault="00BA71A3" w:rsidP="00BA71A3">
      <w:pPr>
        <w:rPr>
          <w:rFonts w:ascii="Lora" w:eastAsia="Lora" w:hAnsi="Lora" w:cs="Times New Roman"/>
          <w:szCs w:val="20"/>
        </w:rPr>
      </w:pPr>
      <w:r w:rsidRPr="007966FB">
        <w:rPr>
          <w:noProof/>
          <w:lang w:eastAsia="pl-PL"/>
        </w:rPr>
        <w:drawing>
          <wp:inline distT="0" distB="0" distL="0" distR="0" wp14:anchorId="3D735A4E" wp14:editId="2CE2187D">
            <wp:extent cx="5760085" cy="2001328"/>
            <wp:effectExtent l="0" t="0" r="0" b="0"/>
            <wp:docPr id="8" name="Wykres 8" descr="Wykres przedstawiający podział środków inwestycji POIiŚ 2014-2020 pomiędzy poszczególne gałęzie transportu, węzły przesiadkowe i projekt SDIP. Prawie 9 mld zł przeznaczonych zostaje na transport tramwajowy, prawie 7 mld zł na metro, 1,35 mld zł na autobusy, na węzły przesiadkowe 313 mln zł oraz 43 mln zł na system dynamicznej informacji pasażerskiej.">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03C8D3" w14:textId="77777777" w:rsidR="001825DD" w:rsidRPr="00B30F99" w:rsidRDefault="001825DD" w:rsidP="001825DD">
      <w:pPr>
        <w:pStyle w:val="Podtytu"/>
        <w:rPr>
          <w:rFonts w:eastAsia="Lora"/>
        </w:rPr>
      </w:pPr>
      <w:r>
        <w:rPr>
          <w:rFonts w:eastAsia="Lora"/>
        </w:rPr>
        <w:t>STUDIA WYKONALNOŚCI</w:t>
      </w:r>
    </w:p>
    <w:p w14:paraId="443C46C8" w14:textId="77777777" w:rsidR="001825DD" w:rsidRDefault="001825DD" w:rsidP="001825DD">
      <w:pPr>
        <w:rPr>
          <w:rFonts w:ascii="Lora" w:hAnsi="Lora"/>
        </w:rPr>
      </w:pPr>
      <w:r>
        <w:rPr>
          <w:rFonts w:ascii="Lora" w:hAnsi="Lora"/>
        </w:rPr>
        <w:t>Z analizy studiów wykonalności projektów POIiŚ 2014-2020 wynika, że modernizacje sieci tramwajowej to często wieloetapowe projekty składające się z wielu odcinków. Oprócz samych torowisk modernizowana jest sieć trakcyjna, podstacje trakcyjne, przystanki i pętle, zaplecza techniczne, przebudowywane są układy drogowe, a nawet budowane miejsca parkingowe i drogi dla rowerów. W projektach zwraca się też uwagę na uprzywilejowanie transportu zbiorowego w ruchu drogowym, poprzez budowę buspasów, wydzielonych torowisk, wspólnych pasów dla transportu publicznego oraz śluz autobusowych na wlotach skrzyżowań. W przypadku metra projekty obejmują budowę nowych stacji, torów szlakowych i odstawczych oraz wentylatorni.</w:t>
      </w:r>
    </w:p>
    <w:p w14:paraId="57743182" w14:textId="77777777" w:rsidR="001825DD" w:rsidRDefault="001825DD" w:rsidP="001825DD">
      <w:pPr>
        <w:rPr>
          <w:rFonts w:ascii="Lora" w:hAnsi="Lora"/>
        </w:rPr>
      </w:pPr>
      <w:r>
        <w:rPr>
          <w:rFonts w:ascii="Lora" w:hAnsi="Lora"/>
        </w:rPr>
        <w:t xml:space="preserve">Projekty ukierunkowane na węzły przesiadkowe obejmują infrastrukturę transportu publicznego, dworcową, pieszo-rowerową, drogową, w tym parkingi </w:t>
      </w:r>
      <w:r w:rsidRPr="00307E9E">
        <w:rPr>
          <w:rFonts w:ascii="Lora" w:hAnsi="Lora"/>
          <w:i/>
        </w:rPr>
        <w:t>P&amp;R</w:t>
      </w:r>
      <w:r>
        <w:rPr>
          <w:rFonts w:ascii="Lora" w:hAnsi="Lora"/>
        </w:rPr>
        <w:t xml:space="preserve"> oraz montaż niezbędnego wyposażenia, w tym rozwiązań ITS.</w:t>
      </w:r>
    </w:p>
    <w:p w14:paraId="1F9C33AD" w14:textId="77777777" w:rsidR="001825DD" w:rsidRDefault="001825DD" w:rsidP="001825DD">
      <w:pPr>
        <w:rPr>
          <w:rFonts w:ascii="Lora" w:hAnsi="Lora"/>
        </w:rPr>
      </w:pPr>
      <w:r>
        <w:rPr>
          <w:rFonts w:ascii="Lora" w:hAnsi="Lora"/>
        </w:rPr>
        <w:t xml:space="preserve">W przypadku taboru w projektach kluczowy jest zakup pojazdów niskopodłogowych, a dodatkowo w przypadku autobusów – niskoemisyjnych lub zeroemisyjnych wraz z infrastrukturą ładującą. </w:t>
      </w:r>
      <w:r>
        <w:rPr>
          <w:rFonts w:ascii="Lora" w:hAnsi="Lora"/>
        </w:rPr>
        <w:lastRenderedPageBreak/>
        <w:t>W studium wykonalności projektu w Świnoujściu wskazuje się, że zakup autobusów pozwoli na rozwój ilościowy floty pojazdów dostępnych w tym mieście. Wraz z nowym taborem zamawia się specjalistyczne narzędzia do naprawy i wymiany podzespołów, pojazdy techniczne i zestawy komputerowe do diagnostyki pojazdów.</w:t>
      </w:r>
    </w:p>
    <w:p w14:paraId="46773975" w14:textId="1EEC0A19" w:rsidR="001825DD" w:rsidRDefault="001825DD" w:rsidP="001825DD">
      <w:pPr>
        <w:rPr>
          <w:rFonts w:ascii="Lora" w:hAnsi="Lora"/>
        </w:rPr>
      </w:pPr>
      <w:r>
        <w:rPr>
          <w:rFonts w:ascii="Lora" w:hAnsi="Lora"/>
        </w:rPr>
        <w:t xml:space="preserve">Wszystkie projekty infrastrukturalne i taborowe zawierają w sobie rozwój lub instalacje nowych rozwiązań ITS. W wielu miastach na budowanych lub modernizowanych korytarzach rozbudowuje się systemy informacji pasażerskiej, poprzez instalację tablic na kolejnych przystankach. Nowy SIP powstanie w Gorzowie Wielkopolskim. Podobnie rozwijane są systemy sterowania ruchem (SSR), dzięki włączaniu do pracy systemowej kolejnych sterowników sygnalizacji świetlnej. Nowy SSR powstanie w Opolu. Rozbudowie podlegają też systemy zarządzania transportem publicznym, </w:t>
      </w:r>
      <w:r w:rsidR="00953805">
        <w:rPr>
          <w:rFonts w:ascii="Lora" w:hAnsi="Lora"/>
        </w:rPr>
        <w:t xml:space="preserve">flotą pojazdów, </w:t>
      </w:r>
      <w:r>
        <w:rPr>
          <w:rFonts w:ascii="Lora" w:hAnsi="Lora"/>
        </w:rPr>
        <w:t>elektroniczn</w:t>
      </w:r>
      <w:r w:rsidR="00953805">
        <w:rPr>
          <w:rFonts w:ascii="Lora" w:hAnsi="Lora"/>
        </w:rPr>
        <w:t>y</w:t>
      </w:r>
      <w:r>
        <w:rPr>
          <w:rFonts w:ascii="Lora" w:hAnsi="Lora"/>
        </w:rPr>
        <w:t xml:space="preserve"> bilet i monitoring wizyjn</w:t>
      </w:r>
      <w:r w:rsidR="00953805">
        <w:rPr>
          <w:rFonts w:ascii="Lora" w:hAnsi="Lora"/>
        </w:rPr>
        <w:t>y</w:t>
      </w:r>
      <w:r>
        <w:rPr>
          <w:rFonts w:ascii="Lora" w:hAnsi="Lora"/>
        </w:rPr>
        <w:t xml:space="preserve">. W ramach budowy systemów zarządzania ruchem planuje się wdrożenie m.in. inteligentnego (energooszczędnego) oświetlenia ulic, preselekcyjnego ważenia pojazdów (ochrona dróg przed pojazdami przeciążonymi), systemu tablic zmiennej treści (wskazywanie tras alternatywnych), stacji pomiaru zanieczyszczenia powietrza oraz hałasu od środków transportu czy informowania kierowców o zajętości miejsc parkingowych. </w:t>
      </w:r>
    </w:p>
    <w:p w14:paraId="66E40D86" w14:textId="7E432964" w:rsidR="001825DD" w:rsidRDefault="001825DD" w:rsidP="001825DD">
      <w:pPr>
        <w:rPr>
          <w:rFonts w:ascii="Lora" w:hAnsi="Lora"/>
        </w:rPr>
      </w:pPr>
      <w:r>
        <w:rPr>
          <w:rFonts w:ascii="Lora" w:hAnsi="Lora"/>
        </w:rPr>
        <w:t>Modernizacje tras tramwajowych mają przyczynić się do poprawy parametrów bezpieczeństwa i zmniejszenia prawdopodobieństwa wykolejenia. Na przecięciach tras tramwajowych z samochodowymi planowana jest budowa sygnalizacji ostrzegawczych poprawiających bezpieczeństwo ruchu poprzez wymuszanie obniżenia prędkości i zmniejszenie ryzyka wystąpienia wypadków. Nowa infrastruktura projektowana jest też z uwzględnieniem wydzielenia odrębnych pasów ruchu dla transportu zbiorowego. W przypadku wymiany taboru autobusowego wskazuje się, że obecne wysokie zużycie techniczne pojazdów również przyczynia się do obniżenia poziomu bezpieczeństwa podróży. Ponadto w nowych pojazdach instalowany jest monitoring, który poprawia poczucie bezpieczeństwa osobistego pasażerów. W części opracowań wskazano również o planach miast dotyczących wprowadzania i rozszerzania stref „Tempo 30” w obszarach centralnych miast, co może znacznie wpłynąć na statystyki wypadków, które będą analizowane w</w:t>
      </w:r>
      <w:r w:rsidR="005A4D92">
        <w:rPr>
          <w:rFonts w:ascii="Lora" w:hAnsi="Lora"/>
        </w:rPr>
        <w:t> </w:t>
      </w:r>
      <w:r>
        <w:rPr>
          <w:rFonts w:ascii="Lora" w:hAnsi="Lora"/>
        </w:rPr>
        <w:t xml:space="preserve">badaniu </w:t>
      </w:r>
      <w:r w:rsidRPr="00307E9E">
        <w:rPr>
          <w:rFonts w:ascii="Lora" w:hAnsi="Lora"/>
          <w:i/>
        </w:rPr>
        <w:t>ex</w:t>
      </w:r>
      <w:r w:rsidR="00760E00">
        <w:rPr>
          <w:rFonts w:ascii="Lora" w:hAnsi="Lora"/>
          <w:i/>
        </w:rPr>
        <w:t xml:space="preserve"> </w:t>
      </w:r>
      <w:r w:rsidRPr="00307E9E">
        <w:rPr>
          <w:rFonts w:ascii="Lora" w:hAnsi="Lora"/>
          <w:i/>
        </w:rPr>
        <w:t>post</w:t>
      </w:r>
      <w:r>
        <w:rPr>
          <w:rFonts w:ascii="Lora" w:hAnsi="Lora"/>
        </w:rPr>
        <w:t>.</w:t>
      </w:r>
    </w:p>
    <w:p w14:paraId="04632485" w14:textId="76525E0B" w:rsidR="001825DD" w:rsidRDefault="001825DD" w:rsidP="001825DD">
      <w:pPr>
        <w:pStyle w:val="Podtytu"/>
        <w:rPr>
          <w:rFonts w:eastAsia="Lora"/>
        </w:rPr>
      </w:pPr>
      <w:r>
        <w:rPr>
          <w:rFonts w:eastAsia="Lora"/>
        </w:rPr>
        <w:t xml:space="preserve">transport miejski w innych </w:t>
      </w:r>
      <w:r w:rsidR="00F22D22">
        <w:rPr>
          <w:rFonts w:eastAsia="Lora"/>
        </w:rPr>
        <w:t>badaniach</w:t>
      </w:r>
    </w:p>
    <w:p w14:paraId="2860E738" w14:textId="55D5C13D" w:rsidR="00BA71A3" w:rsidRPr="00B30F99" w:rsidRDefault="00BA71A3" w:rsidP="00BA71A3">
      <w:pPr>
        <w:rPr>
          <w:rFonts w:ascii="Lora" w:eastAsia="Lora" w:hAnsi="Lora" w:cs="Times New Roman"/>
          <w:szCs w:val="20"/>
        </w:rPr>
      </w:pPr>
      <w:r w:rsidRPr="00B30F99">
        <w:rPr>
          <w:rFonts w:ascii="Lora" w:eastAsia="Lora" w:hAnsi="Lora" w:cs="Times New Roman"/>
          <w:szCs w:val="20"/>
        </w:rPr>
        <w:t>Ważnym źródłem wiedzy na temat sytuacji transportu miejskiego</w:t>
      </w:r>
      <w:r w:rsidR="00297D1B">
        <w:rPr>
          <w:rFonts w:ascii="Lora" w:eastAsia="Lora" w:hAnsi="Lora" w:cs="Times New Roman"/>
          <w:szCs w:val="20"/>
        </w:rPr>
        <w:t xml:space="preserve"> przed interwencją</w:t>
      </w:r>
      <w:r w:rsidRPr="00B30F99">
        <w:rPr>
          <w:rFonts w:ascii="Lora" w:eastAsia="Lora" w:hAnsi="Lora" w:cs="Times New Roman"/>
          <w:szCs w:val="20"/>
        </w:rPr>
        <w:t xml:space="preserve"> – właśnie przez pryzmat wskaźników – jest </w:t>
      </w:r>
      <w:r w:rsidRPr="00B30F99">
        <w:rPr>
          <w:rFonts w:ascii="Lora" w:eastAsia="Lora" w:hAnsi="Lora" w:cs="Times New Roman"/>
          <w:i/>
          <w:szCs w:val="20"/>
        </w:rPr>
        <w:t>Raport o stanie komunikacji miejskiej w Polsce w latach 2009-2015</w:t>
      </w:r>
      <w:r w:rsidRPr="00B30F99">
        <w:rPr>
          <w:rFonts w:ascii="Lora" w:eastAsia="Lora" w:hAnsi="Lora" w:cs="Times New Roman"/>
          <w:szCs w:val="20"/>
        </w:rPr>
        <w:t>, wydany w</w:t>
      </w:r>
      <w:r>
        <w:rPr>
          <w:rFonts w:ascii="Lora" w:eastAsia="Lora" w:hAnsi="Lora" w:cs="Times New Roman"/>
          <w:szCs w:val="20"/>
        </w:rPr>
        <w:t> </w:t>
      </w:r>
      <w:r w:rsidRPr="00B30F99">
        <w:rPr>
          <w:rFonts w:ascii="Lora" w:eastAsia="Lora" w:hAnsi="Lora" w:cs="Times New Roman"/>
          <w:szCs w:val="20"/>
        </w:rPr>
        <w:t>2016 r. przez Izbę Gospodarczą Komunikacji Miejskiej</w:t>
      </w:r>
      <w:r w:rsidRPr="00B30F99">
        <w:rPr>
          <w:rFonts w:ascii="Lora" w:eastAsia="Lora" w:hAnsi="Lora" w:cs="Times New Roman"/>
          <w:szCs w:val="20"/>
          <w:vertAlign w:val="superscript"/>
        </w:rPr>
        <w:footnoteReference w:id="3"/>
      </w:r>
      <w:r w:rsidRPr="00B30F99">
        <w:rPr>
          <w:rFonts w:ascii="Lora" w:eastAsia="Lora" w:hAnsi="Lora" w:cs="Times New Roman"/>
          <w:szCs w:val="20"/>
        </w:rPr>
        <w:t>.</w:t>
      </w:r>
    </w:p>
    <w:p w14:paraId="28932909" w14:textId="77777777" w:rsidR="00BA71A3" w:rsidRPr="00B30F99" w:rsidRDefault="00BA71A3" w:rsidP="00BA71A3">
      <w:pPr>
        <w:rPr>
          <w:rFonts w:ascii="Lora" w:eastAsia="Lora" w:hAnsi="Lora" w:cs="Times New Roman"/>
          <w:szCs w:val="20"/>
        </w:rPr>
      </w:pPr>
      <w:r w:rsidRPr="00B30F99">
        <w:rPr>
          <w:rFonts w:ascii="Lora" w:eastAsia="Lora" w:hAnsi="Lora" w:cs="Times New Roman"/>
          <w:szCs w:val="20"/>
        </w:rPr>
        <w:t>Wskazuje on m.in. na:</w:t>
      </w:r>
    </w:p>
    <w:p w14:paraId="309A0202" w14:textId="77777777" w:rsidR="00BA71A3" w:rsidRPr="00B30F99" w:rsidRDefault="00BA71A3" w:rsidP="001B2A4E">
      <w:pPr>
        <w:numPr>
          <w:ilvl w:val="0"/>
          <w:numId w:val="28"/>
        </w:numPr>
        <w:contextualSpacing/>
        <w:rPr>
          <w:rFonts w:ascii="Lora" w:eastAsia="Lora" w:hAnsi="Lora" w:cs="Times New Roman"/>
          <w:szCs w:val="20"/>
        </w:rPr>
      </w:pPr>
      <w:r w:rsidRPr="00B30F99">
        <w:rPr>
          <w:rFonts w:ascii="Lora" w:eastAsia="Lora" w:hAnsi="Lora" w:cs="Times New Roman"/>
          <w:szCs w:val="20"/>
        </w:rPr>
        <w:t>generalnie utrzymujące się trendy spadkowe w liczbie pasażerów komunikacji miejskiej – a</w:t>
      </w:r>
      <w:r>
        <w:rPr>
          <w:rFonts w:ascii="Lora" w:eastAsia="Lora" w:hAnsi="Lora" w:cs="Times New Roman"/>
          <w:szCs w:val="20"/>
        </w:rPr>
        <w:t> </w:t>
      </w:r>
      <w:r w:rsidRPr="00B30F99">
        <w:rPr>
          <w:rFonts w:ascii="Lora" w:eastAsia="Lora" w:hAnsi="Lora" w:cs="Times New Roman"/>
          <w:szCs w:val="20"/>
        </w:rPr>
        <w:t>zatem podstawowym wskaźniku POIiŚ, który według Strategii Rozwoju Transportu oraz założeń programu powinien rosnąć. Należy jednak pamiętać, że porównując udział komunikacji miejskiej w ogóle zadań przewozowych w Polsce z</w:t>
      </w:r>
      <w:r w:rsidRPr="009857EE">
        <w:rPr>
          <w:rFonts w:ascii="Lora" w:eastAsia="Lora" w:hAnsi="Lora" w:cs="Times New Roman"/>
          <w:szCs w:val="20"/>
        </w:rPr>
        <w:t> </w:t>
      </w:r>
      <w:r w:rsidRPr="00B30F99">
        <w:rPr>
          <w:rFonts w:ascii="Lora" w:eastAsia="Lora" w:hAnsi="Lora" w:cs="Times New Roman"/>
          <w:szCs w:val="20"/>
        </w:rPr>
        <w:t>innymi miastami europejskimi – można dojść do wniosku, że jest to cel bardzo ambitny;</w:t>
      </w:r>
    </w:p>
    <w:p w14:paraId="1F4BC1FF" w14:textId="77777777" w:rsidR="00BA71A3" w:rsidRPr="00B30F99" w:rsidRDefault="00BA71A3" w:rsidP="001B2A4E">
      <w:pPr>
        <w:numPr>
          <w:ilvl w:val="0"/>
          <w:numId w:val="28"/>
        </w:numPr>
        <w:contextualSpacing/>
        <w:rPr>
          <w:rFonts w:ascii="Lora" w:eastAsia="Lora" w:hAnsi="Lora" w:cs="Times New Roman"/>
          <w:szCs w:val="20"/>
        </w:rPr>
      </w:pPr>
      <w:r w:rsidRPr="00B30F99">
        <w:rPr>
          <w:rFonts w:ascii="Lora" w:eastAsia="Lora" w:hAnsi="Lora" w:cs="Times New Roman"/>
          <w:szCs w:val="20"/>
        </w:rPr>
        <w:t>redukcję oferty przewozowej w ujęciu ilościowym oraz względnie wysokie ceny biletów, co wynika z ograniczeń środków na utrzymanie systemów komunikacyjnych wobec rosnących cen czynników produkcji, ale utrudnia pozyskiwania dodatkowych pasażerów, czyli osiąganie założonego oddziaływania inwestycji;</w:t>
      </w:r>
    </w:p>
    <w:p w14:paraId="385E211D" w14:textId="77777777" w:rsidR="00BA71A3" w:rsidRPr="00B30F99" w:rsidRDefault="00BA71A3" w:rsidP="001B2A4E">
      <w:pPr>
        <w:numPr>
          <w:ilvl w:val="0"/>
          <w:numId w:val="28"/>
        </w:numPr>
        <w:contextualSpacing/>
        <w:rPr>
          <w:rFonts w:ascii="Lora" w:eastAsia="Lora" w:hAnsi="Lora" w:cs="Times New Roman"/>
          <w:szCs w:val="20"/>
        </w:rPr>
      </w:pPr>
      <w:r w:rsidRPr="00B30F99">
        <w:rPr>
          <w:rFonts w:ascii="Lora" w:eastAsia="Lora" w:hAnsi="Lora" w:cs="Times New Roman"/>
          <w:szCs w:val="20"/>
        </w:rPr>
        <w:lastRenderedPageBreak/>
        <w:t>pogłębiający się deficyt systemów komunikacji – rosnące koszty, wynikające z podwyższania jakości i względnie stałe przychody, ze względu na brak gotowości klientów do zapłaty za dodatkowe cechy jakościowe oraz brak pozyskiwania dodatkowych klientów;</w:t>
      </w:r>
    </w:p>
    <w:p w14:paraId="57E4274E" w14:textId="534CEA37" w:rsidR="00B02093" w:rsidRDefault="00BA71A3" w:rsidP="001B2A4E">
      <w:pPr>
        <w:numPr>
          <w:ilvl w:val="0"/>
          <w:numId w:val="28"/>
        </w:numPr>
        <w:contextualSpacing/>
        <w:rPr>
          <w:rFonts w:ascii="Lora" w:eastAsia="Lora" w:hAnsi="Lora" w:cs="Times New Roman"/>
          <w:szCs w:val="20"/>
        </w:rPr>
      </w:pPr>
      <w:r w:rsidRPr="00B30F99">
        <w:rPr>
          <w:rFonts w:ascii="Lora" w:eastAsia="Lora" w:hAnsi="Lora" w:cs="Times New Roman"/>
          <w:szCs w:val="20"/>
        </w:rPr>
        <w:t>szczególnie trudną sytuację miast poniżej 200 000 mieszkańców, ze względu na łatwość korzystania z samochodu oraz względnie wysokie ceny biletów (zwłaszcza normalnych), co powoduje szczególne nasilenie w nich niekorzystnych trendów, o których mowa powyżej. Dodatkowo w mniejszych miastach w strukturze sprzedaży dominują bilety jednorazowe, a</w:t>
      </w:r>
      <w:r>
        <w:rPr>
          <w:rFonts w:ascii="Lora" w:eastAsia="Lora" w:hAnsi="Lora" w:cs="Times New Roman"/>
          <w:szCs w:val="20"/>
        </w:rPr>
        <w:t> </w:t>
      </w:r>
      <w:r w:rsidRPr="00B30F99">
        <w:rPr>
          <w:rFonts w:ascii="Lora" w:eastAsia="Lora" w:hAnsi="Lora" w:cs="Times New Roman"/>
          <w:szCs w:val="20"/>
        </w:rPr>
        <w:t>zatem lojalność pasażerów jest niska.</w:t>
      </w:r>
    </w:p>
    <w:p w14:paraId="48C21985" w14:textId="77777777" w:rsidR="00B02093" w:rsidRPr="00B02093" w:rsidRDefault="00B02093" w:rsidP="00B02093">
      <w:pPr>
        <w:ind w:left="340"/>
        <w:contextualSpacing/>
        <w:rPr>
          <w:rFonts w:ascii="Lora" w:eastAsia="Lora" w:hAnsi="Lora" w:cs="Times New Roman"/>
          <w:szCs w:val="20"/>
        </w:rPr>
      </w:pPr>
    </w:p>
    <w:p w14:paraId="5BFD13B4" w14:textId="37D4647A" w:rsidR="00BA71A3" w:rsidRDefault="00BA71A3" w:rsidP="00BA71A3">
      <w:pPr>
        <w:rPr>
          <w:rFonts w:ascii="Lora" w:eastAsia="Lora" w:hAnsi="Lora" w:cs="Times New Roman"/>
          <w:szCs w:val="20"/>
        </w:rPr>
      </w:pPr>
      <w:r w:rsidRPr="00B30F99">
        <w:rPr>
          <w:rFonts w:ascii="Lora" w:eastAsia="Lora" w:hAnsi="Lora" w:cs="Times New Roman"/>
          <w:szCs w:val="20"/>
        </w:rPr>
        <w:t>Tematyka transportu publicznego, jako jeden z wielu wątków, była przedmiotem badania ewaluacyjnego „Efekty transportowe interwencji wspartych w ramach NSRO 2007-2013”</w:t>
      </w:r>
      <w:r w:rsidRPr="00B30F99">
        <w:rPr>
          <w:rFonts w:ascii="Lora" w:eastAsia="Lora" w:hAnsi="Lora" w:cs="Times New Roman"/>
          <w:szCs w:val="20"/>
          <w:vertAlign w:val="superscript"/>
        </w:rPr>
        <w:footnoteReference w:id="4"/>
      </w:r>
      <w:r w:rsidRPr="00B30F99">
        <w:rPr>
          <w:rFonts w:ascii="Lora" w:eastAsia="Lora" w:hAnsi="Lora" w:cs="Times New Roman"/>
          <w:i/>
          <w:szCs w:val="20"/>
        </w:rPr>
        <w:t xml:space="preserve">. </w:t>
      </w:r>
      <w:r w:rsidR="00F97893" w:rsidRPr="00B30F99">
        <w:rPr>
          <w:rFonts w:ascii="Lora" w:eastAsia="Lora" w:hAnsi="Lora" w:cs="Times New Roman"/>
          <w:szCs w:val="20"/>
        </w:rPr>
        <w:t>Badani</w:t>
      </w:r>
      <w:r w:rsidR="00F97893">
        <w:rPr>
          <w:rFonts w:ascii="Lora" w:eastAsia="Lora" w:hAnsi="Lora" w:cs="Times New Roman"/>
          <w:szCs w:val="20"/>
        </w:rPr>
        <w:t>e</w:t>
      </w:r>
      <w:r w:rsidR="00F97893" w:rsidRPr="00B30F99">
        <w:rPr>
          <w:rFonts w:ascii="Lora" w:eastAsia="Lora" w:hAnsi="Lora" w:cs="Times New Roman"/>
          <w:szCs w:val="20"/>
        </w:rPr>
        <w:t xml:space="preserve"> </w:t>
      </w:r>
      <w:r w:rsidRPr="00B30F99">
        <w:rPr>
          <w:rFonts w:ascii="Lora" w:eastAsia="Lora" w:hAnsi="Lora" w:cs="Times New Roman"/>
          <w:szCs w:val="20"/>
        </w:rPr>
        <w:t xml:space="preserve">to wskazuje m.in. na brak dostatecznie kompleksowego podejścia do interwencji w zakresie komunikacji miejskiej – inwestycjom infrastrukturalnym i wymianie taboru nie tylko nie towarzyszy wzrost oferty przewozowej (pomimo wzrostu budżetu – por. </w:t>
      </w:r>
      <w:r w:rsidR="003865EA">
        <w:rPr>
          <w:rFonts w:ascii="Lora" w:eastAsia="Lora" w:hAnsi="Lora" w:cs="Times New Roman"/>
          <w:szCs w:val="20"/>
        </w:rPr>
        <w:fldChar w:fldCharType="begin"/>
      </w:r>
      <w:r w:rsidR="003865EA">
        <w:rPr>
          <w:rFonts w:ascii="Lora" w:eastAsia="Lora" w:hAnsi="Lora" w:cs="Times New Roman"/>
          <w:szCs w:val="20"/>
        </w:rPr>
        <w:instrText xml:space="preserve"> REF _Ref25249133 \h </w:instrText>
      </w:r>
      <w:r w:rsidR="003865EA">
        <w:rPr>
          <w:rFonts w:ascii="Lora" w:eastAsia="Lora" w:hAnsi="Lora" w:cs="Times New Roman"/>
          <w:szCs w:val="20"/>
        </w:rPr>
      </w:r>
      <w:r w:rsidR="003865EA">
        <w:rPr>
          <w:rFonts w:ascii="Lora" w:eastAsia="Lora" w:hAnsi="Lora" w:cs="Times New Roman"/>
          <w:szCs w:val="20"/>
        </w:rPr>
        <w:fldChar w:fldCharType="separate"/>
      </w:r>
      <w:r w:rsidR="00C93FD7">
        <w:t xml:space="preserve">Rysunek </w:t>
      </w:r>
      <w:r w:rsidR="00C93FD7">
        <w:rPr>
          <w:noProof/>
        </w:rPr>
        <w:t>9</w:t>
      </w:r>
      <w:r w:rsidR="003865EA">
        <w:rPr>
          <w:rFonts w:ascii="Lora" w:eastAsia="Lora" w:hAnsi="Lora" w:cs="Times New Roman"/>
          <w:szCs w:val="20"/>
        </w:rPr>
        <w:fldChar w:fldCharType="end"/>
      </w:r>
      <w:r w:rsidRPr="00B30F99">
        <w:rPr>
          <w:rFonts w:ascii="Lora" w:eastAsia="Lora" w:hAnsi="Lora" w:cs="Times New Roman"/>
          <w:szCs w:val="20"/>
        </w:rPr>
        <w:t>), ale również często realizowane są „konkurencyjne” inwestycje w rozwój transportu drogowego, zwłaszcza w</w:t>
      </w:r>
      <w:r>
        <w:rPr>
          <w:rFonts w:ascii="Lora" w:eastAsia="Lora" w:hAnsi="Lora" w:cs="Times New Roman"/>
          <w:szCs w:val="20"/>
        </w:rPr>
        <w:t> </w:t>
      </w:r>
      <w:r w:rsidRPr="00B30F99">
        <w:rPr>
          <w:rFonts w:ascii="Lora" w:eastAsia="Lora" w:hAnsi="Lora" w:cs="Times New Roman"/>
          <w:szCs w:val="20"/>
        </w:rPr>
        <w:t xml:space="preserve">ciągi wzdłuż nowobudowanych linii tramwajowych. </w:t>
      </w:r>
    </w:p>
    <w:p w14:paraId="68CB8B22" w14:textId="77777777" w:rsidR="00B02093" w:rsidRPr="00B30F99" w:rsidRDefault="00B02093" w:rsidP="00B02093">
      <w:pPr>
        <w:rPr>
          <w:rFonts w:ascii="Lora" w:eastAsia="Lora" w:hAnsi="Lora" w:cs="Times New Roman"/>
          <w:szCs w:val="20"/>
        </w:rPr>
      </w:pPr>
      <w:r w:rsidRPr="00B30F99">
        <w:rPr>
          <w:rFonts w:ascii="Lora" w:eastAsia="Lora" w:hAnsi="Lora" w:cs="Times New Roman"/>
          <w:szCs w:val="20"/>
        </w:rPr>
        <w:t>Barierą rozwoju oferty są m.in. możliwości finansowe samorządów oraz nadmierne generowanie kosztów przez niektóre z realizowanych inwestycji. Należy tutaj jednak podkreślić, że inne przedsięwzięcia – np. wymiana taboru na energooszczędny czy wdrażanie Inteligentnych Systemów Transportowych – pozwalają zmniejszać te koszty i istnieje szansa, że w aktualnej perspektywie finansowej sytuacja ulegnie poprawie.</w:t>
      </w:r>
    </w:p>
    <w:p w14:paraId="63A57802" w14:textId="77777777" w:rsidR="00B02093" w:rsidRPr="00B30F99" w:rsidRDefault="00B02093" w:rsidP="00B02093">
      <w:pPr>
        <w:rPr>
          <w:rFonts w:ascii="Lora" w:eastAsia="Lora" w:hAnsi="Lora" w:cs="Times New Roman"/>
          <w:szCs w:val="20"/>
        </w:rPr>
      </w:pPr>
      <w:r w:rsidRPr="00B30F99">
        <w:rPr>
          <w:rFonts w:ascii="Lora" w:eastAsia="Lora" w:hAnsi="Lora" w:cs="Times New Roman"/>
          <w:szCs w:val="20"/>
        </w:rPr>
        <w:t xml:space="preserve">Wreszcie należy wspomnieć o badaniach z zakresu modelowania ruchu oraz kompleksowych analiz zachowań komunikacyjnych mieszkańców. Kompleksowe badania komunikacyjne mieszkańców realizowane są np. w Gdyni i okolicznych gminach, z którymi miasto Gdynia zawarło umowy na wspólną organizację komunikacji miejskiej, a także </w:t>
      </w:r>
      <w:r w:rsidRPr="00B30F99">
        <w:rPr>
          <w:rFonts w:ascii="Lora" w:eastAsia="Lora" w:hAnsi="Lora" w:cs="Times New Roman"/>
          <w:i/>
          <w:szCs w:val="20"/>
        </w:rPr>
        <w:t xml:space="preserve">ad hoc </w:t>
      </w:r>
      <w:r w:rsidRPr="00B30F99">
        <w:rPr>
          <w:rFonts w:ascii="Lora" w:eastAsia="Lora" w:hAnsi="Lora" w:cs="Times New Roman"/>
          <w:szCs w:val="20"/>
        </w:rPr>
        <w:t>w niektórych miastach, które dokonują racjonalizacji sieci przewozowych, w oparciu o doświadczenia zespołu prof. Olgierda Wyszomirskiego i Marcina Gromadzkiego. Najnowszy dostępny raport – opublikowany na początku 2016 r.</w:t>
      </w:r>
      <w:r w:rsidRPr="00B30F99">
        <w:rPr>
          <w:rFonts w:ascii="Lora" w:eastAsia="Lora" w:hAnsi="Lora" w:cs="Times New Roman"/>
          <w:szCs w:val="20"/>
          <w:vertAlign w:val="superscript"/>
        </w:rPr>
        <w:footnoteReference w:id="5"/>
      </w:r>
      <w:r w:rsidRPr="00B30F99">
        <w:rPr>
          <w:rFonts w:ascii="Lora" w:eastAsia="Lora" w:hAnsi="Lora" w:cs="Times New Roman"/>
          <w:szCs w:val="20"/>
        </w:rPr>
        <w:t xml:space="preserve"> – wskazuje, że wśród podróży wykonywanych z użyciem środka transportu 58% wykonywanych jest samochodami (jeszcze w 2010 r. – 48,7%), zaś 40% (jeszcze w 2010 r. – 50,4%) - transportem zbiorowym. Jednocześnie jednak 47% mieszkańców deklaruje korzystanie zawsze lub przeważnie z komunikacji zbiorowej, zaś 41% - zawsze lub przeważnie z samochodu. </w:t>
      </w:r>
    </w:p>
    <w:p w14:paraId="647DDBB9" w14:textId="35616D90" w:rsidR="004C5F93" w:rsidRPr="004C5F93" w:rsidRDefault="004C5F93" w:rsidP="004C5F93">
      <w:pPr>
        <w:pStyle w:val="Legenda"/>
      </w:pPr>
      <w:bookmarkStart w:id="95" w:name="_Ref25249133"/>
      <w:bookmarkStart w:id="96" w:name="_Toc27125387"/>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9</w:t>
      </w:r>
      <w:r w:rsidR="003C20BE">
        <w:rPr>
          <w:noProof/>
        </w:rPr>
        <w:fldChar w:fldCharType="end"/>
      </w:r>
      <w:bookmarkEnd w:id="95"/>
      <w:r>
        <w:t xml:space="preserve">. </w:t>
      </w:r>
      <w:r w:rsidRPr="004C5F93">
        <w:t>Wydatki jednostek samorządu terytorialnego na lokalny transport zbiorowy i praca eksploatacyjna w komunikacji miejskiej w latach 2007-2015.</w:t>
      </w:r>
      <w:bookmarkEnd w:id="96"/>
    </w:p>
    <w:p w14:paraId="2018B56B" w14:textId="77777777" w:rsidR="00BA71A3" w:rsidRPr="00B30F99" w:rsidRDefault="00BA71A3" w:rsidP="00BA71A3">
      <w:pPr>
        <w:rPr>
          <w:rFonts w:ascii="Lora" w:eastAsia="Lora" w:hAnsi="Lora" w:cs="Times New Roman"/>
          <w:sz w:val="22"/>
        </w:rPr>
      </w:pPr>
      <w:r w:rsidRPr="00B30F99">
        <w:rPr>
          <w:rFonts w:ascii="Lora" w:eastAsia="Lora" w:hAnsi="Lora" w:cs="Times New Roman"/>
          <w:noProof/>
          <w:sz w:val="22"/>
          <w:lang w:eastAsia="pl-PL"/>
        </w:rPr>
        <w:drawing>
          <wp:inline distT="0" distB="0" distL="0" distR="0" wp14:anchorId="230803DB" wp14:editId="15805AF7">
            <wp:extent cx="5486400" cy="4032000"/>
            <wp:effectExtent l="0" t="0" r="0" b="6985"/>
            <wp:docPr id="6" name="Wykres 6" descr="Wykres przedstawiający rosnące wydatki jednostek samorządu terytorialnego na lokalny transport zbiorowy w kontekście malejącej pracy eksploatacyjnej w komunikacji miejskiej w latach 2007-2015.">
              <a:extLst xmlns:a="http://schemas.openxmlformats.org/drawingml/2006/main">
                <a:ext uri="{FF2B5EF4-FFF2-40B4-BE49-F238E27FC236}">
                  <a16:creationId xmlns:a16="http://schemas.microsoft.com/office/drawing/2014/main" id="{EF4DFE9B-55D6-459B-818B-5B47C718DF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EF48762" w14:textId="77777777" w:rsidR="00BA71A3" w:rsidRPr="00B30F99" w:rsidRDefault="00BA71A3" w:rsidP="00BA71A3">
      <w:pPr>
        <w:spacing w:before="0" w:after="120" w:line="240" w:lineRule="auto"/>
        <w:jc w:val="left"/>
        <w:rPr>
          <w:rFonts w:ascii="Nexa Light" w:eastAsia="Calibri" w:hAnsi="Nexa Light" w:cs="Times New Roman"/>
          <w:bCs/>
          <w:color w:val="000000"/>
          <w:szCs w:val="18"/>
        </w:rPr>
      </w:pPr>
      <w:r w:rsidRPr="00B30F99">
        <w:rPr>
          <w:rFonts w:ascii="Nexa Light" w:eastAsia="Calibri" w:hAnsi="Nexa Light" w:cs="Times New Roman"/>
          <w:bCs/>
          <w:color w:val="000000"/>
          <w:szCs w:val="18"/>
        </w:rPr>
        <w:t>Źródło: M. Wolański i inni, Efekty transportowe interwencji…, op. cit.</w:t>
      </w:r>
    </w:p>
    <w:p w14:paraId="392E3183" w14:textId="77777777" w:rsidR="00BA71A3" w:rsidRPr="00B30F99" w:rsidRDefault="00BA71A3" w:rsidP="00BA71A3">
      <w:pPr>
        <w:rPr>
          <w:rFonts w:ascii="Lora" w:eastAsia="Lora" w:hAnsi="Lora" w:cs="Times New Roman"/>
          <w:szCs w:val="20"/>
        </w:rPr>
      </w:pPr>
      <w:r w:rsidRPr="00B30F99">
        <w:rPr>
          <w:rFonts w:ascii="Lora" w:eastAsia="Lora" w:hAnsi="Lora" w:cs="Times New Roman"/>
          <w:szCs w:val="20"/>
        </w:rPr>
        <w:t>Średni czas dojazdu do pracy samochodem wynosi 20 minut, zaś komunikacją miejską – 39,2 minuty, czyli dwa razy dłużej. W 2010 r. wskaźniki te wynosiły odpowiednio 21,5 minuty i 38,4 minuty</w:t>
      </w:r>
      <w:r w:rsidRPr="00B30F99">
        <w:rPr>
          <w:rFonts w:ascii="Lora" w:eastAsia="Lora" w:hAnsi="Lora" w:cs="Times New Roman"/>
          <w:szCs w:val="20"/>
          <w:vertAlign w:val="superscript"/>
        </w:rPr>
        <w:footnoteReference w:id="6"/>
      </w:r>
      <w:r w:rsidRPr="00B30F99">
        <w:rPr>
          <w:rFonts w:ascii="Lora" w:eastAsia="Lora" w:hAnsi="Lora" w:cs="Times New Roman"/>
          <w:szCs w:val="20"/>
        </w:rPr>
        <w:t xml:space="preserve">, a zatem względna konkurencyjność transportu publicznego maleje, co może być ważną przyczyną utraty przez komunikację miejską udziału rynkowego. Ciekawym wnioskiem z badań jest również kluczowa rola kwestii parkingowych (wysokie koszty, niska dostępność miejsc) przy wyborze transportu publicznego przez osoby zmotoryzowane. </w:t>
      </w:r>
    </w:p>
    <w:p w14:paraId="3C2E2EF4" w14:textId="77777777" w:rsidR="00BA71A3" w:rsidRPr="00B30F99" w:rsidRDefault="00BA71A3" w:rsidP="00BA71A3">
      <w:pPr>
        <w:rPr>
          <w:rFonts w:ascii="Lora" w:eastAsia="Lora" w:hAnsi="Lora" w:cs="Times New Roman"/>
          <w:szCs w:val="20"/>
        </w:rPr>
      </w:pPr>
      <w:r w:rsidRPr="00B30F99">
        <w:rPr>
          <w:rFonts w:ascii="Lora" w:eastAsia="Lora" w:hAnsi="Lora" w:cs="Times New Roman"/>
          <w:szCs w:val="20"/>
        </w:rPr>
        <w:t>Badania z zakresu modelowania ruchu powstają regularnie w kilku największych metropoliach, m.in. Warszawie, Krakowie, Wrocławiu, Łodzi czy Gdańsku</w:t>
      </w:r>
      <w:r w:rsidRPr="00B30F99">
        <w:rPr>
          <w:rFonts w:ascii="Lora" w:eastAsia="Lora" w:hAnsi="Lora" w:cs="Times New Roman"/>
          <w:szCs w:val="20"/>
          <w:vertAlign w:val="superscript"/>
        </w:rPr>
        <w:footnoteReference w:id="7"/>
      </w:r>
      <w:r w:rsidRPr="00B30F99">
        <w:rPr>
          <w:rFonts w:ascii="Lora" w:eastAsia="Lora" w:hAnsi="Lora" w:cs="Times New Roman"/>
          <w:szCs w:val="20"/>
        </w:rPr>
        <w:t xml:space="preserve">. Głównym produktem tych badań są multimodalne modele ruchu, pozwalające symulować skutki zmian w układzie transportowym (np. budów i przebudów dróg, uruchomienia nowych linii komunikacyjnych), ale zbierane dane wejściowe na temat struktury przewozów są ważnym wskaźnikiem, obrazującym ogólną skuteczność prowadzonej polityki transportowej. I tak w Warszawie w latach 2005-2015 udział podróży wykonywanych transportem publicznym spadł z 60% do 57%, zaś samochodami – wzrósł </w:t>
      </w:r>
      <w:r w:rsidRPr="00B30F99">
        <w:rPr>
          <w:rFonts w:ascii="Lora" w:eastAsia="Lora" w:hAnsi="Lora" w:cs="Times New Roman"/>
          <w:szCs w:val="20"/>
        </w:rPr>
        <w:lastRenderedPageBreak/>
        <w:t>z 38% do 39%. W Gdańsku w latach 2009-2016 miał miejsce spadek udziału transportu publicznego z 48% do 40,5% oraz wzrost samochodów indywidualnych – z 49% do 52%. Przykład Warszawy wskazuje przy tym dobitnie, że chociaż struktura podróży pozostaje względnie stała, zaś udział podróży transportem publicznym względnie wysoki, to i tak dominuje tendencja spadkowa, co utrudnia określenie rzeczywistych efektów podejmowanych interwencji. Dodatkowym problemem jest wzrastający ruch na kordonie miasta – w obserwowanym okresie liczba samochodów codziennie wjeżdżających do miasta się podwoiła, co wskazuje na niekorzystne oddziaływanie procesów suburbanizacyjnych na układ miasta.</w:t>
      </w:r>
    </w:p>
    <w:p w14:paraId="52CC219A" w14:textId="77777777" w:rsidR="00BA71A3" w:rsidRPr="00B30F99" w:rsidRDefault="00BA71A3" w:rsidP="00BA71A3">
      <w:pPr>
        <w:rPr>
          <w:rFonts w:ascii="Lora" w:eastAsia="Lora" w:hAnsi="Lora" w:cs="Times New Roman"/>
          <w:szCs w:val="20"/>
        </w:rPr>
      </w:pPr>
      <w:r w:rsidRPr="00B30F99">
        <w:rPr>
          <w:rFonts w:ascii="Lora" w:eastAsia="Lora" w:hAnsi="Lora" w:cs="Times New Roman"/>
          <w:szCs w:val="20"/>
        </w:rPr>
        <w:t>Próbą zunifikowania tych badań jest projekt GUS „Badanie pilotażowe zachowań komunikacyjnych ludności w Polsce”. Badanie to przyniosło dobre efekty w sensie diagnostycznym i wypracowało zunifikowaną metodykę, jakkolwiek na obecnym etapie nie przynosi istotnych wniosków strategicznych, m.in. ze względu na jednokrotne jego przeprowadzenie oraz generalne podejście ogólnopolskie i wojewódzkie, które utrudnia wnioskowanie dla małych, homogenicznych (niełączących obszarów wiejskich i miejskich) obszarów.</w:t>
      </w:r>
    </w:p>
    <w:p w14:paraId="7C31FE6A" w14:textId="752FC25B" w:rsidR="00BA71A3" w:rsidRPr="00B30F99" w:rsidRDefault="00BA71A3" w:rsidP="00BA71A3">
      <w:pPr>
        <w:rPr>
          <w:rFonts w:ascii="Lora" w:eastAsia="Lora" w:hAnsi="Lora" w:cs="Times New Roman"/>
          <w:szCs w:val="20"/>
        </w:rPr>
      </w:pPr>
      <w:r w:rsidRPr="00B30F99">
        <w:rPr>
          <w:rFonts w:ascii="Lora" w:eastAsia="Lora" w:hAnsi="Lora" w:cs="Times New Roman"/>
          <w:szCs w:val="20"/>
        </w:rPr>
        <w:t>Ciekawych danych dotyczących płynności ruchu rozumianej jako zatłoczenie dróg miejskich dostarcza raport Deloitte i Targeo „Raport o korkach w 7 największych miastach Polski”. Analiza przedstawionych w raporcie danych wskazuje, że w latach 2011-2015 – mimo znacznych inwestycji drogowych – opóźnienie spowodowane przez korki w przeliczeniu na osobę generalnie uległo nieznacznemu zwiększeniu – o 4%. Niemniej jednak w dwóch miastach zaobserwowano znaczne obniżenie tego wskaźnika – w Gdańsku i Warszawie w latach, kiedy oddawano do użytku kolejne inwestycje drogowe. Poza latami oddawania takich inwestycji można jednak mówić o tendencjach wzrostowych opóźnień spowodowanych przez korki, silnie widocznych zwłaszcza w Krakowie i we Wrocławiu, w którym układ drogowy uległ w ostatniej dekadzie bezprecedensowo dużej przebudowie. Brak jest jednak badań o szerszym zakresie obejmujących większą liczbę miast, a</w:t>
      </w:r>
      <w:r>
        <w:rPr>
          <w:rFonts w:ascii="Lora" w:eastAsia="Lora" w:hAnsi="Lora" w:cs="Times New Roman"/>
          <w:szCs w:val="20"/>
        </w:rPr>
        <w:t> </w:t>
      </w:r>
      <w:r w:rsidRPr="00B30F99">
        <w:rPr>
          <w:rFonts w:ascii="Lora" w:eastAsia="Lora" w:hAnsi="Lora" w:cs="Times New Roman"/>
          <w:szCs w:val="20"/>
        </w:rPr>
        <w:t>także płynność ruchu pojazdów komunikacji miejskiej.</w:t>
      </w:r>
    </w:p>
    <w:p w14:paraId="24FA10CF" w14:textId="46A42A3F" w:rsidR="00BA71A3" w:rsidRDefault="00BA71A3" w:rsidP="00BA71A3">
      <w:pPr>
        <w:rPr>
          <w:rFonts w:ascii="Lora" w:eastAsia="Lora" w:hAnsi="Lora" w:cs="Times New Roman"/>
          <w:szCs w:val="20"/>
        </w:rPr>
      </w:pPr>
      <w:r w:rsidRPr="00B30F99">
        <w:rPr>
          <w:rFonts w:ascii="Lora" w:eastAsia="Lora" w:hAnsi="Lora" w:cs="Times New Roman"/>
          <w:szCs w:val="20"/>
        </w:rPr>
        <w:t xml:space="preserve">Natomiast aktualnych danych statystycznych i badań dotyczących bezpieczeństwa ruchu drogowego w corocznych raportach dostarcza Krajowa Rada Bezpieczeństwa Ruchu Drogowego. Udostępniane publikacje dotyczą przede wszystkim średniej prędkości na drogach, monitoringu zachowań pieszych i </w:t>
      </w:r>
      <w:r w:rsidR="00AB0834">
        <w:rPr>
          <w:rFonts w:ascii="Lora" w:eastAsia="Lora" w:hAnsi="Lora" w:cs="Times New Roman"/>
          <w:szCs w:val="20"/>
        </w:rPr>
        <w:t>z</w:t>
      </w:r>
      <w:r w:rsidRPr="00B30F99">
        <w:rPr>
          <w:rFonts w:ascii="Lora" w:eastAsia="Lora" w:hAnsi="Lora" w:cs="Times New Roman"/>
          <w:szCs w:val="20"/>
        </w:rPr>
        <w:t>motoryzowanych uczestników ruchu drogowego oraz ich postaw i opinii. Jednak prowadzone badania mają z reguły charakter ogólnopolski i nie obejmują swoim zakresem specyfiki ruchu miejskiego ani bezpieczeństwa w komunikacji miejskiej.</w:t>
      </w:r>
    </w:p>
    <w:p w14:paraId="0A6C6AE6" w14:textId="6B3B2085" w:rsidR="00077570" w:rsidRDefault="00077570" w:rsidP="00077570">
      <w:pPr>
        <w:pStyle w:val="Nagwek3"/>
      </w:pPr>
      <w:bookmarkStart w:id="99" w:name="_Toc27125339"/>
      <w:r>
        <w:t>Analizy przestrzenne</w:t>
      </w:r>
      <w:bookmarkEnd w:id="99"/>
    </w:p>
    <w:p w14:paraId="0876914D" w14:textId="780B62C9" w:rsidR="005D0003" w:rsidRDefault="006D4BE9" w:rsidP="00077570">
      <w:r>
        <w:t xml:space="preserve">Zgromadzone dane wektorowe zwizualizowano na wydrukach miast z projektami POIiŚ, na których wspólnie oznaczono inwestycje prowadzone w ramach Programu na lata 2007-2013, 2014-2020 oraz wskazywane przez organizatorów transportu krytyczne punkty i odcinki infrastruktury drogowej oraz szynowej (tramwajowej) pod względem przepustowości. Przykładowy wydruk </w:t>
      </w:r>
      <w:proofErr w:type="spellStart"/>
      <w:r>
        <w:t>geolokalizacji</w:t>
      </w:r>
      <w:proofErr w:type="spellEnd"/>
      <w:r>
        <w:t xml:space="preserve"> inwestycji </w:t>
      </w:r>
      <w:r w:rsidR="003A7608">
        <w:t xml:space="preserve">dla Warszawy </w:t>
      </w:r>
      <w:r>
        <w:t xml:space="preserve">przedstawia </w:t>
      </w:r>
      <w:r>
        <w:fldChar w:fldCharType="begin"/>
      </w:r>
      <w:r>
        <w:instrText xml:space="preserve"> REF _Ref24622419 \h </w:instrText>
      </w:r>
      <w:r>
        <w:fldChar w:fldCharType="separate"/>
      </w:r>
      <w:r w:rsidR="00C93FD7">
        <w:t xml:space="preserve">Rysunek </w:t>
      </w:r>
      <w:r w:rsidR="00C93FD7">
        <w:rPr>
          <w:noProof/>
        </w:rPr>
        <w:t>10</w:t>
      </w:r>
      <w:r>
        <w:fldChar w:fldCharType="end"/>
      </w:r>
      <w:r>
        <w:t>. Wszystkie wydruki wraz z bazą wektorową zawiera</w:t>
      </w:r>
      <w:r w:rsidR="00CE3BA8">
        <w:t xml:space="preserve"> </w:t>
      </w:r>
      <w:r w:rsidR="00CE3BA8">
        <w:fldChar w:fldCharType="begin"/>
      </w:r>
      <w:r w:rsidR="00CE3BA8">
        <w:instrText xml:space="preserve"> REF Załącznik13 \h </w:instrText>
      </w:r>
      <w:r w:rsidR="00CE3BA8">
        <w:fldChar w:fldCharType="separate"/>
      </w:r>
      <w:r w:rsidR="00C93FD7" w:rsidRPr="00CE65CD">
        <w:rPr>
          <w:color w:val="000000" w:themeColor="text1"/>
        </w:rPr>
        <w:t>Załącznik 13</w:t>
      </w:r>
      <w:r w:rsidR="00CE3BA8">
        <w:fldChar w:fldCharType="end"/>
      </w:r>
      <w:r>
        <w:t xml:space="preserve">. </w:t>
      </w:r>
    </w:p>
    <w:p w14:paraId="30DA61A5" w14:textId="5553DF0D" w:rsidR="006D4BE9" w:rsidRDefault="003A7608" w:rsidP="00077570">
      <w:r>
        <w:t>Z analizy wynika, że prowadzone inwestycje w perspektywie 2014-2020 w transporcie szynowym często są kontynuacją modernizacji i rozbudowy, prowadzonej w okresie 2007-2013. Tak jest w przypadku Bydgoszczy, Gdańska, GZM, Krakowa, Łodzi, Poznania, Szczecina, Torunia, Warszawy i Wrocławia. W przypadku Gdyni, Gorzowa Wielkopolskiego, Opola i Zielonej Góry – interwencja POIiŚ objęła miasta tylko w perspektywie 2014-2020.</w:t>
      </w:r>
    </w:p>
    <w:p w14:paraId="2C07A24D" w14:textId="275DB05B" w:rsidR="00D34669" w:rsidRDefault="00D34669" w:rsidP="00D34669">
      <w:pPr>
        <w:pStyle w:val="Legenda"/>
      </w:pPr>
      <w:bookmarkStart w:id="100" w:name="_Ref24622419"/>
      <w:bookmarkStart w:id="101" w:name="_Toc27125388"/>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10</w:t>
      </w:r>
      <w:r w:rsidR="003C20BE">
        <w:rPr>
          <w:noProof/>
        </w:rPr>
        <w:fldChar w:fldCharType="end"/>
      </w:r>
      <w:bookmarkEnd w:id="100"/>
      <w:r>
        <w:t>. Lokalizacja inwestycji POIiŚ 2007-2013, 2014-2020 oraz krytycznych punktów infrastruktury pod względem przepustowości</w:t>
      </w:r>
      <w:r w:rsidR="00742C25">
        <w:t xml:space="preserve"> w Warszawie</w:t>
      </w:r>
      <w:r>
        <w:t>.</w:t>
      </w:r>
      <w:bookmarkEnd w:id="101"/>
    </w:p>
    <w:p w14:paraId="608FE895" w14:textId="0DA0CE71" w:rsidR="007966FB" w:rsidRDefault="00D34669" w:rsidP="00077570">
      <w:r>
        <w:rPr>
          <w:noProof/>
          <w:lang w:eastAsia="pl-PL"/>
        </w:rPr>
        <w:drawing>
          <wp:inline distT="0" distB="0" distL="0" distR="0" wp14:anchorId="3AA1E643" wp14:editId="23F3ED4B">
            <wp:extent cx="5648325" cy="7982128"/>
            <wp:effectExtent l="0" t="0" r="0" b="0"/>
            <wp:docPr id="18" name="Obraz 18" descr="Mapa obszaru Warszawy z naniesionymi projektami obu perspektyw POIiŚ na lata 2007-2013 i 2014-2020 oraz krytycznymi punktami infrastruktury pod względem przepustowości układu drogowo-szynowego komunikacji publiczne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rszawa.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9592" cy="7983918"/>
                    </a:xfrm>
                    <a:prstGeom prst="rect">
                      <a:avLst/>
                    </a:prstGeom>
                  </pic:spPr>
                </pic:pic>
              </a:graphicData>
            </a:graphic>
          </wp:inline>
        </w:drawing>
      </w:r>
    </w:p>
    <w:p w14:paraId="6D1C7AEC" w14:textId="70902D21" w:rsidR="003A7608" w:rsidRDefault="003A7608" w:rsidP="00077570">
      <w:r>
        <w:lastRenderedPageBreak/>
        <w:t>Lokalizacja inwestycji w części przypadków pokrywa się z definiowanymi przez organizatorów niedoborami przepustowości lub też odbywa się</w:t>
      </w:r>
      <w:r w:rsidR="001D54FC">
        <w:t xml:space="preserve"> na ciągach alternatywnych. To wskazuje, że po realizacji inwestycji należy spodziewać się zwiększonej zdolności przewozowej na korytarzach komunikacji zbiorowej, a w efekcie spadku znaczenia zdefiniowanych w badaniu odcinków lub punktów z niedoborami przepustowości. </w:t>
      </w:r>
      <w:r w:rsidR="00742C25">
        <w:t xml:space="preserve">Pokrywanie się ciągów z niedoborem przepustowości korytarzy transportu publicznego oraz inwestycjami POIiŚ 2014-2020 uwidacznia się m.in. w przypadku Wrocławia (por. </w:t>
      </w:r>
      <w:r w:rsidR="00742C25">
        <w:fldChar w:fldCharType="begin"/>
      </w:r>
      <w:r w:rsidR="00742C25">
        <w:instrText xml:space="preserve"> REF _Ref24624063 \h </w:instrText>
      </w:r>
      <w:r w:rsidR="00742C25">
        <w:fldChar w:fldCharType="separate"/>
      </w:r>
      <w:r w:rsidR="00C93FD7">
        <w:t xml:space="preserve">Rysunek </w:t>
      </w:r>
      <w:r w:rsidR="00C93FD7">
        <w:rPr>
          <w:noProof/>
        </w:rPr>
        <w:t>11</w:t>
      </w:r>
      <w:r w:rsidR="00742C25">
        <w:fldChar w:fldCharType="end"/>
      </w:r>
      <w:r w:rsidR="00742C25">
        <w:t>) dla budowy trasy tramwajowej do Nowego Dworu (zachodnia część miasta).</w:t>
      </w:r>
    </w:p>
    <w:p w14:paraId="211DBEE5" w14:textId="294197F7" w:rsidR="00742C25" w:rsidRDefault="00742C25" w:rsidP="00742C25">
      <w:pPr>
        <w:pStyle w:val="Legenda"/>
      </w:pPr>
      <w:bookmarkStart w:id="102" w:name="_Ref24624063"/>
      <w:bookmarkStart w:id="103" w:name="_Toc27125389"/>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11</w:t>
      </w:r>
      <w:r w:rsidR="003C20BE">
        <w:rPr>
          <w:noProof/>
        </w:rPr>
        <w:fldChar w:fldCharType="end"/>
      </w:r>
      <w:bookmarkEnd w:id="102"/>
      <w:r>
        <w:t>. Lokalizacja inwestycji POIiŚ 2007-2013, 2014-2020 oraz krytycznych punktów infrastruktury pod względem przepustowości we Wrocławiu.</w:t>
      </w:r>
      <w:bookmarkEnd w:id="103"/>
    </w:p>
    <w:p w14:paraId="10BC86E4" w14:textId="409E34A0" w:rsidR="00742C25" w:rsidRDefault="00742C25" w:rsidP="00077570">
      <w:r>
        <w:rPr>
          <w:noProof/>
          <w:lang w:eastAsia="pl-PL"/>
        </w:rPr>
        <w:drawing>
          <wp:inline distT="0" distB="0" distL="0" distR="0" wp14:anchorId="1055A922" wp14:editId="0E391261">
            <wp:extent cx="5760085" cy="4076065"/>
            <wp:effectExtent l="0" t="0" r="0" b="635"/>
            <wp:docPr id="19" name="Obraz 19" descr="Mapa obszaru miejskiego Wrocławia z zaznaczonymi inwestycjami POIiŚ 2007-2013 i 2014-2020 oraz krytycznymi elementami sieci drogowo-szynowej pod względem przepustowości. Najważniejszy odcinek o ograniczonej przepustowości we Wrocławiu to trasa prowadząca na zachód z centrum miasta do osiedla Nowy Dwór. Tam prowadzona jest inwestycja VI osi priorytetowej POIiŚ - budowa nowej linii tramwaj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roclaw.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076065"/>
                    </a:xfrm>
                    <a:prstGeom prst="rect">
                      <a:avLst/>
                    </a:prstGeom>
                  </pic:spPr>
                </pic:pic>
              </a:graphicData>
            </a:graphic>
          </wp:inline>
        </w:drawing>
      </w:r>
    </w:p>
    <w:p w14:paraId="3606EA4B" w14:textId="654BAE92" w:rsidR="00505691" w:rsidRDefault="00A623E5" w:rsidP="00077570">
      <w:pPr>
        <w:pStyle w:val="Nagwek3"/>
      </w:pPr>
      <w:bookmarkStart w:id="104" w:name="_Toc27125340"/>
      <w:r>
        <w:t>Wywiady</w:t>
      </w:r>
      <w:r w:rsidR="00077570">
        <w:t xml:space="preserve"> IDI</w:t>
      </w:r>
      <w:bookmarkEnd w:id="104"/>
    </w:p>
    <w:p w14:paraId="6E67DDDD" w14:textId="0D90C1AA" w:rsidR="007966FB" w:rsidRPr="007966FB" w:rsidRDefault="007966FB" w:rsidP="007966FB">
      <w:r w:rsidRPr="007966FB">
        <w:t>Przeprowadzono wywiady z organizatorami transportu w 13 miastach wojewódzkich POIiŚ ukierunkowan</w:t>
      </w:r>
      <w:r w:rsidR="0017793B">
        <w:t>e</w:t>
      </w:r>
      <w:r w:rsidRPr="007966FB">
        <w:t xml:space="preserve"> na kwestie:</w:t>
      </w:r>
    </w:p>
    <w:p w14:paraId="21B74F10" w14:textId="7F95F23E" w:rsidR="007966FB" w:rsidRPr="007966FB" w:rsidRDefault="007966FB" w:rsidP="001B2A4E">
      <w:pPr>
        <w:pStyle w:val="Akapitzlist"/>
        <w:numPr>
          <w:ilvl w:val="0"/>
          <w:numId w:val="48"/>
        </w:numPr>
        <w:ind w:right="375"/>
      </w:pPr>
      <w:r w:rsidRPr="007966FB">
        <w:t xml:space="preserve">monitoringu płynności ruchu – </w:t>
      </w:r>
      <w:r w:rsidR="0017793B">
        <w:t>możliwoś</w:t>
      </w:r>
      <w:r w:rsidR="00F84C90">
        <w:t>ci</w:t>
      </w:r>
      <w:r w:rsidR="0017793B">
        <w:t xml:space="preserve"> </w:t>
      </w:r>
      <w:r w:rsidRPr="007966FB">
        <w:t>utrwaleni</w:t>
      </w:r>
      <w:r w:rsidR="0017793B">
        <w:t>a</w:t>
      </w:r>
      <w:r w:rsidRPr="007966FB">
        <w:t xml:space="preserve"> rzeczywistych danych o</w:t>
      </w:r>
      <w:r w:rsidR="006C2F90">
        <w:t> </w:t>
      </w:r>
      <w:r w:rsidRPr="007966FB">
        <w:t>czasach przejazdu komunikacji miejskiej</w:t>
      </w:r>
      <w:r w:rsidR="0017793B">
        <w:t>,</w:t>
      </w:r>
    </w:p>
    <w:p w14:paraId="1060E252" w14:textId="325B9F13" w:rsidR="007966FB" w:rsidRPr="007966FB" w:rsidRDefault="007966FB" w:rsidP="001B2A4E">
      <w:pPr>
        <w:pStyle w:val="Akapitzlist"/>
        <w:numPr>
          <w:ilvl w:val="0"/>
          <w:numId w:val="48"/>
        </w:numPr>
        <w:ind w:right="375"/>
      </w:pPr>
      <w:r w:rsidRPr="007966FB">
        <w:t xml:space="preserve">szacowania liczby pasażerów – rozpoznanie metod </w:t>
      </w:r>
      <w:r w:rsidR="0017793B">
        <w:t>stosowanych przez organizatorów,</w:t>
      </w:r>
    </w:p>
    <w:p w14:paraId="253FC30F" w14:textId="4F00065B" w:rsidR="0017793B" w:rsidRDefault="007966FB" w:rsidP="001B2A4E">
      <w:pPr>
        <w:pStyle w:val="Akapitzlist"/>
        <w:numPr>
          <w:ilvl w:val="0"/>
          <w:numId w:val="48"/>
        </w:numPr>
        <w:ind w:right="375"/>
      </w:pPr>
      <w:r w:rsidRPr="007966FB">
        <w:t>efektywności przewozów</w:t>
      </w:r>
      <w:r w:rsidR="00F84C90">
        <w:t xml:space="preserve"> – jak jest rozumiana przez organizatorów,</w:t>
      </w:r>
    </w:p>
    <w:p w14:paraId="2ABB30D5" w14:textId="7B18051B" w:rsidR="007966FB" w:rsidRPr="007966FB" w:rsidRDefault="007966FB" w:rsidP="001B2A4E">
      <w:pPr>
        <w:pStyle w:val="Akapitzlist"/>
        <w:numPr>
          <w:ilvl w:val="0"/>
          <w:numId w:val="48"/>
        </w:numPr>
        <w:ind w:right="375"/>
      </w:pPr>
      <w:r w:rsidRPr="007966FB">
        <w:t>zarządzania sytuacjami awaryjnymi</w:t>
      </w:r>
      <w:r w:rsidR="00F84C90">
        <w:t xml:space="preserve"> – czy istnieją procedury reakcji na awarie i</w:t>
      </w:r>
      <w:r w:rsidR="006D688A">
        <w:t> </w:t>
      </w:r>
      <w:r w:rsidR="00F84C90">
        <w:t>oceny działania w takich sytuacjach,</w:t>
      </w:r>
    </w:p>
    <w:p w14:paraId="6A4D24BB" w14:textId="1557050C" w:rsidR="007966FB" w:rsidRPr="007966FB" w:rsidRDefault="007966FB" w:rsidP="001B2A4E">
      <w:pPr>
        <w:pStyle w:val="Akapitzlist"/>
        <w:numPr>
          <w:ilvl w:val="0"/>
          <w:numId w:val="48"/>
        </w:numPr>
        <w:ind w:right="375"/>
      </w:pPr>
      <w:r w:rsidRPr="007966FB">
        <w:t xml:space="preserve">parkingów </w:t>
      </w:r>
      <w:r w:rsidRPr="00DE4EAE">
        <w:t>P&amp;R</w:t>
      </w:r>
      <w:r w:rsidRPr="007966FB">
        <w:t xml:space="preserve"> – określenie determinant korzystania przez kierowców z</w:t>
      </w:r>
      <w:r w:rsidR="006D688A">
        <w:t> </w:t>
      </w:r>
      <w:r w:rsidRPr="007966FB">
        <w:t xml:space="preserve">parkingów </w:t>
      </w:r>
      <w:r w:rsidRPr="00DE4EAE">
        <w:t>P&amp;R</w:t>
      </w:r>
      <w:r w:rsidR="0017793B">
        <w:t>,</w:t>
      </w:r>
    </w:p>
    <w:p w14:paraId="2C871378" w14:textId="30D37722" w:rsidR="007966FB" w:rsidRPr="007966FB" w:rsidRDefault="007966FB" w:rsidP="001B2A4E">
      <w:pPr>
        <w:pStyle w:val="Akapitzlist"/>
        <w:numPr>
          <w:ilvl w:val="0"/>
          <w:numId w:val="48"/>
        </w:numPr>
        <w:ind w:right="375"/>
      </w:pPr>
      <w:r w:rsidRPr="007966FB">
        <w:lastRenderedPageBreak/>
        <w:t>węzłów przesiadkowych –</w:t>
      </w:r>
      <w:r w:rsidR="0017793B">
        <w:t xml:space="preserve"> problemy </w:t>
      </w:r>
      <w:r w:rsidRPr="007966FB">
        <w:t>integracj</w:t>
      </w:r>
      <w:r w:rsidR="0017793B">
        <w:t>i</w:t>
      </w:r>
      <w:r w:rsidRPr="007966FB">
        <w:t xml:space="preserve"> </w:t>
      </w:r>
      <w:r w:rsidR="0017793B">
        <w:t xml:space="preserve">środków </w:t>
      </w:r>
      <w:r w:rsidRPr="007966FB">
        <w:t xml:space="preserve">komunikacji miejskiej </w:t>
      </w:r>
      <w:r w:rsidR="0017793B">
        <w:t xml:space="preserve">ze sobą oraz </w:t>
      </w:r>
      <w:r w:rsidRPr="007966FB">
        <w:t>z koleją i</w:t>
      </w:r>
      <w:r w:rsidR="0017793B">
        <w:t> </w:t>
      </w:r>
      <w:r w:rsidRPr="007966FB">
        <w:t>autobusami regionalnymi</w:t>
      </w:r>
      <w:r w:rsidR="0017793B">
        <w:t>,</w:t>
      </w:r>
    </w:p>
    <w:p w14:paraId="5502ADE5" w14:textId="5F55052D" w:rsidR="007966FB" w:rsidRDefault="007966FB" w:rsidP="001B2A4E">
      <w:pPr>
        <w:pStyle w:val="Akapitzlist"/>
        <w:numPr>
          <w:ilvl w:val="0"/>
          <w:numId w:val="48"/>
        </w:numPr>
        <w:ind w:right="375"/>
      </w:pPr>
      <w:r w:rsidRPr="007966FB">
        <w:t>ogólnych problemów funkcjonowania komunikacji miejskiej</w:t>
      </w:r>
      <w:r w:rsidR="0017793B">
        <w:t>.</w:t>
      </w:r>
    </w:p>
    <w:p w14:paraId="5BB46A3C" w14:textId="1FEA0753" w:rsidR="00934816" w:rsidRDefault="00934816" w:rsidP="00934816">
      <w:r>
        <w:t xml:space="preserve">Szczegółowe podsumowanie wywiadów IDI zawiera </w:t>
      </w:r>
      <w:r>
        <w:fldChar w:fldCharType="begin"/>
      </w:r>
      <w:r>
        <w:instrText xml:space="preserve"> REF Załącznik2 \h </w:instrText>
      </w:r>
      <w:r>
        <w:fldChar w:fldCharType="separate"/>
      </w:r>
      <w:r w:rsidR="00C93FD7" w:rsidRPr="00CE65CD">
        <w:rPr>
          <w:color w:val="000000" w:themeColor="text1"/>
        </w:rPr>
        <w:t>Załącznik 2</w:t>
      </w:r>
      <w:r>
        <w:fldChar w:fldCharType="end"/>
      </w:r>
      <w:r>
        <w:t>.</w:t>
      </w:r>
    </w:p>
    <w:p w14:paraId="291AB20E" w14:textId="7C5D35F4" w:rsidR="00300D9A" w:rsidRDefault="00300D9A" w:rsidP="00903109">
      <w:pPr>
        <w:pStyle w:val="Podtytu"/>
      </w:pPr>
      <w:r>
        <w:t>MONITORING PŁYNNOŚCI RUCHU</w:t>
      </w:r>
    </w:p>
    <w:p w14:paraId="1EEBDCC9" w14:textId="7323A6E3" w:rsidR="00300D9A" w:rsidRDefault="00300D9A" w:rsidP="00300D9A">
      <w:bookmarkStart w:id="105" w:name="_Hlk25244493"/>
      <w:r w:rsidRPr="00300D9A">
        <w:t xml:space="preserve">Większość miast </w:t>
      </w:r>
      <w:r w:rsidR="00D415F4">
        <w:t xml:space="preserve">objętych badaniem </w:t>
      </w:r>
      <w:r w:rsidRPr="00300D9A">
        <w:t>dysponuje już systemami teleinformatycznymi (ITS) służącymi do monitoringu ruchu pojazdów transportu publicznego. Kompleksowych rozwiązań brakuje jeszcze w Gorzowie Wielkopolskim, Krakowie i Toruniu (ruch autobusowy), jednak zostaną one wdrożone w tej perspektywie wydatkowania środków unijnych. W niektórych przypadkach (Łódź, Poznań, Wrocław) – systemami nie są jeszcze objęci wszyscy operatorzy komunikacji autobusowej, szczególnie dotyczy to przewoźników obsługujących połączenia podmiejskie.</w:t>
      </w:r>
      <w:r>
        <w:t xml:space="preserve"> </w:t>
      </w:r>
    </w:p>
    <w:bookmarkEnd w:id="105"/>
    <w:p w14:paraId="376BFDC8" w14:textId="7112BB4E" w:rsidR="00300D9A" w:rsidRDefault="00300D9A" w:rsidP="00300D9A">
      <w:r>
        <w:t xml:space="preserve">W toku wywiadów ustalono różnorodność wdrożonych systemów Zarządzania Transportem Publicznym – są to m. in. rozwiązania firm </w:t>
      </w:r>
      <w:r w:rsidR="001E6BB9">
        <w:t>Asseco</w:t>
      </w:r>
      <w:r>
        <w:t xml:space="preserve">, GMV, </w:t>
      </w:r>
      <w:proofErr w:type="spellStart"/>
      <w:r>
        <w:t>KiedyPrzyjedzie</w:t>
      </w:r>
      <w:proofErr w:type="spellEnd"/>
      <w:r>
        <w:t xml:space="preserve">, R&amp;G, Siemens, </w:t>
      </w:r>
      <w:proofErr w:type="spellStart"/>
      <w:r>
        <w:t>Trapeze</w:t>
      </w:r>
      <w:proofErr w:type="spellEnd"/>
      <w:r>
        <w:t xml:space="preserve"> i </w:t>
      </w:r>
      <w:proofErr w:type="spellStart"/>
      <w:r>
        <w:t>Wasko</w:t>
      </w:r>
      <w:proofErr w:type="spellEnd"/>
      <w:r>
        <w:t xml:space="preserve">. Ze względu na obecność różnych rozwiązań ustalono jednolitą ścieżkę postępowania przy zadaniu utrwalenia informacji o rzeczywistych czasach przejazdu. Miastom przedstawiono listę badanych korytarzy transportu publicznego wraz z prośbą o przygotowanie zestawień czasów przejazdu na nich w okresie między 14 a 20 października 2019 r (poniedziałek-niedziela). </w:t>
      </w:r>
    </w:p>
    <w:p w14:paraId="1BC89535" w14:textId="09DC26A7" w:rsidR="00934816" w:rsidRDefault="00934816" w:rsidP="00300D9A">
      <w:r w:rsidRPr="00934816">
        <w:t xml:space="preserve">Jeden z organizatorów transportu wskazał na problem pozyskiwania danych o ruchu </w:t>
      </w:r>
      <w:r>
        <w:t>indywidualnym i</w:t>
      </w:r>
      <w:r w:rsidRPr="00934816">
        <w:t xml:space="preserve"> zapewnienia jednolitości metodyki w odniesieniu </w:t>
      </w:r>
      <w:r>
        <w:t xml:space="preserve">do </w:t>
      </w:r>
      <w:r w:rsidRPr="00934816">
        <w:t>oceny projektów:</w:t>
      </w:r>
    </w:p>
    <w:tbl>
      <w:tblPr>
        <w:tblStyle w:val="Box"/>
        <w:tblW w:w="10192" w:type="dxa"/>
        <w:tblLook w:val="05A0" w:firstRow="1" w:lastRow="0" w:firstColumn="1" w:lastColumn="1" w:noHBand="0" w:noVBand="1"/>
      </w:tblPr>
      <w:tblGrid>
        <w:gridCol w:w="993"/>
        <w:gridCol w:w="9199"/>
      </w:tblGrid>
      <w:tr w:rsidR="00934816" w:rsidRPr="00D84512" w14:paraId="2DF3C419" w14:textId="77777777" w:rsidTr="006D3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47777C2" w14:textId="77777777" w:rsidR="00934816" w:rsidRPr="001703EA" w:rsidRDefault="00934816"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663A2A50" w14:textId="1A22E589" w:rsidR="00934816" w:rsidRDefault="00934816" w:rsidP="00532766">
            <w:r>
              <w:t>Wypowiedź organizatora transportu:</w:t>
            </w:r>
          </w:p>
          <w:p w14:paraId="60761AEC" w14:textId="4D5A1B06" w:rsidR="00934816" w:rsidRPr="00D84512" w:rsidRDefault="00934816" w:rsidP="00532766">
            <w:r w:rsidRPr="00934816">
              <w:rPr>
                <w:b/>
                <w:i/>
              </w:rPr>
              <w:t xml:space="preserve">Mamy wszystkie dane dotyczące komunikacji miejskiej, ale brakuje nam danych dotyczących ruchu samochodowego. To być może CUPT </w:t>
            </w:r>
            <w:r>
              <w:rPr>
                <w:b/>
                <w:i/>
              </w:rPr>
              <w:t xml:space="preserve">powinien </w:t>
            </w:r>
            <w:r w:rsidRPr="00934816">
              <w:rPr>
                <w:b/>
                <w:i/>
              </w:rPr>
              <w:t xml:space="preserve">finansować takie analizy czasów przejazdu w miastach, co zapewniłoby jednolitą metodykę badania ruchu we wszystkich miastach. </w:t>
            </w:r>
            <w:r>
              <w:rPr>
                <w:b/>
                <w:i/>
              </w:rPr>
              <w:t>P</w:t>
            </w:r>
            <w:r w:rsidRPr="00934816">
              <w:rPr>
                <w:b/>
                <w:i/>
              </w:rPr>
              <w:t>owinno się regularnie co kilka lat kupować dane o ruchu w miastach</w:t>
            </w:r>
            <w:r>
              <w:rPr>
                <w:b/>
                <w:i/>
              </w:rPr>
              <w:t xml:space="preserve">. To pozwoliłoby </w:t>
            </w:r>
            <w:r w:rsidRPr="00934816">
              <w:rPr>
                <w:b/>
                <w:i/>
              </w:rPr>
              <w:t>potem weryfikować projekty unijne</w:t>
            </w:r>
            <w:r>
              <w:rPr>
                <w:b/>
                <w:i/>
              </w:rPr>
              <w:t>.</w:t>
            </w:r>
          </w:p>
        </w:tc>
      </w:tr>
    </w:tbl>
    <w:p w14:paraId="25BE15AC" w14:textId="5D142A91" w:rsidR="00934816" w:rsidRDefault="00934816" w:rsidP="00903109">
      <w:pPr>
        <w:pStyle w:val="Podtytu"/>
      </w:pPr>
      <w:r>
        <w:t>SZACOWANIE LICZBY PASAŻERÓW</w:t>
      </w:r>
    </w:p>
    <w:p w14:paraId="2B69E95C" w14:textId="4EBBE5C7" w:rsidR="00934816" w:rsidRDefault="00934816" w:rsidP="00934816">
      <w:r>
        <w:t xml:space="preserve">W większości miast roczna liczba przewożonych pasażerów szacowana jest według metody GUS, bazując na sprzedaży biletów. W metodzie tej przyjmuje się krotności przejazdów wykonywanych na podstawie poszczególnych typów biletów, jednak część miast indywidualnie bada wartości krotności w stosunku do rzeczywistych przejazdów pasażerów w określonej sieci komunikacyjnej. Szacunki ułatwiają uruchamiane w miastach systemy biletu elektronicznego, szczególnie gdy ewidencjonowany jest każdy przejazd pasażera. Z roku na rok w miastach rośnie jednak grono pasażerów uprawnionych do przejazdów bezpłatnych, co utrudnia obliczanie liczby pasażerów i tylko niektóre miasta stosują korygujące współczynniki przeliczeniowe. Wraz ze wzrostem grona osób korzystających z przejazdów bezpłatnych rośnie błąd i maleje wiarygodność wyników wykonywanych szacunków. Przy szacunku </w:t>
      </w:r>
      <w:r w:rsidR="002A2BCE">
        <w:t>uwzględnia się udział</w:t>
      </w:r>
      <w:r>
        <w:t xml:space="preserve"> </w:t>
      </w:r>
      <w:r w:rsidR="002A2BCE">
        <w:t>„</w:t>
      </w:r>
      <w:r>
        <w:t>gapowiczów</w:t>
      </w:r>
      <w:r w:rsidR="002A2BCE">
        <w:t>”</w:t>
      </w:r>
      <w:r>
        <w:t>. Z tej metody korzysta Gdańsk, Gorzów Wielkopolski, Łódź, Opole, Poznań, Szczecin, Toruń, Warszawa, Wrocław i Zielona Góra.</w:t>
      </w:r>
    </w:p>
    <w:p w14:paraId="15CC19F7" w14:textId="159979E1" w:rsidR="00934816" w:rsidRDefault="00934816" w:rsidP="00934816">
      <w:r>
        <w:t xml:space="preserve">W przypadku Warszawy, szacunek w skali całej sieci jest następnie dzielony na poszczególne </w:t>
      </w:r>
      <w:r w:rsidR="002A2BCE">
        <w:t xml:space="preserve">środki </w:t>
      </w:r>
      <w:r>
        <w:t xml:space="preserve">komunikacji. Od sumy odejmowana jest liczba pasażerów przewiezionych na sieci kolejowej </w:t>
      </w:r>
      <w:r>
        <w:lastRenderedPageBreak/>
        <w:t xml:space="preserve">w aglomeracji, wynikająca z raportów UTK i badań „wspólnego biletu ZTM-KM-WKD”. Pozostała liczba jest dzielona według wykonywanej pracy </w:t>
      </w:r>
      <w:r w:rsidR="002A2BCE">
        <w:t>eksploatacyjnej</w:t>
      </w:r>
      <w:r w:rsidR="001E727E">
        <w:t>.</w:t>
      </w:r>
      <w:r>
        <w:t xml:space="preserve"> </w:t>
      </w:r>
      <w:r w:rsidR="001E727E">
        <w:t>S</w:t>
      </w:r>
      <w:r>
        <w:t xml:space="preserve">zczegółowy opis </w:t>
      </w:r>
      <w:r w:rsidR="001E727E">
        <w:t xml:space="preserve">tej metody </w:t>
      </w:r>
      <w:r>
        <w:t>zawiera załącznik nr 2.</w:t>
      </w:r>
    </w:p>
    <w:p w14:paraId="520CD7BF" w14:textId="4E1FB937" w:rsidR="00934816" w:rsidRDefault="00934816" w:rsidP="00934816">
      <w:r>
        <w:t xml:space="preserve">Inną przyjmowaną metodą szacowania rocznej liczby pasażerów jest okresowe badanie napełnienia pojazdów w sieci komunikacyjnej na wszystkich liniach, na przykład raz w roku. Badanie ma na celu wyznaczenie obrazu dnia powszedniego, soboty i niedzieli, który następnie można przeliczyć przez liczbę dni występujących w roku. </w:t>
      </w:r>
      <w:r w:rsidR="00D415F4">
        <w:t xml:space="preserve">Pomiary w sieci najczęściej wykonywane są ręcznie, choć systematycznie, wraz z dostawami nowych pojazdów, wzrasta liczba pojazdów wyposażonych w czujniki umożliwiające automatyczne zliczanie wsiadających i wysiadających pasażerów. W przypadku czujników przyjmowany jest błąd 3% w szacunku przewiezionej liczby pasażerów. </w:t>
      </w:r>
      <w:r>
        <w:t xml:space="preserve">W niektórych miastach wyniki badań zestawiano z szacunkową liczbą pasażerów wyznaczaną na podstawie sprzedaży biletów. Niektórzy organizatorzy twierdzili, że wyniki uzyskane z szacunków na bazie sprzedaży biletów i pomiarów w pojazdach są porównywalne (Opole, Poznań, Szczecin, Zielona Góra), inni, że badania w sieci komunikacyjnej przynosiły dokładniejsze rezultaty (Bydgoszcz, Kraków, ZTM GZM). Dla doraźnych zmian w sieci komunikacyjnej i optymalizacji rozkładów jazdy </w:t>
      </w:r>
      <w:r w:rsidR="00D415F4">
        <w:t xml:space="preserve">również </w:t>
      </w:r>
      <w:r>
        <w:t xml:space="preserve">przeprowadzane są pomiary na poszczególnych liniach i korytarzach komunikacji miejskiej. </w:t>
      </w:r>
    </w:p>
    <w:tbl>
      <w:tblPr>
        <w:tblStyle w:val="Box"/>
        <w:tblW w:w="10192" w:type="dxa"/>
        <w:tblLook w:val="05A0" w:firstRow="1" w:lastRow="0" w:firstColumn="1" w:lastColumn="1" w:noHBand="0" w:noVBand="1"/>
      </w:tblPr>
      <w:tblGrid>
        <w:gridCol w:w="993"/>
        <w:gridCol w:w="9199"/>
      </w:tblGrid>
      <w:tr w:rsidR="00934816" w:rsidRPr="00D84512" w14:paraId="0E98BDD0" w14:textId="77777777" w:rsidTr="006D3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BAB7DA8" w14:textId="77777777" w:rsidR="00934816" w:rsidRPr="001703EA" w:rsidRDefault="00934816"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0D0072B9" w14:textId="5F1EABC4" w:rsidR="00934816" w:rsidRDefault="00934816" w:rsidP="00532766">
            <w:r>
              <w:t>Wypowiedź organizatora transportu:</w:t>
            </w:r>
          </w:p>
          <w:p w14:paraId="653DCAC4" w14:textId="448E10C5" w:rsidR="00934816" w:rsidRPr="006D35F1" w:rsidRDefault="00934816" w:rsidP="00532766">
            <w:r w:rsidRPr="006D35F1">
              <w:rPr>
                <w:i/>
              </w:rPr>
              <w:t>Do pomiarów ręcznych mamy ograniczone siły i środki w tym zakresie. Mierzenie na przystankach jest trudne, pracochłonne, kosztochłonne, to dzisiaj człowiek jest największym kosztem w zakresie tego typu pomiarów, stosujemy to niezmiernie rzadko.</w:t>
            </w:r>
          </w:p>
        </w:tc>
      </w:tr>
    </w:tbl>
    <w:p w14:paraId="3FBAAB42" w14:textId="39A41669" w:rsidR="00903109" w:rsidRDefault="00903109" w:rsidP="00934816">
      <w:r w:rsidRPr="00903109">
        <w:t>Szacowanie potoków pasażerskich na potrzeby wykonywania inwestycji zazwyczaj odbywa się na podstawie danych przyporządkowanych zadanemu obszarowi lub ciągowi komunikacyjnemu w</w:t>
      </w:r>
      <w:r w:rsidR="001E727E">
        <w:t> </w:t>
      </w:r>
      <w:r w:rsidRPr="00903109">
        <w:t>modelu ruchu. Zmodernizowanym lub nowym trasom przypisuje się korzystniejsze wartości funkcji oporu, wyznaczających koszt lub czas podróży. W efekcie wynik prognozy na bazie modelu ruchu przewiduje wzrost liczby pasażerów korzystających z oddawanej inwestycji, ale zmiana w</w:t>
      </w:r>
      <w:r w:rsidR="001E727E">
        <w:t> </w:t>
      </w:r>
      <w:r w:rsidRPr="00903109">
        <w:t xml:space="preserve">modelu ma charakter sieciowy, a nie odosobniony liniowy. To odpowiada obserwacjom organizatorów, wskazującym na to, że inwestycje usprawniające transport publiczny oddziałują nie tylko na korytarz poddawany interwencji, ale na ruch w całej sieci, w tym podział użytkowników między transport publiczny i indywidualny. Wzrost liczby pasażerów na korytarzu inwestycyjnym może przyczynić się do wzrostów na korytarzach komplementarnych, np. dowozowych; ale też na odpływ pasażerów w alternatywnych relacjach. Istotna jest globalna zmiana zachowań komunikacyjnych mieszkańców danego obszaru, mierzona zmianą liczby pasażerów, sumaryczną zmianą czasu lub długości podróży wykonywanych przez pasażerów w sieci. </w:t>
      </w:r>
    </w:p>
    <w:p w14:paraId="537CC196" w14:textId="15497FDB" w:rsidR="003519DD" w:rsidRPr="00903109" w:rsidRDefault="003519DD" w:rsidP="00903109">
      <w:pPr>
        <w:pStyle w:val="Podtytu"/>
      </w:pPr>
      <w:r w:rsidRPr="00903109">
        <w:t>EFEKTYWNOŚĆ PRZEWOZÓW</w:t>
      </w:r>
    </w:p>
    <w:p w14:paraId="61B9FFA5" w14:textId="601CF51A" w:rsidR="004E434A" w:rsidRDefault="004E434A" w:rsidP="004E434A">
      <w:r>
        <w:t>Miasta mierzą efektywność wykonywanych przewozów głównie pod kątem dostosowania do potrzeb pasażera. Badania ankietowe prowadzone są m.in. w Łodzi, Krakowie, Warszawie (Barometr Warszawski</w:t>
      </w:r>
      <w:r>
        <w:rPr>
          <w:rStyle w:val="Odwoanieprzypisudolnego"/>
        </w:rPr>
        <w:footnoteReference w:id="8"/>
      </w:r>
      <w:r>
        <w:t xml:space="preserve">) i Wrocławiu. Co kilka lat (z reguły 5-7) wyznaczany jest też </w:t>
      </w:r>
      <w:proofErr w:type="spellStart"/>
      <w:r w:rsidRPr="00D43957">
        <w:rPr>
          <w:i/>
          <w:iCs/>
        </w:rPr>
        <w:t>modal</w:t>
      </w:r>
      <w:proofErr w:type="spellEnd"/>
      <w:r w:rsidRPr="00D43957">
        <w:rPr>
          <w:i/>
          <w:iCs/>
        </w:rPr>
        <w:t xml:space="preserve"> </w:t>
      </w:r>
      <w:proofErr w:type="spellStart"/>
      <w:r w:rsidRPr="00D43957">
        <w:rPr>
          <w:i/>
          <w:iCs/>
        </w:rPr>
        <w:t>split</w:t>
      </w:r>
      <w:proofErr w:type="spellEnd"/>
      <w:r>
        <w:t xml:space="preserve"> </w:t>
      </w:r>
      <w:r>
        <w:lastRenderedPageBreak/>
        <w:t xml:space="preserve">(podział </w:t>
      </w:r>
      <w:r w:rsidR="002A2BCE">
        <w:t>międzygałęziowy</w:t>
      </w:r>
      <w:r>
        <w:t xml:space="preserve">) podróży mieszkańców w ramach tzw. kompleksowych badań ruchu (KBR) oraz aktualizowany jest model ruchu. </w:t>
      </w:r>
    </w:p>
    <w:p w14:paraId="37913E80" w14:textId="1CF028C2" w:rsidR="004E434A" w:rsidRDefault="004E434A" w:rsidP="004E434A">
      <w:r>
        <w:t>Wrocław monitoruje realizację polityki mobilności poprzez zestaw 33 mierników, w tym m.in. udział podróży transportem nie samochodowym, stopień zadowolenia mieszkańców z transportu zbiorowego, stan techniczny torów tramwajowych, średnią prędkość komunikacyjną czy udział w budżecie miasta nakładów na transport</w:t>
      </w:r>
      <w:r w:rsidR="00CE7E38">
        <w:rPr>
          <w:rStyle w:val="Odwoanieprzypisudolnego"/>
        </w:rPr>
        <w:footnoteReference w:id="9"/>
      </w:r>
      <w:r>
        <w:t>.</w:t>
      </w:r>
    </w:p>
    <w:p w14:paraId="5A177B02" w14:textId="65CFE9F4" w:rsidR="004E434A" w:rsidRDefault="004E434A" w:rsidP="004E434A">
      <w:r>
        <w:t>Z reguły jednak badania wykorzystania transportu publicznego wykonywane są co kilka lat, gdy pojawiają się istotne zmiany czy to w strukturze miasta (na przykład powiększenie obszaru miasta)</w:t>
      </w:r>
      <w:r w:rsidR="008D24EB">
        <w:t>,</w:t>
      </w:r>
      <w:r>
        <w:t xml:space="preserve"> </w:t>
      </w:r>
      <w:r w:rsidR="008D24EB">
        <w:t>czy</w:t>
      </w:r>
      <w:r>
        <w:t xml:space="preserve"> w sieci komunikacyjnej. W jednym przypadku wśród badanych miast w 2015 roku nastąpiło połączenie gminy wiejskiej z miejską</w:t>
      </w:r>
      <w:r w:rsidR="00CE7E38">
        <w:t xml:space="preserve"> (Zielona Góra)</w:t>
      </w:r>
      <w:r>
        <w:t>. W</w:t>
      </w:r>
      <w:r w:rsidRPr="00D031F0">
        <w:t xml:space="preserve">ymusiło </w:t>
      </w:r>
      <w:r>
        <w:t xml:space="preserve">to </w:t>
      </w:r>
      <w:r w:rsidRPr="00D031F0">
        <w:t>zwiększenie obsługi komunikacyjnej i</w:t>
      </w:r>
      <w:r>
        <w:t> </w:t>
      </w:r>
      <w:r w:rsidRPr="00D031F0">
        <w:t>wydłużenie przebiegów linii. Podróże mieszkańców uleg</w:t>
      </w:r>
      <w:r>
        <w:t xml:space="preserve">ły </w:t>
      </w:r>
      <w:r w:rsidRPr="00D031F0">
        <w:t xml:space="preserve">wydłużeniu, </w:t>
      </w:r>
      <w:r>
        <w:t xml:space="preserve">10 km od centrum miasta zlokalizowano też strefę przemysłową. W efekcie odnotowano spadek efektywności przewozów, rozumianej w tym przypadku jako </w:t>
      </w:r>
      <w:r w:rsidRPr="00D031F0">
        <w:t>liczb</w:t>
      </w:r>
      <w:r>
        <w:t xml:space="preserve">a </w:t>
      </w:r>
      <w:r w:rsidRPr="00D031F0">
        <w:t xml:space="preserve">pasażerów przewożonych na </w:t>
      </w:r>
      <w:r>
        <w:t xml:space="preserve">przejechany </w:t>
      </w:r>
      <w:r w:rsidRPr="00D031F0">
        <w:t>kilometr</w:t>
      </w:r>
      <w:r>
        <w:t xml:space="preserve"> w komunikacji autobusowej.</w:t>
      </w:r>
    </w:p>
    <w:tbl>
      <w:tblPr>
        <w:tblStyle w:val="Box"/>
        <w:tblW w:w="10192" w:type="dxa"/>
        <w:tblLook w:val="05A0" w:firstRow="1" w:lastRow="0" w:firstColumn="1" w:lastColumn="1" w:noHBand="0" w:noVBand="1"/>
      </w:tblPr>
      <w:tblGrid>
        <w:gridCol w:w="993"/>
        <w:gridCol w:w="9199"/>
      </w:tblGrid>
      <w:tr w:rsidR="004E434A" w:rsidRPr="00D84512" w14:paraId="3ECEF554" w14:textId="77777777" w:rsidTr="006D3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5BC41D5C" w14:textId="77777777" w:rsidR="004E434A" w:rsidRPr="001703EA" w:rsidRDefault="004E434A"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0DA733E8" w14:textId="067AFED6" w:rsidR="004E434A" w:rsidRDefault="004E434A" w:rsidP="00532766">
            <w:r>
              <w:t>Wypowiedź organizatora transportu:</w:t>
            </w:r>
          </w:p>
          <w:p w14:paraId="627F0AD2" w14:textId="3ACDFB79" w:rsidR="004E434A" w:rsidRPr="006D35F1" w:rsidRDefault="004E434A" w:rsidP="00532766">
            <w:r w:rsidRPr="006D35F1">
              <w:rPr>
                <w:i/>
              </w:rPr>
              <w:t>Efektywność maleje jednak też z ekologią. Mamy przykład autobusów elektrycznych, gdzie potrzeba większej liczby autobusów do obsługi linii. Autobusy muszą stać na pętlach czy zjechać do zajezdni żeby się podładować i wtedy liczba autobusów do obsługi tych samych zadań rośnie. Ale jest ten efekt, że pojazd nie jest emisyjny w miejscu przejazdu.</w:t>
            </w:r>
          </w:p>
        </w:tc>
      </w:tr>
    </w:tbl>
    <w:p w14:paraId="73B7AE8C" w14:textId="146021D7" w:rsidR="003519DD" w:rsidRDefault="004E434A" w:rsidP="00903109">
      <w:pPr>
        <w:pStyle w:val="Podtytu"/>
      </w:pPr>
      <w:r>
        <w:t>ZARZĄDZANIE SYTUACJAMI AWARYJNYMI</w:t>
      </w:r>
    </w:p>
    <w:p w14:paraId="5845F35B" w14:textId="7E74C888" w:rsidR="004E434A" w:rsidRDefault="004E434A" w:rsidP="004E434A">
      <w:pPr>
        <w:rPr>
          <w:rFonts w:ascii="Lora" w:hAnsi="Lora"/>
          <w:color w:val="000000" w:themeColor="text1"/>
        </w:rPr>
      </w:pPr>
      <w:r>
        <w:rPr>
          <w:rFonts w:ascii="Lora" w:hAnsi="Lora"/>
          <w:color w:val="000000" w:themeColor="text1"/>
        </w:rPr>
        <w:t xml:space="preserve">Większość organizatorów reaguje na sytuacje awaryjne poprzez dyspozytorów w centrali ruchu i inspektorów nadzoru ruchu działających w terenie. W niektórych przypadkach nadzór ruchu i reakcja na sytuacje awaryjne scedowana jest na operatorów komunikacji (GZM, Poznań, Toruń). Nadzór ruchu przede wszystkim likwiduje zdarzenia drogowe i dysponuje pojazdy na objazdy. Głównym medium komunikacyjnym są radiotelefony z łącznością głosową z kierowcami. </w:t>
      </w:r>
      <w:r w:rsidRPr="00FE318D">
        <w:rPr>
          <w:rFonts w:ascii="Lora" w:hAnsi="Lora"/>
          <w:color w:val="000000" w:themeColor="text1"/>
        </w:rPr>
        <w:t>Kierowanie pojazdów w sytuacjach awaryjnych</w:t>
      </w:r>
      <w:r>
        <w:rPr>
          <w:rFonts w:ascii="Lora" w:hAnsi="Lora"/>
          <w:color w:val="000000" w:themeColor="text1"/>
        </w:rPr>
        <w:t xml:space="preserve"> odbywa się ręcznie. Wobec dziś w</w:t>
      </w:r>
      <w:r w:rsidRPr="00FE318D">
        <w:rPr>
          <w:rFonts w:ascii="Lora" w:hAnsi="Lora"/>
          <w:color w:val="000000" w:themeColor="text1"/>
        </w:rPr>
        <w:t>drażany</w:t>
      </w:r>
      <w:r>
        <w:rPr>
          <w:rFonts w:ascii="Lora" w:hAnsi="Lora"/>
          <w:color w:val="000000" w:themeColor="text1"/>
        </w:rPr>
        <w:t>ch</w:t>
      </w:r>
      <w:r w:rsidRPr="00FE318D">
        <w:rPr>
          <w:rFonts w:ascii="Lora" w:hAnsi="Lora"/>
          <w:color w:val="000000" w:themeColor="text1"/>
        </w:rPr>
        <w:t xml:space="preserve"> system</w:t>
      </w:r>
      <w:r>
        <w:rPr>
          <w:rFonts w:ascii="Lora" w:hAnsi="Lora"/>
          <w:color w:val="000000" w:themeColor="text1"/>
        </w:rPr>
        <w:t>ów</w:t>
      </w:r>
      <w:r w:rsidRPr="00FE318D">
        <w:rPr>
          <w:rFonts w:ascii="Lora" w:hAnsi="Lora"/>
          <w:color w:val="000000" w:themeColor="text1"/>
        </w:rPr>
        <w:t xml:space="preserve"> zarządzania komunikacją miejską, </w:t>
      </w:r>
      <w:r>
        <w:rPr>
          <w:rFonts w:ascii="Lora" w:hAnsi="Lora"/>
          <w:color w:val="000000" w:themeColor="text1"/>
        </w:rPr>
        <w:t xml:space="preserve">oczekuje się </w:t>
      </w:r>
      <w:r w:rsidR="004339B5">
        <w:rPr>
          <w:rFonts w:ascii="Lora" w:hAnsi="Lora"/>
          <w:color w:val="000000" w:themeColor="text1"/>
        </w:rPr>
        <w:t xml:space="preserve">jednak </w:t>
      </w:r>
      <w:r>
        <w:rPr>
          <w:rFonts w:ascii="Lora" w:hAnsi="Lora"/>
          <w:color w:val="000000" w:themeColor="text1"/>
        </w:rPr>
        <w:t>możliwości dynamicznej zmiany trasy przejazdu - wyznaczenia trasy awaryjnej i rozesłania jej do autokomputerów – z poziomu centrali ruchu.</w:t>
      </w:r>
    </w:p>
    <w:p w14:paraId="11E1C42C" w14:textId="77777777" w:rsidR="004339B5" w:rsidRDefault="004339B5" w:rsidP="004339B5">
      <w:pPr>
        <w:rPr>
          <w:rFonts w:ascii="Lora" w:hAnsi="Lora"/>
          <w:color w:val="000000" w:themeColor="text1"/>
        </w:rPr>
      </w:pPr>
      <w:r>
        <w:rPr>
          <w:rFonts w:ascii="Lora" w:hAnsi="Lora"/>
          <w:color w:val="000000" w:themeColor="text1"/>
        </w:rPr>
        <w:t xml:space="preserve">Do komunikacji z pasażerami w sytuacjach awaryjnych służą strony internetowe, profile w mediach społecznościowych, ale też tablice dynamicznej informacji pasażerskiej na przystankach, na których możliwe jest wyświetlenie komunikatów na dolnym przewijanym pasku i zmiana konfiguracji wyświetlanych linii w przypadku wprowadzenia tras objazdowych. </w:t>
      </w:r>
      <w:r w:rsidRPr="00816A11">
        <w:rPr>
          <w:rFonts w:ascii="Lora" w:hAnsi="Lora"/>
          <w:color w:val="000000" w:themeColor="text1"/>
        </w:rPr>
        <w:t xml:space="preserve">Poza </w:t>
      </w:r>
      <w:r>
        <w:rPr>
          <w:rFonts w:ascii="Lora" w:hAnsi="Lora"/>
          <w:color w:val="000000" w:themeColor="text1"/>
        </w:rPr>
        <w:t xml:space="preserve">tym wskazuje się możliwość </w:t>
      </w:r>
      <w:r w:rsidRPr="00816A11">
        <w:rPr>
          <w:rFonts w:ascii="Lora" w:hAnsi="Lora"/>
          <w:color w:val="000000" w:themeColor="text1"/>
        </w:rPr>
        <w:t>rozwinięci</w:t>
      </w:r>
      <w:r>
        <w:rPr>
          <w:rFonts w:ascii="Lora" w:hAnsi="Lora"/>
          <w:color w:val="000000" w:themeColor="text1"/>
        </w:rPr>
        <w:t>a</w:t>
      </w:r>
      <w:r w:rsidRPr="00816A11">
        <w:rPr>
          <w:rFonts w:ascii="Lora" w:hAnsi="Lora"/>
          <w:color w:val="000000" w:themeColor="text1"/>
        </w:rPr>
        <w:t xml:space="preserve"> systemu </w:t>
      </w:r>
      <w:r>
        <w:rPr>
          <w:rFonts w:ascii="Lora" w:hAnsi="Lora"/>
          <w:color w:val="000000" w:themeColor="text1"/>
        </w:rPr>
        <w:t xml:space="preserve">powiadamiania pasażerów </w:t>
      </w:r>
      <w:r w:rsidRPr="00816A11">
        <w:rPr>
          <w:rFonts w:ascii="Lora" w:hAnsi="Lora"/>
          <w:color w:val="000000" w:themeColor="text1"/>
        </w:rPr>
        <w:t>o możliwość wygłoszenia w</w:t>
      </w:r>
      <w:r>
        <w:rPr>
          <w:rFonts w:ascii="Lora" w:hAnsi="Lora"/>
          <w:color w:val="000000" w:themeColor="text1"/>
        </w:rPr>
        <w:t> </w:t>
      </w:r>
      <w:r w:rsidRPr="00816A11">
        <w:rPr>
          <w:rFonts w:ascii="Lora" w:hAnsi="Lora"/>
          <w:color w:val="000000" w:themeColor="text1"/>
        </w:rPr>
        <w:t xml:space="preserve">pojazdach komunikatów przesłanych online z dyspozytorni w postaci pliku mp3 przygotowanego </w:t>
      </w:r>
      <w:r>
        <w:rPr>
          <w:rFonts w:ascii="Lora" w:hAnsi="Lora"/>
          <w:color w:val="000000" w:themeColor="text1"/>
        </w:rPr>
        <w:t>w </w:t>
      </w:r>
      <w:r w:rsidRPr="00816A11">
        <w:rPr>
          <w:rFonts w:ascii="Lora" w:hAnsi="Lora"/>
          <w:color w:val="000000" w:themeColor="text1"/>
        </w:rPr>
        <w:t xml:space="preserve">syntezatorze mowy, z informacją o objeździe. To ma wręcz </w:t>
      </w:r>
      <w:r>
        <w:rPr>
          <w:rFonts w:ascii="Lora" w:hAnsi="Lora"/>
          <w:color w:val="000000" w:themeColor="text1"/>
        </w:rPr>
        <w:t xml:space="preserve">jeszcze </w:t>
      </w:r>
      <w:r w:rsidRPr="00816A11">
        <w:rPr>
          <w:rFonts w:ascii="Lora" w:hAnsi="Lora"/>
          <w:color w:val="000000" w:themeColor="text1"/>
        </w:rPr>
        <w:t xml:space="preserve">większe znaczenie niż </w:t>
      </w:r>
      <w:r>
        <w:rPr>
          <w:rFonts w:ascii="Lora" w:hAnsi="Lora"/>
          <w:color w:val="000000" w:themeColor="text1"/>
        </w:rPr>
        <w:t xml:space="preserve">automatyczne </w:t>
      </w:r>
      <w:r w:rsidRPr="00816A11">
        <w:rPr>
          <w:rFonts w:ascii="Lora" w:hAnsi="Lora"/>
          <w:color w:val="000000" w:themeColor="text1"/>
        </w:rPr>
        <w:t>wskazanie motorniczemu tras</w:t>
      </w:r>
      <w:r>
        <w:rPr>
          <w:rFonts w:ascii="Lora" w:hAnsi="Lora"/>
          <w:color w:val="000000" w:themeColor="text1"/>
        </w:rPr>
        <w:t>y</w:t>
      </w:r>
      <w:r w:rsidRPr="00816A11">
        <w:rPr>
          <w:rFonts w:ascii="Lora" w:hAnsi="Lora"/>
          <w:color w:val="000000" w:themeColor="text1"/>
        </w:rPr>
        <w:t xml:space="preserve"> objazdu, </w:t>
      </w:r>
      <w:r>
        <w:rPr>
          <w:rFonts w:ascii="Lora" w:hAnsi="Lora"/>
          <w:color w:val="000000" w:themeColor="text1"/>
        </w:rPr>
        <w:t>by</w:t>
      </w:r>
      <w:r w:rsidRPr="00816A11">
        <w:rPr>
          <w:rFonts w:ascii="Lora" w:hAnsi="Lora"/>
          <w:color w:val="000000" w:themeColor="text1"/>
        </w:rPr>
        <w:t xml:space="preserve"> przede wszystkim poinformowa</w:t>
      </w:r>
      <w:r>
        <w:rPr>
          <w:rFonts w:ascii="Lora" w:hAnsi="Lora"/>
          <w:color w:val="000000" w:themeColor="text1"/>
        </w:rPr>
        <w:t>ć</w:t>
      </w:r>
      <w:r w:rsidRPr="00816A11">
        <w:rPr>
          <w:rFonts w:ascii="Lora" w:hAnsi="Lora"/>
          <w:color w:val="000000" w:themeColor="text1"/>
        </w:rPr>
        <w:t xml:space="preserve"> </w:t>
      </w:r>
      <w:r>
        <w:rPr>
          <w:rFonts w:ascii="Lora" w:hAnsi="Lora"/>
          <w:color w:val="000000" w:themeColor="text1"/>
        </w:rPr>
        <w:t xml:space="preserve">pasażerów </w:t>
      </w:r>
      <w:r w:rsidRPr="00816A11">
        <w:rPr>
          <w:rFonts w:ascii="Lora" w:hAnsi="Lora"/>
          <w:color w:val="000000" w:themeColor="text1"/>
        </w:rPr>
        <w:t xml:space="preserve">o trasie </w:t>
      </w:r>
      <w:r>
        <w:rPr>
          <w:rFonts w:ascii="Lora" w:hAnsi="Lora"/>
          <w:color w:val="000000" w:themeColor="text1"/>
        </w:rPr>
        <w:t>objazdowej</w:t>
      </w:r>
      <w:r w:rsidRPr="00816A11">
        <w:rPr>
          <w:rFonts w:ascii="Lora" w:hAnsi="Lora"/>
          <w:color w:val="000000" w:themeColor="text1"/>
        </w:rPr>
        <w:t>.</w:t>
      </w:r>
    </w:p>
    <w:p w14:paraId="3C57B36A" w14:textId="103595E9" w:rsidR="004339B5" w:rsidRDefault="004339B5" w:rsidP="004339B5">
      <w:pPr>
        <w:rPr>
          <w:rFonts w:ascii="Lora" w:hAnsi="Lora"/>
          <w:color w:val="000000" w:themeColor="text1"/>
        </w:rPr>
      </w:pPr>
      <w:r>
        <w:rPr>
          <w:rFonts w:ascii="Lora" w:hAnsi="Lora"/>
          <w:color w:val="000000" w:themeColor="text1"/>
        </w:rPr>
        <w:lastRenderedPageBreak/>
        <w:t>We Wrocławiu p</w:t>
      </w:r>
      <w:r w:rsidRPr="00FE318D">
        <w:rPr>
          <w:rFonts w:ascii="Lora" w:hAnsi="Lora"/>
          <w:color w:val="000000" w:themeColor="text1"/>
        </w:rPr>
        <w:t xml:space="preserve">owstał plan awaryjny, na jakie ciągi kierować tramwaje w przypadku </w:t>
      </w:r>
      <w:r w:rsidR="002A2BCE">
        <w:rPr>
          <w:rFonts w:ascii="Lora" w:hAnsi="Lora"/>
          <w:color w:val="000000" w:themeColor="text1"/>
        </w:rPr>
        <w:t>zatrzymań</w:t>
      </w:r>
      <w:r w:rsidR="002A2BCE" w:rsidRPr="00FE318D">
        <w:rPr>
          <w:rFonts w:ascii="Lora" w:hAnsi="Lora"/>
          <w:color w:val="000000" w:themeColor="text1"/>
        </w:rPr>
        <w:t xml:space="preserve"> </w:t>
      </w:r>
      <w:r w:rsidRPr="00FE318D">
        <w:rPr>
          <w:rFonts w:ascii="Lora" w:hAnsi="Lora"/>
          <w:color w:val="000000" w:themeColor="text1"/>
        </w:rPr>
        <w:t>i</w:t>
      </w:r>
      <w:r w:rsidR="002A2BCE">
        <w:rPr>
          <w:rFonts w:ascii="Lora" w:hAnsi="Lora"/>
          <w:color w:val="000000" w:themeColor="text1"/>
        </w:rPr>
        <w:t> </w:t>
      </w:r>
      <w:r w:rsidRPr="00FE318D">
        <w:rPr>
          <w:rFonts w:ascii="Lora" w:hAnsi="Lora"/>
          <w:color w:val="000000" w:themeColor="text1"/>
        </w:rPr>
        <w:t>jak przekonfigurować system sterowania ruchem, by tramwaje na awaryjnych ciągach efektywnie sterować.</w:t>
      </w:r>
    </w:p>
    <w:tbl>
      <w:tblPr>
        <w:tblStyle w:val="Box"/>
        <w:tblW w:w="10192" w:type="dxa"/>
        <w:tblLook w:val="05A0" w:firstRow="1" w:lastRow="0" w:firstColumn="1" w:lastColumn="1" w:noHBand="0" w:noVBand="1"/>
      </w:tblPr>
      <w:tblGrid>
        <w:gridCol w:w="993"/>
        <w:gridCol w:w="9199"/>
      </w:tblGrid>
      <w:tr w:rsidR="004339B5" w:rsidRPr="00D84512" w14:paraId="67E364ED"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A2A0385" w14:textId="77777777" w:rsidR="004339B5" w:rsidRPr="001703EA" w:rsidRDefault="004339B5"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48D5D052" w14:textId="08CF0C83" w:rsidR="004339B5" w:rsidRDefault="004339B5" w:rsidP="00532766">
            <w:r>
              <w:t>Wypowiedź organizatora transportu:</w:t>
            </w:r>
          </w:p>
          <w:p w14:paraId="4DA5ACCF" w14:textId="0877108A" w:rsidR="004339B5" w:rsidRPr="00731D0C" w:rsidRDefault="004339B5" w:rsidP="00532766">
            <w:r w:rsidRPr="00731D0C">
              <w:rPr>
                <w:i/>
              </w:rPr>
              <w:t>Mieliśmy zdarzenie, tu nie tylko jest istotne kiedy ono zostało całkowicie zakończone, ale też jaka była jakość jego obsługi w trakcie. Jeszcze kilka lat temu mieliśmy gigantyczny problem, zdarzało się, że zamknięcie jednego korytarza tramwajowego, spowodowało na alternatywnym korytarzu niesamowite przeciążenie i korek tramwajowy na kilka kilometrów. Wyciągnęliśmy z</w:t>
            </w:r>
            <w:r w:rsidRPr="00731D0C">
              <w:rPr>
                <w:rFonts w:ascii="Calibri" w:hAnsi="Calibri" w:cs="Calibri"/>
                <w:i/>
              </w:rPr>
              <w:t> </w:t>
            </w:r>
            <w:r w:rsidRPr="00731D0C">
              <w:rPr>
                <w:i/>
              </w:rPr>
              <w:t>tego wnioski i opracowaliśmy nowe rozwiązanie, potrafimy zmienić system sterowania na wybranych skrzyżowaniach, na tyle że licząc się z tym że tramwaje jadą objazdem, to ruch odbywa się płynnie. To się już kilka razy sprawdziło. Na przykład pięciokrotne zwiększenie natężenia na danym korytarzu, co momentalnie powodowałoby korek, to dzięki dostępnym narzędziom usunęliśmy zdarzenie w 5 minut. Zdarzenie całe zostało usunięte po godzinie, ale nie było odczuwalnego kryzysu na innych korytarzach.</w:t>
            </w:r>
          </w:p>
        </w:tc>
      </w:tr>
    </w:tbl>
    <w:p w14:paraId="4FCE1062" w14:textId="7FA5C849" w:rsidR="004339B5" w:rsidRDefault="004339B5" w:rsidP="004339B5">
      <w:pPr>
        <w:rPr>
          <w:rFonts w:ascii="Lora" w:hAnsi="Lora"/>
          <w:color w:val="000000" w:themeColor="text1"/>
        </w:rPr>
      </w:pPr>
      <w:r>
        <w:rPr>
          <w:rFonts w:ascii="Lora" w:hAnsi="Lora"/>
          <w:color w:val="000000" w:themeColor="text1"/>
        </w:rPr>
        <w:t>Informacje o z</w:t>
      </w:r>
      <w:r w:rsidRPr="00865DE5">
        <w:rPr>
          <w:rFonts w:ascii="Lora" w:hAnsi="Lora"/>
          <w:color w:val="000000" w:themeColor="text1"/>
        </w:rPr>
        <w:t>darzenia</w:t>
      </w:r>
      <w:r>
        <w:rPr>
          <w:rFonts w:ascii="Lora" w:hAnsi="Lora"/>
          <w:color w:val="000000" w:themeColor="text1"/>
        </w:rPr>
        <w:t xml:space="preserve">ch gromadzone są z reguły w bazach danych lub arkuszach kalkulacyjnych. Organizatorzy nie mierzą jednak efektywności zarzadzania sytuacjami awaryjnymi. </w:t>
      </w:r>
      <w:r w:rsidR="002A2BCE">
        <w:rPr>
          <w:rFonts w:ascii="Lora" w:hAnsi="Lora"/>
          <w:color w:val="000000" w:themeColor="text1"/>
        </w:rPr>
        <w:t xml:space="preserve">Niemożliwe </w:t>
      </w:r>
      <w:r>
        <w:rPr>
          <w:rFonts w:ascii="Lora" w:hAnsi="Lora"/>
          <w:color w:val="000000" w:themeColor="text1"/>
        </w:rPr>
        <w:t>jest wręcz wyznaczenie średniego czasu usuwania awarii, o co pytano miasta</w:t>
      </w:r>
      <w:r w:rsidR="00E4572E">
        <w:rPr>
          <w:rFonts w:ascii="Lora" w:hAnsi="Lora"/>
          <w:color w:val="000000" w:themeColor="text1"/>
        </w:rPr>
        <w:t xml:space="preserve"> w badaniu ankietowym. Trudność wynika z problemu klasyfikacji przyczyn zdarzeń i możliwości ich porównywania ze sobą.</w:t>
      </w:r>
    </w:p>
    <w:tbl>
      <w:tblPr>
        <w:tblStyle w:val="Box"/>
        <w:tblW w:w="10192" w:type="dxa"/>
        <w:tblLook w:val="05A0" w:firstRow="1" w:lastRow="0" w:firstColumn="1" w:lastColumn="1" w:noHBand="0" w:noVBand="1"/>
      </w:tblPr>
      <w:tblGrid>
        <w:gridCol w:w="993"/>
        <w:gridCol w:w="9199"/>
      </w:tblGrid>
      <w:tr w:rsidR="004339B5" w:rsidRPr="00D84512" w14:paraId="5D12F95B" w14:textId="77777777" w:rsidTr="006D3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7EB4C86" w14:textId="77777777" w:rsidR="004339B5" w:rsidRPr="001703EA" w:rsidRDefault="004339B5"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58E37ED4" w14:textId="239DEE44" w:rsidR="004339B5" w:rsidRDefault="004339B5" w:rsidP="00532766">
            <w:r>
              <w:t>Wypowiedź organizatora transportu:</w:t>
            </w:r>
          </w:p>
          <w:p w14:paraId="2A85762A" w14:textId="409C291E" w:rsidR="004339B5" w:rsidRPr="006D35F1" w:rsidRDefault="004339B5" w:rsidP="00532766">
            <w:r w:rsidRPr="006D35F1">
              <w:rPr>
                <w:i/>
              </w:rPr>
              <w:t>To jest trudne, bo trzeba wziąć pod uwagę różne czynniki. Jeden czynnik to będą awarie podstacji i sieci zasilania, innym czynnikiem będzie awaria torowa, kolejnym taboru, ale to jest po stronie operatora, który równocześnie w umowie powierzenia zajmuje się torami i sieciami, a tabor ma swój. Druga kategoria czynników dotyczy awarii zewnętrznych. Ostatnio mieliśmy kilka takich spektakularnych, wodociągowych, gdzie te ciągi są albo pod, albo przy torowisku i</w:t>
            </w:r>
            <w:r w:rsidR="00E4572E" w:rsidRPr="006D35F1">
              <w:rPr>
                <w:rFonts w:ascii="Calibri" w:hAnsi="Calibri" w:cs="Calibri"/>
                <w:i/>
              </w:rPr>
              <w:t> </w:t>
            </w:r>
            <w:r w:rsidRPr="006D35F1">
              <w:rPr>
                <w:i/>
              </w:rPr>
              <w:t>trzeba zatrzymać ruch, ze względu na konieczność zrobienia wykopu, naprawy i przywrócenia nawierzchni. Te elementy są usuwane całkiem szybko - ostatnio takie kluczowe miejsca naprawiane były w 24, maksymalnie 48 godzin.</w:t>
            </w:r>
          </w:p>
        </w:tc>
      </w:tr>
    </w:tbl>
    <w:p w14:paraId="73136581" w14:textId="2BC514FD" w:rsidR="004339B5" w:rsidRDefault="00E4572E" w:rsidP="00903109">
      <w:pPr>
        <w:pStyle w:val="Podtytu"/>
      </w:pPr>
      <w:r>
        <w:t xml:space="preserve">PARKINGI </w:t>
      </w:r>
      <w:r w:rsidRPr="00903109">
        <w:rPr>
          <w:i/>
        </w:rPr>
        <w:t>PARK</w:t>
      </w:r>
      <w:r w:rsidR="00552334" w:rsidRPr="00903109">
        <w:rPr>
          <w:i/>
        </w:rPr>
        <w:t xml:space="preserve"> </w:t>
      </w:r>
      <w:r w:rsidRPr="00903109">
        <w:rPr>
          <w:i/>
        </w:rPr>
        <w:t>&amp;</w:t>
      </w:r>
      <w:r w:rsidR="00552334" w:rsidRPr="00903109">
        <w:rPr>
          <w:i/>
        </w:rPr>
        <w:t xml:space="preserve"> </w:t>
      </w:r>
      <w:r w:rsidRPr="00903109">
        <w:rPr>
          <w:i/>
        </w:rPr>
        <w:t>RIDE</w:t>
      </w:r>
    </w:p>
    <w:p w14:paraId="436C3436" w14:textId="77777777" w:rsidR="00B45830" w:rsidRDefault="00B45830" w:rsidP="00B45830">
      <w:pPr>
        <w:rPr>
          <w:rFonts w:ascii="Lora" w:hAnsi="Lora"/>
          <w:color w:val="000000" w:themeColor="text1"/>
        </w:rPr>
      </w:pPr>
      <w:r>
        <w:rPr>
          <w:rFonts w:ascii="Lora" w:hAnsi="Lora"/>
          <w:color w:val="000000" w:themeColor="text1"/>
        </w:rPr>
        <w:t xml:space="preserve">Organizatorzy wyróżnili 4 determinanty korzystania z parkingów </w:t>
      </w:r>
      <w:r w:rsidRPr="00307E9E">
        <w:rPr>
          <w:rFonts w:ascii="Lora" w:hAnsi="Lora"/>
          <w:i/>
          <w:color w:val="000000" w:themeColor="text1"/>
        </w:rPr>
        <w:t>P&amp;R</w:t>
      </w:r>
      <w:r>
        <w:rPr>
          <w:rFonts w:ascii="Lora" w:hAnsi="Lora"/>
          <w:color w:val="000000" w:themeColor="text1"/>
        </w:rPr>
        <w:t>:</w:t>
      </w:r>
    </w:p>
    <w:p w14:paraId="291BE485" w14:textId="64FDCD9D" w:rsidR="00B45830" w:rsidRPr="0023338B" w:rsidRDefault="00B45830" w:rsidP="001B2A4E">
      <w:pPr>
        <w:pStyle w:val="Akapitzlist"/>
        <w:numPr>
          <w:ilvl w:val="0"/>
          <w:numId w:val="50"/>
        </w:numPr>
        <w:rPr>
          <w:rFonts w:ascii="Lora" w:hAnsi="Lora"/>
          <w:color w:val="000000" w:themeColor="text1"/>
        </w:rPr>
      </w:pPr>
      <w:r w:rsidRPr="0023338B">
        <w:rPr>
          <w:rFonts w:ascii="Lora" w:hAnsi="Lora"/>
          <w:color w:val="000000" w:themeColor="text1"/>
        </w:rPr>
        <w:t xml:space="preserve">system taryfowo-biletowo - opłaty za korzystanie z </w:t>
      </w:r>
      <w:r w:rsidRPr="0023338B">
        <w:rPr>
          <w:rFonts w:ascii="Lora" w:hAnsi="Lora"/>
          <w:i/>
          <w:color w:val="000000" w:themeColor="text1"/>
        </w:rPr>
        <w:t>P&amp;R</w:t>
      </w:r>
      <w:r w:rsidRPr="0023338B">
        <w:rPr>
          <w:rFonts w:ascii="Lora" w:hAnsi="Lora"/>
          <w:color w:val="000000" w:themeColor="text1"/>
        </w:rPr>
        <w:t xml:space="preserve"> i komunikacji miejskiej muszą korelować z opłatami w strefie płatnego parkowania, </w:t>
      </w:r>
    </w:p>
    <w:p w14:paraId="2E1A812F" w14:textId="003DCA45" w:rsidR="00B45830" w:rsidRPr="0023338B" w:rsidRDefault="00B45830" w:rsidP="001B2A4E">
      <w:pPr>
        <w:pStyle w:val="Akapitzlist"/>
        <w:numPr>
          <w:ilvl w:val="0"/>
          <w:numId w:val="50"/>
        </w:numPr>
        <w:rPr>
          <w:rFonts w:ascii="Lora" w:hAnsi="Lora"/>
          <w:color w:val="000000" w:themeColor="text1"/>
        </w:rPr>
      </w:pPr>
      <w:r w:rsidRPr="0023338B">
        <w:rPr>
          <w:rFonts w:ascii="Lora" w:hAnsi="Lora"/>
          <w:color w:val="000000" w:themeColor="text1"/>
        </w:rPr>
        <w:t>różnica między czasem dojazdu transportem indywidualnym, a publicznym;</w:t>
      </w:r>
    </w:p>
    <w:p w14:paraId="49DAAAC3" w14:textId="626864C1" w:rsidR="00B45830" w:rsidRPr="0023338B" w:rsidRDefault="00B45830" w:rsidP="001B2A4E">
      <w:pPr>
        <w:pStyle w:val="Akapitzlist"/>
        <w:numPr>
          <w:ilvl w:val="0"/>
          <w:numId w:val="50"/>
        </w:numPr>
        <w:rPr>
          <w:rFonts w:ascii="Lora" w:hAnsi="Lora"/>
          <w:color w:val="000000" w:themeColor="text1"/>
        </w:rPr>
      </w:pPr>
      <w:r w:rsidRPr="0023338B">
        <w:rPr>
          <w:rFonts w:ascii="Lora" w:hAnsi="Lora"/>
          <w:color w:val="000000" w:themeColor="text1"/>
        </w:rPr>
        <w:t>lokalizacja parkingu – na kierunkach wlotowych do miast, w obrębie dogodnego węzła przesiadkowego, gdzie transport publiczny kursuje z wysoką częstotliwością i ten transport jest szybki;</w:t>
      </w:r>
    </w:p>
    <w:p w14:paraId="64D5C7A4" w14:textId="2157956E" w:rsidR="00B45830" w:rsidRPr="0023338B" w:rsidRDefault="00B45830" w:rsidP="001B2A4E">
      <w:pPr>
        <w:pStyle w:val="Akapitzlist"/>
        <w:numPr>
          <w:ilvl w:val="0"/>
          <w:numId w:val="50"/>
        </w:numPr>
        <w:rPr>
          <w:rFonts w:ascii="Lora" w:hAnsi="Lora"/>
          <w:color w:val="000000" w:themeColor="text1"/>
        </w:rPr>
      </w:pPr>
      <w:r w:rsidRPr="0023338B">
        <w:rPr>
          <w:rFonts w:ascii="Lora" w:hAnsi="Lora"/>
          <w:color w:val="000000" w:themeColor="text1"/>
        </w:rPr>
        <w:t>bezpieczeństwo – kierowca musi mieć pewność, że pojazd pozostanie na parkingu nietknięty, monitoring wizyjny najczęściej rozwiązuje to zagadnienie.</w:t>
      </w:r>
    </w:p>
    <w:p w14:paraId="7858BF62" w14:textId="1601956E" w:rsidR="00B45830" w:rsidRDefault="00B45830" w:rsidP="00B45830">
      <w:pPr>
        <w:rPr>
          <w:rFonts w:ascii="Lora" w:hAnsi="Lora"/>
          <w:color w:val="000000" w:themeColor="text1"/>
        </w:rPr>
      </w:pPr>
      <w:r>
        <w:rPr>
          <w:rFonts w:ascii="Lora" w:hAnsi="Lora"/>
          <w:color w:val="000000" w:themeColor="text1"/>
        </w:rPr>
        <w:lastRenderedPageBreak/>
        <w:t xml:space="preserve">Parkingi przy węzłach przesiadkowych działają w miastach w dwóch </w:t>
      </w:r>
      <w:r w:rsidR="002A2BCE">
        <w:rPr>
          <w:rFonts w:ascii="Lora" w:hAnsi="Lora"/>
          <w:color w:val="000000" w:themeColor="text1"/>
        </w:rPr>
        <w:t>modelach</w:t>
      </w:r>
      <w:r>
        <w:rPr>
          <w:rFonts w:ascii="Lora" w:hAnsi="Lora"/>
          <w:color w:val="000000" w:themeColor="text1"/>
        </w:rPr>
        <w:t xml:space="preserve">: otwartym i bezpłatnym – z chęcią zainteresowania mieszkańców tymi miejscami - lub zamkniętym – gdzie można wjechać tylko posiadając lub kupując bilet komunikacji miejskiej, np. okresowy. W wersji zamkniętej parkingi często wyposażone są w automatyczne systemy zliczające pojazdy i określające zapełnienie parkingu. Okresowo wykonuje się też pomiary ręczne. </w:t>
      </w:r>
    </w:p>
    <w:p w14:paraId="348D7222" w14:textId="4B131964" w:rsidR="00B45830" w:rsidRDefault="00B45830" w:rsidP="00B45830">
      <w:pPr>
        <w:rPr>
          <w:rFonts w:ascii="Lora" w:hAnsi="Lora"/>
          <w:color w:val="000000" w:themeColor="text1"/>
        </w:rPr>
      </w:pPr>
      <w:r>
        <w:rPr>
          <w:rFonts w:ascii="Lora" w:hAnsi="Lora"/>
          <w:color w:val="000000" w:themeColor="text1"/>
        </w:rPr>
        <w:t xml:space="preserve">Parkingi najczęściej powstają w miejscach, gdzie wcześniej obserwowano trend przesiadania się z samochodów do komunikacji miejskiej lub kolei – jako odpowiedź na zapotrzebowanie i chęć ucywilizowania przestrzeni. Niektóre parkingi, np. przy stacjach metra, powstają w wyniku prognozy dużego zainteresowania pozostawienia samochodu przy danej stacji. W części miast dopiero pojawią się pierwsze parkingi typu </w:t>
      </w:r>
      <w:r w:rsidRPr="00307E9E">
        <w:rPr>
          <w:rFonts w:ascii="Lora" w:hAnsi="Lora"/>
          <w:i/>
          <w:color w:val="000000" w:themeColor="text1"/>
        </w:rPr>
        <w:t>Park</w:t>
      </w:r>
      <w:r w:rsidR="00552334" w:rsidRPr="00307E9E">
        <w:rPr>
          <w:rFonts w:ascii="Lora" w:hAnsi="Lora"/>
          <w:i/>
          <w:color w:val="000000" w:themeColor="text1"/>
        </w:rPr>
        <w:t xml:space="preserve"> </w:t>
      </w:r>
      <w:r w:rsidRPr="00307E9E">
        <w:rPr>
          <w:rFonts w:ascii="Lora" w:hAnsi="Lora"/>
          <w:i/>
          <w:color w:val="000000" w:themeColor="text1"/>
        </w:rPr>
        <w:t>&amp;</w:t>
      </w:r>
      <w:r w:rsidR="00552334" w:rsidRPr="00307E9E">
        <w:rPr>
          <w:rFonts w:ascii="Lora" w:hAnsi="Lora"/>
          <w:i/>
          <w:color w:val="000000" w:themeColor="text1"/>
        </w:rPr>
        <w:t xml:space="preserve"> </w:t>
      </w:r>
      <w:proofErr w:type="spellStart"/>
      <w:r w:rsidRPr="00307E9E">
        <w:rPr>
          <w:rFonts w:ascii="Lora" w:hAnsi="Lora"/>
          <w:i/>
          <w:color w:val="000000" w:themeColor="text1"/>
        </w:rPr>
        <w:t>Ride</w:t>
      </w:r>
      <w:proofErr w:type="spellEnd"/>
      <w:r>
        <w:rPr>
          <w:rFonts w:ascii="Lora" w:hAnsi="Lora"/>
          <w:color w:val="000000" w:themeColor="text1"/>
        </w:rPr>
        <w:t xml:space="preserve"> – np. na obszarze GZM, w Bydgoszczy czy Toruniu.</w:t>
      </w:r>
    </w:p>
    <w:p w14:paraId="28DE85FA" w14:textId="77777777" w:rsidR="00B45830" w:rsidRDefault="00B45830" w:rsidP="00B45830">
      <w:pPr>
        <w:rPr>
          <w:rFonts w:ascii="Lora" w:hAnsi="Lora"/>
          <w:color w:val="000000" w:themeColor="text1"/>
        </w:rPr>
      </w:pPr>
      <w:r>
        <w:rPr>
          <w:rFonts w:ascii="Lora" w:hAnsi="Lora"/>
          <w:color w:val="000000" w:themeColor="text1"/>
        </w:rPr>
        <w:t xml:space="preserve">Organizatorzy prognozują wzrost zainteresowania parkingami </w:t>
      </w:r>
      <w:r w:rsidRPr="00307E9E">
        <w:rPr>
          <w:rFonts w:ascii="Lora" w:hAnsi="Lora"/>
          <w:i/>
          <w:color w:val="000000" w:themeColor="text1"/>
        </w:rPr>
        <w:t>P&amp;R</w:t>
      </w:r>
      <w:r>
        <w:rPr>
          <w:rFonts w:ascii="Lora" w:hAnsi="Lora"/>
          <w:color w:val="000000" w:themeColor="text1"/>
        </w:rPr>
        <w:t xml:space="preserve"> po ustawowym umożliwieniu podniesienia stawek za parkowanie i skorzystaniu z tej zmiany przez zarządców stref parkowania.</w:t>
      </w:r>
    </w:p>
    <w:tbl>
      <w:tblPr>
        <w:tblStyle w:val="Box"/>
        <w:tblW w:w="10192" w:type="dxa"/>
        <w:tblLook w:val="05A0" w:firstRow="1" w:lastRow="0" w:firstColumn="1" w:lastColumn="1" w:noHBand="0" w:noVBand="1"/>
      </w:tblPr>
      <w:tblGrid>
        <w:gridCol w:w="993"/>
        <w:gridCol w:w="9199"/>
      </w:tblGrid>
      <w:tr w:rsidR="00B45830" w:rsidRPr="00D84512" w14:paraId="63200C93"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30A4B1A6" w14:textId="77777777" w:rsidR="00B45830" w:rsidRPr="001703EA" w:rsidRDefault="00B45830"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393FFD1B" w14:textId="77777777" w:rsidR="00B45830" w:rsidRDefault="00B45830" w:rsidP="00532766">
            <w:r>
              <w:t>Wypowiedź organizatora transportu:</w:t>
            </w:r>
          </w:p>
          <w:p w14:paraId="66DDB971" w14:textId="496A56A7" w:rsidR="00B45830" w:rsidRPr="00731D0C" w:rsidRDefault="00B45830" w:rsidP="00532766">
            <w:r w:rsidRPr="00731D0C">
              <w:rPr>
                <w:i/>
              </w:rPr>
              <w:t>W związku z uchwałą parkingową, która została uchwalona niedawno</w:t>
            </w:r>
            <w:r w:rsidR="001A6334" w:rsidRPr="00731D0C">
              <w:rPr>
                <w:i/>
              </w:rPr>
              <w:t>,</w:t>
            </w:r>
            <w:r w:rsidRPr="00731D0C">
              <w:rPr>
                <w:i/>
              </w:rPr>
              <w:t xml:space="preserve"> to się zmieni. Stawki znacznie wzrosną za parkowanie, a sama strefa też ulegnie znacznemu powiększeniu, w związku z tym myślimy, że każdy parking P</w:t>
            </w:r>
            <w:r w:rsidR="00552334" w:rsidRPr="00731D0C">
              <w:rPr>
                <w:i/>
              </w:rPr>
              <w:t>&amp;</w:t>
            </w:r>
            <w:r w:rsidRPr="00731D0C">
              <w:rPr>
                <w:i/>
              </w:rPr>
              <w:t>R będzie zapełniony w najbliższym czasie.</w:t>
            </w:r>
          </w:p>
        </w:tc>
      </w:tr>
    </w:tbl>
    <w:p w14:paraId="7E36A841" w14:textId="75AB76F6" w:rsidR="004339B5" w:rsidRDefault="00B45830" w:rsidP="00903109">
      <w:pPr>
        <w:pStyle w:val="Podtytu"/>
      </w:pPr>
      <w:r>
        <w:t>WĘZŁY PRZESIADKOWE</w:t>
      </w:r>
    </w:p>
    <w:p w14:paraId="6FE0D08C" w14:textId="28CD1DC4" w:rsidR="00B45830" w:rsidRDefault="00B45830" w:rsidP="00B45830">
      <w:pPr>
        <w:rPr>
          <w:color w:val="000000" w:themeColor="text1"/>
        </w:rPr>
      </w:pPr>
      <w:r w:rsidRPr="00786C03">
        <w:rPr>
          <w:color w:val="000000" w:themeColor="text1"/>
        </w:rPr>
        <w:t>Organizatorzy zaznaczają, że w kwestii węzłów przesiadkowych jest jeszcze dużo do zrobienia</w:t>
      </w:r>
      <w:r>
        <w:rPr>
          <w:color w:val="000000" w:themeColor="text1"/>
        </w:rPr>
        <w:t>: zarówno pod kątem modernizacji infrastruktury obsługującej pojazdy i pasażerów, ale też wyposażenia węzłów</w:t>
      </w:r>
      <w:r w:rsidRPr="00786C03">
        <w:rPr>
          <w:color w:val="000000" w:themeColor="text1"/>
        </w:rPr>
        <w:t>.</w:t>
      </w:r>
      <w:r>
        <w:rPr>
          <w:color w:val="000000" w:themeColor="text1"/>
        </w:rPr>
        <w:t xml:space="preserve"> W Warszawie trwa przygotowanie standardów węzłów przesiadkowych, które w październiku 2019 roku poddano konsultacjom społecznym. Organizatorzy wskazali, że forma węzłów przesiadkowych powinna być z nimi konsultowana szczególnie na etapie projektowania, by uniknąć złych rozwiązań.</w:t>
      </w:r>
    </w:p>
    <w:tbl>
      <w:tblPr>
        <w:tblStyle w:val="Box"/>
        <w:tblW w:w="10192" w:type="dxa"/>
        <w:tblLook w:val="05A0" w:firstRow="1" w:lastRow="0" w:firstColumn="1" w:lastColumn="1" w:noHBand="0" w:noVBand="1"/>
      </w:tblPr>
      <w:tblGrid>
        <w:gridCol w:w="993"/>
        <w:gridCol w:w="9199"/>
      </w:tblGrid>
      <w:tr w:rsidR="00B45830" w:rsidRPr="00D84512" w14:paraId="52864C9A"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BBEFBDE" w14:textId="77777777" w:rsidR="00B45830" w:rsidRPr="001703EA" w:rsidRDefault="00B45830"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38D11B10" w14:textId="77777777" w:rsidR="00B45830" w:rsidRDefault="00B45830" w:rsidP="00532766">
            <w:r>
              <w:t>Wypowiedź organizatora transportu:</w:t>
            </w:r>
          </w:p>
          <w:p w14:paraId="4907FD1E" w14:textId="19FAC2C6" w:rsidR="00B45830" w:rsidRPr="00731D0C" w:rsidRDefault="00B45830" w:rsidP="00532766">
            <w:bookmarkStart w:id="108" w:name="_Hlk24464536"/>
            <w:r w:rsidRPr="00731D0C">
              <w:rPr>
                <w:i/>
              </w:rPr>
              <w:t xml:space="preserve">Dobry przykład to dworzec w Katowicach. My mieliśmy bardzo duży udział przy projektowaniu. Pierwsze projekty to była tragedia, kilka autobusów by wjechało, ludzie by musieli przechodzić w obrębie tego podziemnego węzła na drugą stronę ruchliwej ulicy, która prowadzi ze wschodu na zachód, a w tej chwili w zasadzie tylko w jednym miejscu jest problem, gdzie ludzie przechodzą do galerii, to muszą uważać na przejeżdżający autobus. Dziś pasażerowie schodzą z dworca kolejowego do węzła na wyspę centralną i dochodzą bezpośrednio do autobusów. Wymyśliliśmy, że tam właśnie będzie ruch lewostronny, żeby drzwi były zawsze od strony wyspy. W którymś momencie zrobiliśmy nawet odwzorowanie tego dworca 1 do 1, na dużym placu raz w Gliwicach, raz za </w:t>
            </w:r>
            <w:r w:rsidR="00814470" w:rsidRPr="00731D0C">
              <w:rPr>
                <w:i/>
              </w:rPr>
              <w:t>Spodkiem</w:t>
            </w:r>
            <w:r w:rsidRPr="00731D0C">
              <w:rPr>
                <w:i/>
              </w:rPr>
              <w:t>. Rysowaliśmy piaskiem linie po placu, wjechały autobusy i</w:t>
            </w:r>
            <w:r w:rsidR="00731D0C">
              <w:rPr>
                <w:rFonts w:ascii="Calibri" w:hAnsi="Calibri" w:cs="Calibri"/>
                <w:i/>
              </w:rPr>
              <w:t> </w:t>
            </w:r>
            <w:r w:rsidRPr="00731D0C">
              <w:rPr>
                <w:i/>
              </w:rPr>
              <w:t>próbowały się pomieścić. Projektant zapewniał, że z perspektywy projektu w komputerze wszystko było przejezdne, ale kierowcy później mieli problem z przejazdem. Ostatecznie poprawki zostały wprowadzone. To był dobry przykład współpracy z organizatorem.</w:t>
            </w:r>
            <w:bookmarkEnd w:id="108"/>
          </w:p>
        </w:tc>
      </w:tr>
    </w:tbl>
    <w:p w14:paraId="5822C855" w14:textId="6EC26AA4" w:rsidR="00532766" w:rsidRDefault="00532766" w:rsidP="00532766">
      <w:pPr>
        <w:rPr>
          <w:color w:val="000000" w:themeColor="text1"/>
        </w:rPr>
      </w:pPr>
      <w:r>
        <w:rPr>
          <w:color w:val="000000" w:themeColor="text1"/>
        </w:rPr>
        <w:t xml:space="preserve">Organizatorzy jednoznacznie stwierdzają, że sprawdzają się węzły łączące kolej aglomeracyjną z komunikacją miejską. Istotne jest uruchomienie linii dojazdowych do najbliższych stacji, skąd </w:t>
      </w:r>
      <w:r>
        <w:rPr>
          <w:color w:val="000000" w:themeColor="text1"/>
        </w:rPr>
        <w:lastRenderedPageBreak/>
        <w:t>pasażerowie mogą w znacznie krótszym czasie dojechać do celu. Istotna jest też integracja rozkładów jazdy z koleją, by dowieźć pasażerów na odjazd i rozwieźć pasażerów, którzy przyjechali. Bardzo istotne jest też doprowadzenie do integracji taryfowej z koleją, a problem z integracją wynika głównie z systemu ulg ustawowych w Polsce</w:t>
      </w:r>
      <w:r w:rsidR="003865EA">
        <w:rPr>
          <w:color w:val="000000" w:themeColor="text1"/>
        </w:rPr>
        <w:t xml:space="preserve"> (por. </w:t>
      </w:r>
      <w:r w:rsidR="003865EA">
        <w:rPr>
          <w:color w:val="000000" w:themeColor="text1"/>
        </w:rPr>
        <w:fldChar w:fldCharType="begin"/>
      </w:r>
      <w:r w:rsidR="003865EA">
        <w:rPr>
          <w:color w:val="000000" w:themeColor="text1"/>
        </w:rPr>
        <w:instrText xml:space="preserve"> REF Załącznik14 \h </w:instrText>
      </w:r>
      <w:r w:rsidR="003865EA">
        <w:rPr>
          <w:color w:val="000000" w:themeColor="text1"/>
        </w:rPr>
      </w:r>
      <w:r w:rsidR="003865EA">
        <w:rPr>
          <w:color w:val="000000" w:themeColor="text1"/>
        </w:rPr>
        <w:fldChar w:fldCharType="separate"/>
      </w:r>
      <w:r w:rsidR="00C93FD7">
        <w:rPr>
          <w:color w:val="000000" w:themeColor="text1"/>
        </w:rPr>
        <w:t>Załącznik 14</w:t>
      </w:r>
      <w:r w:rsidR="003865EA">
        <w:rPr>
          <w:color w:val="000000" w:themeColor="text1"/>
        </w:rPr>
        <w:fldChar w:fldCharType="end"/>
      </w:r>
      <w:r w:rsidR="003865EA">
        <w:rPr>
          <w:color w:val="000000" w:themeColor="text1"/>
        </w:rPr>
        <w:t>)</w:t>
      </w:r>
      <w:r>
        <w:rPr>
          <w:color w:val="000000" w:themeColor="text1"/>
        </w:rPr>
        <w:t xml:space="preserve">. Organizatorzy zwracają uwagę, że nie </w:t>
      </w:r>
      <w:r w:rsidR="001A6334">
        <w:rPr>
          <w:color w:val="000000" w:themeColor="text1"/>
        </w:rPr>
        <w:t>mogą</w:t>
      </w:r>
      <w:r>
        <w:rPr>
          <w:color w:val="000000" w:themeColor="text1"/>
        </w:rPr>
        <w:t xml:space="preserve"> w obecnym stanie prawnym doprowadzić do pełnej integracji komunikacji miejskiej z koleją.</w:t>
      </w:r>
    </w:p>
    <w:p w14:paraId="05136D06" w14:textId="04C7B79D" w:rsidR="00532766" w:rsidRDefault="00532766" w:rsidP="00532766">
      <w:pPr>
        <w:rPr>
          <w:color w:val="000000" w:themeColor="text1"/>
        </w:rPr>
      </w:pPr>
      <w:r>
        <w:rPr>
          <w:color w:val="000000" w:themeColor="text1"/>
        </w:rPr>
        <w:t xml:space="preserve">Sprawdzają się też przystanki integrujące autobusy i tramwaje na wspólnych pasach ruchu autobusowo-tramwajowych. Aby usprawnić ruch w takich miejscach może być też nadawany priorytet w sygnalizacji świetlnej pojazdom transportu publicznego. Łatwiejsze dojście do przystanków zapewniają przejścia dla pieszych wydzielane z obu stron peronu. </w:t>
      </w:r>
    </w:p>
    <w:p w14:paraId="1DABB94E" w14:textId="71E5E5D8" w:rsidR="00532766" w:rsidRPr="00281CBA" w:rsidRDefault="00532766" w:rsidP="00532766">
      <w:pPr>
        <w:rPr>
          <w:color w:val="000000" w:themeColor="text1"/>
        </w:rPr>
      </w:pPr>
      <w:r>
        <w:rPr>
          <w:color w:val="000000" w:themeColor="text1"/>
        </w:rPr>
        <w:t xml:space="preserve">Według organizatorów najlepsza organizacja węzła krańcowego polega na tym, by </w:t>
      </w:r>
      <w:r w:rsidRPr="00281CBA">
        <w:rPr>
          <w:color w:val="000000" w:themeColor="text1"/>
        </w:rPr>
        <w:t xml:space="preserve">przystanek końcowy tramwaju </w:t>
      </w:r>
      <w:r>
        <w:rPr>
          <w:color w:val="000000" w:themeColor="text1"/>
        </w:rPr>
        <w:t>był jednocześnie</w:t>
      </w:r>
      <w:r w:rsidRPr="00281CBA">
        <w:rPr>
          <w:color w:val="000000" w:themeColor="text1"/>
        </w:rPr>
        <w:t xml:space="preserve"> przystankiem początkowym autobusu, jednak nie zawsze uwarunkowania lokalne pozwalają tak przygotować węzeł. Wszystko zależy od </w:t>
      </w:r>
      <w:r>
        <w:rPr>
          <w:color w:val="000000" w:themeColor="text1"/>
        </w:rPr>
        <w:t>dostępnego terenu</w:t>
      </w:r>
      <w:r w:rsidRPr="00281CBA">
        <w:rPr>
          <w:color w:val="000000" w:themeColor="text1"/>
        </w:rPr>
        <w:t>.</w:t>
      </w:r>
      <w:r>
        <w:rPr>
          <w:color w:val="000000" w:themeColor="text1"/>
        </w:rPr>
        <w:t xml:space="preserve"> Węzeł końcowy dla linii komunikacji miejskiej powinien być wyposażony co najmniej w</w:t>
      </w:r>
      <w:r w:rsidRPr="00281CBA">
        <w:rPr>
          <w:color w:val="000000" w:themeColor="text1"/>
        </w:rPr>
        <w:t>:</w:t>
      </w:r>
    </w:p>
    <w:p w14:paraId="5FF0A626" w14:textId="2E0B13C9"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budynek socjalny dla prowadzących pojazdy,</w:t>
      </w:r>
    </w:p>
    <w:p w14:paraId="2E22DE37" w14:textId="57FA3322"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 xml:space="preserve">małą </w:t>
      </w:r>
      <w:r w:rsidR="001A6334" w:rsidRPr="002071E4">
        <w:rPr>
          <w:color w:val="000000" w:themeColor="text1"/>
        </w:rPr>
        <w:t>poczekalnię</w:t>
      </w:r>
      <w:r w:rsidRPr="002071E4">
        <w:rPr>
          <w:color w:val="000000" w:themeColor="text1"/>
        </w:rPr>
        <w:t>,</w:t>
      </w:r>
    </w:p>
    <w:p w14:paraId="0AB3B8BA" w14:textId="729E1E78"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 xml:space="preserve">małą komercję, </w:t>
      </w:r>
      <w:r w:rsidR="001A6334" w:rsidRPr="002071E4">
        <w:rPr>
          <w:color w:val="000000" w:themeColor="text1"/>
        </w:rPr>
        <w:t xml:space="preserve">np. </w:t>
      </w:r>
      <w:r w:rsidRPr="002071E4">
        <w:rPr>
          <w:color w:val="000000" w:themeColor="text1"/>
        </w:rPr>
        <w:t>kiosk,</w:t>
      </w:r>
    </w:p>
    <w:p w14:paraId="2BC27BC2" w14:textId="2AE8E1A2"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automat biletowy,</w:t>
      </w:r>
    </w:p>
    <w:p w14:paraId="5F128031" w14:textId="77488D41"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dynamiczną informację pasażerską,</w:t>
      </w:r>
    </w:p>
    <w:p w14:paraId="63CCB2E9" w14:textId="3EA914F2" w:rsidR="00532766" w:rsidRPr="002071E4" w:rsidRDefault="00532766" w:rsidP="001B2A4E">
      <w:pPr>
        <w:pStyle w:val="Akapitzlist"/>
        <w:numPr>
          <w:ilvl w:val="0"/>
          <w:numId w:val="49"/>
        </w:numPr>
        <w:spacing w:line="240" w:lineRule="auto"/>
        <w:rPr>
          <w:color w:val="000000" w:themeColor="text1"/>
        </w:rPr>
      </w:pPr>
      <w:r w:rsidRPr="002071E4">
        <w:rPr>
          <w:color w:val="000000" w:themeColor="text1"/>
        </w:rPr>
        <w:t>zadaszenie.</w:t>
      </w:r>
    </w:p>
    <w:tbl>
      <w:tblPr>
        <w:tblStyle w:val="Box"/>
        <w:tblW w:w="10192" w:type="dxa"/>
        <w:tblLook w:val="05A0" w:firstRow="1" w:lastRow="0" w:firstColumn="1" w:lastColumn="1" w:noHBand="0" w:noVBand="1"/>
      </w:tblPr>
      <w:tblGrid>
        <w:gridCol w:w="993"/>
        <w:gridCol w:w="9199"/>
      </w:tblGrid>
      <w:tr w:rsidR="00532766" w:rsidRPr="00D84512" w14:paraId="20E77945"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761296C6" w14:textId="77777777" w:rsidR="00532766" w:rsidRPr="001703EA" w:rsidRDefault="00532766" w:rsidP="00532766">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422F221D" w14:textId="77777777" w:rsidR="00532766" w:rsidRDefault="00532766" w:rsidP="00532766">
            <w:r>
              <w:t>Wypowiedź organizatora transportu:</w:t>
            </w:r>
          </w:p>
          <w:p w14:paraId="253C99DD" w14:textId="5CD900B3" w:rsidR="00532766" w:rsidRPr="00731D0C" w:rsidRDefault="00532766" w:rsidP="00532766">
            <w:r w:rsidRPr="00731D0C">
              <w:rPr>
                <w:i/>
              </w:rPr>
              <w:t>Informację prowadzącą pasażera na węzłach udało się rozwiązać na lotniskach. Informacja jest w stanie pasażera przeprowadzić od samego wejścia na lotnisko aż do samolotu. I jest to w</w:t>
            </w:r>
            <w:r w:rsidRPr="00731D0C">
              <w:rPr>
                <w:rFonts w:ascii="Calibri" w:hAnsi="Calibri" w:cs="Calibri"/>
                <w:i/>
              </w:rPr>
              <w:t> </w:t>
            </w:r>
            <w:r w:rsidRPr="00731D0C">
              <w:rPr>
                <w:i/>
              </w:rPr>
              <w:t>miarę ustandaryzowane na świecie i w Europie. A w transporcie publicznym każdy węzeł tworzony jest według swojego pomysłu. Geometrie lotnisk projektuje się pod kątem prowadzenia pasażera, a na polskich węzłach przesiadkowych drogowych projektuje się pod ruch samochodowy, abstrahując zupełnie od funkcjonalności transportu publicznego.</w:t>
            </w:r>
          </w:p>
        </w:tc>
      </w:tr>
    </w:tbl>
    <w:p w14:paraId="51FE8FED" w14:textId="5B5223EF" w:rsidR="00B54CD9" w:rsidRPr="002122D5" w:rsidRDefault="00B54CD9" w:rsidP="00B54CD9">
      <w:pPr>
        <w:rPr>
          <w:color w:val="000000" w:themeColor="text1"/>
        </w:rPr>
      </w:pPr>
      <w:r>
        <w:rPr>
          <w:color w:val="000000" w:themeColor="text1"/>
        </w:rPr>
        <w:t>Organizatorzy wskazują też na trudności w integracji komunikacji miejskiej z autobusową komunikacją regionalną. W planach powstają koncepcje powiązania węzłów przesiadkowych z tzw. PKS-ami, ale brak jest zainteresowania decydentów organizacją transportu regionalnego.</w:t>
      </w:r>
      <w:r w:rsidR="00147825">
        <w:rPr>
          <w:color w:val="000000" w:themeColor="text1"/>
        </w:rPr>
        <w:t xml:space="preserve"> Podobnie jak w przypadku kolei, niemożliwa jest także </w:t>
      </w:r>
      <w:r w:rsidR="003A23AA">
        <w:rPr>
          <w:color w:val="000000" w:themeColor="text1"/>
        </w:rPr>
        <w:t xml:space="preserve">pełna </w:t>
      </w:r>
      <w:r w:rsidR="00147825">
        <w:rPr>
          <w:color w:val="000000" w:themeColor="text1"/>
        </w:rPr>
        <w:t>integracja taryfowa komunikacji miejskiej i</w:t>
      </w:r>
      <w:r w:rsidR="003A23AA">
        <w:rPr>
          <w:color w:val="000000" w:themeColor="text1"/>
        </w:rPr>
        <w:t> </w:t>
      </w:r>
      <w:r w:rsidR="00147825">
        <w:rPr>
          <w:color w:val="000000" w:themeColor="text1"/>
        </w:rPr>
        <w:t>regionalnej.</w:t>
      </w:r>
    </w:p>
    <w:p w14:paraId="2DE44A45" w14:textId="77777777" w:rsidR="00B54CD9" w:rsidRPr="007D3F6A" w:rsidRDefault="00B54CD9" w:rsidP="00B54CD9">
      <w:r>
        <w:t>Natomiast część z organizatorów transportu, szczególnie w mniejszych miastach, nie skupia się w ogóle na usprawnianiu przesiadek, ponieważ z badań preferencji wynika, że pasażerowie oczekują zapewnienia bezpośrednich połączeń.</w:t>
      </w:r>
    </w:p>
    <w:p w14:paraId="3DAFD5D9" w14:textId="03ABA4C2" w:rsidR="00532766" w:rsidRDefault="00B54CD9" w:rsidP="00903109">
      <w:pPr>
        <w:pStyle w:val="Podtytu"/>
      </w:pPr>
      <w:r>
        <w:t>OGÓLNE PROBLEMY FUNKCJONOWANIA KOMUNIKACJI MIEJSKIEJ</w:t>
      </w:r>
    </w:p>
    <w:p w14:paraId="669F3725" w14:textId="20BF581C" w:rsidR="00532766" w:rsidRDefault="00B54CD9" w:rsidP="00532766">
      <w:pPr>
        <w:rPr>
          <w:color w:val="000000" w:themeColor="text1"/>
        </w:rPr>
      </w:pPr>
      <w:r>
        <w:rPr>
          <w:color w:val="000000" w:themeColor="text1"/>
        </w:rPr>
        <w:t xml:space="preserve">W trakcie spotkań z organizatorami transportu wyróżniono wiele problemów dotyczących funkcjonowania komunikacji miejskiej, które zaklasyfikowano do kilku kategorii uwarunkowań: infrastrukturalnych, taborowych, finansowych, prawnych i organizacyjnych. </w:t>
      </w:r>
    </w:p>
    <w:p w14:paraId="1888AC4B" w14:textId="3AFE843B" w:rsidR="001A7297" w:rsidRDefault="001A7297" w:rsidP="001A7297">
      <w:r>
        <w:t xml:space="preserve">Większość organizatorów transportu publicznego, na terenie którego funkcjonuje komunikacja tramwajowa, wskazywało nadal na </w:t>
      </w:r>
      <w:r w:rsidRPr="004874BA">
        <w:rPr>
          <w:b/>
        </w:rPr>
        <w:t>zły stan techniczny infrastruktury tramwajowej</w:t>
      </w:r>
      <w:r>
        <w:t xml:space="preserve"> – torowisk, </w:t>
      </w:r>
      <w:r>
        <w:lastRenderedPageBreak/>
        <w:t xml:space="preserve">sieci trakcyjnej i podstacji – oraz </w:t>
      </w:r>
      <w:r w:rsidRPr="004874BA">
        <w:rPr>
          <w:b/>
        </w:rPr>
        <w:t>przestarzały tabor tramwajowy</w:t>
      </w:r>
      <w:r>
        <w:t xml:space="preserve"> – przede wszystkim pod kątem braku dostępności</w:t>
      </w:r>
      <w:r w:rsidR="00814470">
        <w:t xml:space="preserve"> dla PRM</w:t>
      </w:r>
      <w:r>
        <w:t xml:space="preserve">, czyli eksploatacji wysokopodłogowych wagonów. Prowadzone inwestycje w ramach POIiŚ pozwolą zmodernizować część torowisk i wymienić część taboru na nowy, ale potrzeby wykraczają poza obecny okres finansowania na lata 2014-2020. Organizatorzy zwracają uwagę, że na szybko pogarszający się stan techniczny torowisk duży wpływ ma intensywna eksploatacja </w:t>
      </w:r>
      <w:r w:rsidR="00814470">
        <w:t>tramwajów</w:t>
      </w:r>
      <w:r>
        <w:t xml:space="preserve"> w polskich miastach. Dobry stan infrastruktury tramwajowej wyróżnia </w:t>
      </w:r>
      <w:r w:rsidR="004D25CC">
        <w:t xml:space="preserve">jednak </w:t>
      </w:r>
      <w:r>
        <w:t xml:space="preserve">Warszawę na tle pozostałych miast w Polsce. W przypadku Szczecina organizator transportu wskazał natomiast na </w:t>
      </w:r>
      <w:r w:rsidR="00814470">
        <w:t>„</w:t>
      </w:r>
      <w:r>
        <w:t>zdezaktualizowany</w:t>
      </w:r>
      <w:r w:rsidR="00814470">
        <w:t>”</w:t>
      </w:r>
      <w:r>
        <w:t xml:space="preserve"> układ torowy, nieobsługujący dziś wszystkich istotnych źródeł i celów podróży. </w:t>
      </w:r>
    </w:p>
    <w:p w14:paraId="2DE26F44" w14:textId="62B368FF" w:rsidR="001A7297" w:rsidRDefault="001A7297" w:rsidP="001A7297">
      <w:r>
        <w:t xml:space="preserve">W większości miast </w:t>
      </w:r>
      <w:r w:rsidRPr="004874BA">
        <w:rPr>
          <w:b/>
        </w:rPr>
        <w:t>kongestia</w:t>
      </w:r>
      <w:r>
        <w:t xml:space="preserve"> znacznie utrudnia ruch komunikacji publicznej, szczególnie autobusowej. Organizatorzy zwracają uwagę, że ruch samochodowy nadal rośnie, choć w ostatnich latach już w mniejszym stopniu. W niektórych miastach brakuje zdecydowanych działań usprawniających ruch transportu publicznego, włodarze miast nie chcą zanadto utrudniać życia uczestnikom ruchu indywidualnego (np. Warszawa). Pozostałe miasta podejmują pewne działania, które maj</w:t>
      </w:r>
      <w:r w:rsidR="008B4CB1">
        <w:t>ą</w:t>
      </w:r>
      <w:r>
        <w:t xml:space="preserve"> na celu zmniejszenie wpływu kongestii na ruch autobusów i tramwajów poprzez wydzielanie korytarzy transportu publicznego od ruchu indywidualnego (buspasy, wydzielone torowiska i wspólne trasy tramwajowo-autobusowe) oraz wdrażanie priorytetów w sygnalizacjach świetlnych. W przypadku buspasów coraz częściej miastom udaje się przekonać mieszkańców do ich wyznaczania w przekroju dróg 2-jezdniowych 2-pasowych – wcześniej drogi musiały mieć przynajmniej po 3 pasy ruchu w obu kierunkach. We wdrożonych w poprzednich latach systemach sterowania ruchem rozbudowywane są algorytmy udzielania priorytetów i obejmowane są nim kolejne skrzyżowania w sieciach komunikacyjnych (np. Łódź, Kraków, Wrocław). Płynność ruchu tramwajów znacznie obniżają odcinki jednotorowe (GZM). Organizatorzy zwracają też uwagę, że co raz większe problemy sprawia kongestia na drogach dojazdowych do miast (Gdańsk, Gorzów Wielkopolski i Poznań).</w:t>
      </w:r>
    </w:p>
    <w:tbl>
      <w:tblPr>
        <w:tblStyle w:val="Box"/>
        <w:tblW w:w="10192" w:type="dxa"/>
        <w:tblLook w:val="05A0" w:firstRow="1" w:lastRow="0" w:firstColumn="1" w:lastColumn="1" w:noHBand="0" w:noVBand="1"/>
      </w:tblPr>
      <w:tblGrid>
        <w:gridCol w:w="993"/>
        <w:gridCol w:w="9199"/>
      </w:tblGrid>
      <w:tr w:rsidR="001A7297" w:rsidRPr="00D84512" w14:paraId="21648BA1"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08A1C9E7" w14:textId="77777777" w:rsidR="001A7297" w:rsidRPr="001703EA" w:rsidRDefault="001A7297" w:rsidP="007951D9">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41CB51F9" w14:textId="77777777" w:rsidR="001A7297" w:rsidRDefault="001A7297" w:rsidP="007951D9">
            <w:r>
              <w:t>Wypowiedź organizatora transportu:</w:t>
            </w:r>
          </w:p>
          <w:p w14:paraId="301499FF" w14:textId="6CA3B07D" w:rsidR="001A7297" w:rsidRPr="00731D0C" w:rsidRDefault="001A7297" w:rsidP="007951D9">
            <w:r w:rsidRPr="00731D0C">
              <w:rPr>
                <w:i/>
              </w:rPr>
              <w:t>Powstał w mieście specjalny zespół, który skupia kilka jednostek, Zarząd Dróg Miejskich, Zarząd Transportu Miejskiego, Miejskiego Inżyniera Ruchu, dla celu poprawy płynności przejazdu komunikacji zbiorowej. Głównie chodzi o kwestie modyfikacji programów sygnalizacji świetlnej i</w:t>
            </w:r>
            <w:r w:rsidR="004D25CC" w:rsidRPr="00731D0C">
              <w:rPr>
                <w:rFonts w:ascii="Calibri" w:hAnsi="Calibri" w:cs="Calibri"/>
                <w:i/>
              </w:rPr>
              <w:t> </w:t>
            </w:r>
            <w:r w:rsidRPr="00731D0C">
              <w:rPr>
                <w:i/>
              </w:rPr>
              <w:t xml:space="preserve">wprowadzenia priorytetów, </w:t>
            </w:r>
            <w:r w:rsidR="00147825" w:rsidRPr="00731D0C">
              <w:rPr>
                <w:i/>
              </w:rPr>
              <w:t xml:space="preserve">wdrożenia </w:t>
            </w:r>
            <w:r w:rsidRPr="00731D0C">
              <w:rPr>
                <w:i/>
              </w:rPr>
              <w:t>buspasów, śluz na wlotach skrzyżowań. Elementy te realizowane są koncepcyjnie i projektowo. Zespół działa już od około 2 lat, a został sformalizowany zarządzeniem Prezydenta Miasta, to była kwestia miesiąca, półtora miesiąca temu. Zespół działał wcześniej, ale teraz zostało to sformalizowane. Spotkania są organizowane cyklicznie co 2 tygodnie, mają charakter roboczy, często są to pewne usprawnienia drobne, jeśli chodzi o wyznaczanie buspasów to przygotowujemy dokumentację i na jej podstawie pracujemy.</w:t>
            </w:r>
          </w:p>
        </w:tc>
      </w:tr>
    </w:tbl>
    <w:p w14:paraId="11B6A7CB" w14:textId="1539BEAC" w:rsidR="001A7297" w:rsidRDefault="001A7297" w:rsidP="001A7297">
      <w:r>
        <w:t xml:space="preserve">Jak wskazują organizatorzy, na bieżące działanie komunikacji miejskiej środków finansowych zawsze jest zbyt mało, ale niepokojący jest </w:t>
      </w:r>
      <w:r w:rsidRPr="006661C7">
        <w:rPr>
          <w:b/>
        </w:rPr>
        <w:t xml:space="preserve">utrzymujący się </w:t>
      </w:r>
      <w:r>
        <w:rPr>
          <w:b/>
        </w:rPr>
        <w:t xml:space="preserve">trend </w:t>
      </w:r>
      <w:r w:rsidRPr="006661C7">
        <w:rPr>
          <w:b/>
        </w:rPr>
        <w:t>wzrost</w:t>
      </w:r>
      <w:r>
        <w:rPr>
          <w:b/>
        </w:rPr>
        <w:t>u</w:t>
      </w:r>
      <w:r w:rsidRPr="006661C7">
        <w:rPr>
          <w:b/>
        </w:rPr>
        <w:t xml:space="preserve"> kosztów stałych</w:t>
      </w:r>
      <w:r>
        <w:t>.</w:t>
      </w:r>
    </w:p>
    <w:tbl>
      <w:tblPr>
        <w:tblStyle w:val="Box"/>
        <w:tblW w:w="10192" w:type="dxa"/>
        <w:tblLook w:val="05A0" w:firstRow="1" w:lastRow="0" w:firstColumn="1" w:lastColumn="1" w:noHBand="0" w:noVBand="1"/>
      </w:tblPr>
      <w:tblGrid>
        <w:gridCol w:w="993"/>
        <w:gridCol w:w="9199"/>
      </w:tblGrid>
      <w:tr w:rsidR="001A7297" w:rsidRPr="00D84512" w14:paraId="652C7E8E"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62A4D484" w14:textId="77777777" w:rsidR="001A7297" w:rsidRPr="001703EA" w:rsidRDefault="001A7297" w:rsidP="007951D9">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6879C51C" w14:textId="77777777" w:rsidR="001A7297" w:rsidRDefault="001A7297" w:rsidP="007951D9">
            <w:r>
              <w:t>Wypowiedź organizatora transportu:</w:t>
            </w:r>
          </w:p>
          <w:p w14:paraId="228BB85D" w14:textId="3598F115" w:rsidR="001A7297" w:rsidRPr="00731D0C" w:rsidRDefault="001A7297" w:rsidP="007951D9">
            <w:r w:rsidRPr="00731D0C">
              <w:rPr>
                <w:i/>
              </w:rPr>
              <w:t xml:space="preserve">Z jednej strony mamy koszty związane z pracą samą w sobie, od mechaników przez kierowców po osoby pracujące w punktach obsługi pasażera. Wszystkie koszty są co raz wyższe, energii </w:t>
            </w:r>
            <w:r w:rsidRPr="00731D0C">
              <w:rPr>
                <w:i/>
              </w:rPr>
              <w:lastRenderedPageBreak/>
              <w:t>i</w:t>
            </w:r>
            <w:r w:rsidRPr="00731D0C">
              <w:rPr>
                <w:rFonts w:ascii="Calibri" w:hAnsi="Calibri" w:cs="Calibri"/>
                <w:i/>
              </w:rPr>
              <w:t> </w:t>
            </w:r>
            <w:r w:rsidRPr="00731D0C">
              <w:rPr>
                <w:i/>
              </w:rPr>
              <w:t>paliw, wdrażanych technologii i innowacji. To potem ma odzwierciedlenie w stawce za wozokilometr, a co za tym idzie, ponieważ mamy kontrakty brutto, w większości znakomitej, to później odbija się potem na stawce i na możliwościach naszych jeśli chodzi o pracę przewozową i budowanie jakiejkolwiek oferty.</w:t>
            </w:r>
          </w:p>
        </w:tc>
      </w:tr>
    </w:tbl>
    <w:p w14:paraId="1914C54F" w14:textId="5D6D3E2C" w:rsidR="001A7297" w:rsidRDefault="001A7297" w:rsidP="001A7297">
      <w:r>
        <w:lastRenderedPageBreak/>
        <w:t xml:space="preserve">Część organizatorów wskazało na problemy wynikające z </w:t>
      </w:r>
      <w:r w:rsidRPr="004874BA">
        <w:rPr>
          <w:b/>
        </w:rPr>
        <w:t>suburbanizacji i niewystarczając</w:t>
      </w:r>
      <w:r>
        <w:rPr>
          <w:b/>
        </w:rPr>
        <w:t>ego</w:t>
      </w:r>
      <w:r w:rsidRPr="004874BA">
        <w:rPr>
          <w:b/>
        </w:rPr>
        <w:t xml:space="preserve"> planowani</w:t>
      </w:r>
      <w:r>
        <w:rPr>
          <w:b/>
        </w:rPr>
        <w:t>a</w:t>
      </w:r>
      <w:r w:rsidRPr="004874BA">
        <w:rPr>
          <w:b/>
        </w:rPr>
        <w:t xml:space="preserve"> przestrzenn</w:t>
      </w:r>
      <w:r>
        <w:rPr>
          <w:b/>
        </w:rPr>
        <w:t>ego</w:t>
      </w:r>
      <w:r>
        <w:t xml:space="preserve">. Przedmieścia miast zostają zabudowywane, często zabudową szeregową o niskiej gęstości zaludnienia. Deweloperzy budują zbyt wąskie drogi, instalują na nich liczne progi zwalniające oraz projektują skrzyżowania nie spełniające parametrów technicznych, by móc te tereny obsłużyć komunikacją publiczną. </w:t>
      </w:r>
      <w:r w:rsidR="0044490D">
        <w:t>Na dodatek układy drogowe często są niedomiarowane względem liczby użytkowników, co często skutkuje utknięciem autobusów dojeżdżających do tych obszarów w zatorach. W</w:t>
      </w:r>
      <w:r>
        <w:t> efekcie niemożliwe staje się dostarczenie oferty komunikacyjnej do rejonów, w które przenoszą się mieszkańcy. Brak jest przewidywalności co do zagospodarowania danych obszarów, co utrudnia planowanie inwestycji.</w:t>
      </w:r>
    </w:p>
    <w:p w14:paraId="546FD2F1" w14:textId="4B139D45" w:rsidR="005D14C4" w:rsidRDefault="005D14C4" w:rsidP="005D14C4">
      <w:r w:rsidRPr="007A6248">
        <w:t xml:space="preserve">Organizatorzy podkreślają, że </w:t>
      </w:r>
      <w:r>
        <w:t xml:space="preserve">część działań wynika z </w:t>
      </w:r>
      <w:r w:rsidRPr="007A6248">
        <w:rPr>
          <w:b/>
        </w:rPr>
        <w:t>konieczności spełnienia ustawowych wymagań</w:t>
      </w:r>
      <w:r>
        <w:t xml:space="preserve">, a spełnienie zapisów (np. Ustawy o elektromobilności) wiążę się nie tylko ze znacznymi wydatkami inwestycyjnymi, ale też w toku eksploatacji. Organizatorzy wskazują też na trudność funkcjonowania w sytuacji niepewności prawnej, związanej z formą Ustawy u Publicznym Transporcie Zbiorowym, </w:t>
      </w:r>
      <w:bookmarkStart w:id="109" w:name="_Hlk24466053"/>
      <w:r>
        <w:t>której procedowan</w:t>
      </w:r>
      <w:r w:rsidR="00117EE9">
        <w:t>o już kilkanaście skrajnie różnych wersji</w:t>
      </w:r>
      <w:r>
        <w:t>.</w:t>
      </w:r>
      <w:bookmarkEnd w:id="109"/>
    </w:p>
    <w:p w14:paraId="7B9E9CA2" w14:textId="5B5A356F" w:rsidR="005D14C4" w:rsidRDefault="005D14C4" w:rsidP="005D14C4">
      <w:r w:rsidRPr="007A6248">
        <w:t>Miasto</w:t>
      </w:r>
      <w:r>
        <w:t>m</w:t>
      </w:r>
      <w:r w:rsidRPr="007A6248">
        <w:t xml:space="preserve"> </w:t>
      </w:r>
      <w:r w:rsidRPr="007A6248">
        <w:rPr>
          <w:b/>
        </w:rPr>
        <w:t>brakuje narzędzi prawnych</w:t>
      </w:r>
      <w:r>
        <w:t xml:space="preserve">, które przyspieszyłyby proces inwestycyjny oraz pozwoliły testować rozwiązania. Wśród pomysłów </w:t>
      </w:r>
      <w:r w:rsidR="00147825">
        <w:t xml:space="preserve">usprawniania </w:t>
      </w:r>
      <w:r>
        <w:t>procedury pojawiła się spec</w:t>
      </w:r>
      <w:r w:rsidR="00434439">
        <w:t xml:space="preserve">jalna </w:t>
      </w:r>
      <w:r>
        <w:t xml:space="preserve">ustawa dotycząca inwestycji miejskich, na wzór działania </w:t>
      </w:r>
      <w:r w:rsidR="00434439">
        <w:t>u</w:t>
      </w:r>
      <w:r>
        <w:t xml:space="preserve">stawy drogowej oraz możliwość prowadzenia pilotaży rozwiązań. Pilotaże mogłyby wręcz być dofinansowane po wyłonieniu w konkursie, co zachęciłoby samorządy do testowania nowych rozwiązań. W trakcie pilotażu prowadzone byłyby też konsultacje społeczne, na których mieszkańcy mogliby wypowiedzieć się o rzeczywistych efektach wprowadzonych zmian, a nie obawach względem inwestycji. </w:t>
      </w:r>
    </w:p>
    <w:p w14:paraId="5E67BB0D" w14:textId="76E46569" w:rsidR="005D14C4" w:rsidRDefault="005D14C4" w:rsidP="005D14C4">
      <w:r>
        <w:t xml:space="preserve">Operatorzy komunikacji miejskiej zwracają uwagę </w:t>
      </w:r>
      <w:r w:rsidRPr="00E116C3">
        <w:rPr>
          <w:b/>
        </w:rPr>
        <w:t>na brak kierowców autobusów i motorniczych tramwajów</w:t>
      </w:r>
      <w:r>
        <w:t xml:space="preserve"> oraz </w:t>
      </w:r>
      <w:r w:rsidRPr="00A63871">
        <w:rPr>
          <w:b/>
        </w:rPr>
        <w:t xml:space="preserve">spadek profesjonalizacji </w:t>
      </w:r>
      <w:r>
        <w:rPr>
          <w:b/>
        </w:rPr>
        <w:t xml:space="preserve">tych </w:t>
      </w:r>
      <w:r w:rsidRPr="00A63871">
        <w:rPr>
          <w:b/>
        </w:rPr>
        <w:t>zawod</w:t>
      </w:r>
      <w:r>
        <w:rPr>
          <w:b/>
        </w:rPr>
        <w:t>ów</w:t>
      </w:r>
      <w:r>
        <w:t>.</w:t>
      </w:r>
    </w:p>
    <w:tbl>
      <w:tblPr>
        <w:tblStyle w:val="Box"/>
        <w:tblW w:w="10192" w:type="dxa"/>
        <w:tblLook w:val="05A0" w:firstRow="1" w:lastRow="0" w:firstColumn="1" w:lastColumn="1" w:noHBand="0" w:noVBand="1"/>
      </w:tblPr>
      <w:tblGrid>
        <w:gridCol w:w="993"/>
        <w:gridCol w:w="9199"/>
      </w:tblGrid>
      <w:tr w:rsidR="005D14C4" w:rsidRPr="00D84512" w14:paraId="74599DC1"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11F72BE2" w14:textId="77777777" w:rsidR="005D14C4" w:rsidRPr="001703EA" w:rsidRDefault="005D14C4" w:rsidP="007951D9">
            <w:pPr>
              <w:jc w:val="center"/>
              <w:rPr>
                <w:sz w:val="44"/>
                <w:szCs w:val="44"/>
              </w:rPr>
            </w:pPr>
            <w:r>
              <w:rPr>
                <w:sz w:val="44"/>
                <w:szCs w:val="44"/>
              </w:rPr>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525B3F30" w14:textId="23DA5EC9" w:rsidR="005D14C4" w:rsidRDefault="005D14C4" w:rsidP="007951D9">
            <w:r>
              <w:t xml:space="preserve">Wypowiedź </w:t>
            </w:r>
            <w:r w:rsidRPr="00001990">
              <w:t>o</w:t>
            </w:r>
            <w:r w:rsidR="00F85045" w:rsidRPr="00001990">
              <w:t>peratora</w:t>
            </w:r>
            <w:r>
              <w:t xml:space="preserve"> transportu:</w:t>
            </w:r>
          </w:p>
          <w:p w14:paraId="1193F639" w14:textId="5BE60A3A" w:rsidR="005D14C4" w:rsidRPr="00731D0C" w:rsidRDefault="005D14C4" w:rsidP="007951D9">
            <w:bookmarkStart w:id="110" w:name="_Hlk24465971"/>
            <w:r w:rsidRPr="00731D0C">
              <w:rPr>
                <w:i/>
              </w:rPr>
              <w:t xml:space="preserve">Przyjmujemy bardzo dużo osób po gwarancjach zatrudnienia, co kompletnie zmienia obraz zdarzeń, bo to jest tak, jakby Pan zrobił prawo jazdy i wsiadł do taksówki. Ale nie mamy wyjścia. Na rynku brakuje kierowców kategorii przede wszystkim C i D. Poszukujemy osób przekwalifikowanych przez urzędy pracy. I to niezależnie ze względu na staż, wiek czy płeć. Nie ma znaczenia czy to będzie osoba młoda czy też 30-letni mężczyzna, który wcześniej kierował ciężarówką, ale teraz może mieć problemy w relacjach z pasażerami. Jest to zupełnie inna jakość pozyskiwanych osób, one potrzebują czasu by nabrać wprawy i doświadczenia. Generalnie </w:t>
            </w:r>
            <w:r w:rsidR="00F85045" w:rsidRPr="00731D0C">
              <w:rPr>
                <w:i/>
              </w:rPr>
              <w:t xml:space="preserve">jednak </w:t>
            </w:r>
            <w:r w:rsidRPr="00731D0C">
              <w:rPr>
                <w:i/>
              </w:rPr>
              <w:t>na 10 zdarzeń z udziałem autobusów, 9 powodowanych jest przez kierowców innych pojazdów.</w:t>
            </w:r>
            <w:bookmarkEnd w:id="110"/>
          </w:p>
        </w:tc>
      </w:tr>
    </w:tbl>
    <w:p w14:paraId="5D7007D7" w14:textId="28E12E05" w:rsidR="001A7297" w:rsidRDefault="001A7297" w:rsidP="001A7297">
      <w:r>
        <w:t>Organizatorzy zauważyli na bazie wcześniej prowadzonych projektów, że inwestycje zdecydowanie poprawiają warunki ruchowe. Odnotowuje się poprawę stanu technicznego ciągów, przepustowości i skrócenie czasów podróży. Równocześnie, dzięki dostosowaniu infrastruktury do obecnych standardów BRD, odnosi się poprawę bezpieczeństwa.</w:t>
      </w:r>
    </w:p>
    <w:tbl>
      <w:tblPr>
        <w:tblStyle w:val="Box"/>
        <w:tblW w:w="10192" w:type="dxa"/>
        <w:tblLook w:val="05A0" w:firstRow="1" w:lastRow="0" w:firstColumn="1" w:lastColumn="1" w:noHBand="0" w:noVBand="1"/>
      </w:tblPr>
      <w:tblGrid>
        <w:gridCol w:w="993"/>
        <w:gridCol w:w="9199"/>
      </w:tblGrid>
      <w:tr w:rsidR="001A7297" w:rsidRPr="00D84512" w14:paraId="7F3C6FCB" w14:textId="77777777" w:rsidTr="00731D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214891B2" w14:textId="77777777" w:rsidR="001A7297" w:rsidRPr="001703EA" w:rsidRDefault="001A7297" w:rsidP="007951D9">
            <w:pPr>
              <w:jc w:val="center"/>
              <w:rPr>
                <w:sz w:val="44"/>
                <w:szCs w:val="44"/>
              </w:rPr>
            </w:pPr>
            <w:r>
              <w:rPr>
                <w:sz w:val="44"/>
                <w:szCs w:val="44"/>
              </w:rPr>
              <w:lastRenderedPageBreak/>
              <w:sym w:font="Webdings" w:char="F097"/>
            </w:r>
          </w:p>
        </w:tc>
        <w:tc>
          <w:tcPr>
            <w:cnfStyle w:val="000100000000" w:firstRow="0" w:lastRow="0" w:firstColumn="0" w:lastColumn="1" w:oddVBand="0" w:evenVBand="0" w:oddHBand="0" w:evenHBand="0" w:firstRowFirstColumn="0" w:firstRowLastColumn="0" w:lastRowFirstColumn="0" w:lastRowLastColumn="0"/>
            <w:tcW w:w="9199" w:type="dxa"/>
          </w:tcPr>
          <w:p w14:paraId="780A117C" w14:textId="77777777" w:rsidR="001A7297" w:rsidRDefault="001A7297" w:rsidP="007951D9">
            <w:r>
              <w:t>Wypowiedź organizatora transportu:</w:t>
            </w:r>
          </w:p>
          <w:p w14:paraId="354DA840" w14:textId="2E9FD028" w:rsidR="001A7297" w:rsidRPr="00731D0C" w:rsidRDefault="001A7297" w:rsidP="007951D9">
            <w:pPr>
              <w:rPr>
                <w:i/>
              </w:rPr>
            </w:pPr>
            <w:bookmarkStart w:id="111" w:name="_Hlk24465362"/>
            <w:r w:rsidRPr="00731D0C">
              <w:rPr>
                <w:i/>
              </w:rPr>
              <w:t>Odnotowaliśmy spadek potoków pasażerskich w sieci w sposób bezwzględny. Natomiast jeśli tą zmienną ustandaryzować, nałożyć wskaźnik motoryzacji, który rośnie i demografii, który maleje; to się okazuje, że potoki pasażerskie rosną. Gdybyśmy nie wykonywali różnego typu inwestycji to ten spadek w transporcie publicznym na pewno byłby większy,</w:t>
            </w:r>
            <w:bookmarkEnd w:id="111"/>
          </w:p>
        </w:tc>
      </w:tr>
    </w:tbl>
    <w:p w14:paraId="6359F60D" w14:textId="0D413E0C" w:rsidR="00EF0CC4" w:rsidRDefault="00EF0CC4" w:rsidP="00EF0CC4">
      <w:pPr>
        <w:pStyle w:val="Nagwek3"/>
      </w:pPr>
      <w:bookmarkStart w:id="112" w:name="_Toc27125341"/>
      <w:r>
        <w:t>Panel ekspertów</w:t>
      </w:r>
      <w:bookmarkEnd w:id="112"/>
    </w:p>
    <w:p w14:paraId="47D1A351" w14:textId="2B2831F5" w:rsidR="0008755C" w:rsidRDefault="0008755C" w:rsidP="0008755C">
      <w:r>
        <w:rPr>
          <w:rFonts w:ascii="Lora" w:hAnsi="Lora"/>
        </w:rPr>
        <w:t>Panel ekspertów odbył się 5 listopada 2019 r. w godzinach 15:00-17:45. Uczestniczyli w nim eksperci z dziedziny badań marketingowych i optymalizacji sieci komunikacyjnych, transportu, polityki miejskiej oraz przedstawiciele: fundacji na rzecz poprawy bezpieczeństwa ruchu drogowego, jednostki naukowo-badawczej działającej w dziedzinie nauk inżynieryjno-technicznych, instytutu naukowego prowadzącego badania w dziedzinie teorii ekonomii i analiz gospodarczych, Wykonawcy oraz Zamawiającego. Zgromadzonym przedstawiono sposób przeprowadzenia badania, pytania podstawione w badaniu oraz wnioski. W trakcie prezentacji wysłuchano ich opinii. Pełne podsumowanie przebiegu panelu ekspertów stan</w:t>
      </w:r>
      <w:r w:rsidRPr="00D851DB">
        <w:rPr>
          <w:rFonts w:ascii="Lora" w:hAnsi="Lora"/>
          <w:color w:val="000000" w:themeColor="text1"/>
        </w:rPr>
        <w:t xml:space="preserve">owi </w:t>
      </w:r>
      <w:r w:rsidR="00D851DB" w:rsidRPr="00D851DB">
        <w:rPr>
          <w:rFonts w:ascii="Lora" w:hAnsi="Lora"/>
          <w:color w:val="000000" w:themeColor="text1"/>
        </w:rPr>
        <w:fldChar w:fldCharType="begin"/>
      </w:r>
      <w:r w:rsidR="00D851DB" w:rsidRPr="00D851DB">
        <w:rPr>
          <w:rFonts w:ascii="Lora" w:hAnsi="Lora"/>
          <w:color w:val="000000" w:themeColor="text1"/>
        </w:rPr>
        <w:instrText xml:space="preserve"> REF Załącznik3 \h </w:instrText>
      </w:r>
      <w:r w:rsidR="00D851DB" w:rsidRPr="00D851DB">
        <w:rPr>
          <w:rFonts w:ascii="Lora" w:hAnsi="Lora"/>
          <w:color w:val="000000" w:themeColor="text1"/>
        </w:rPr>
      </w:r>
      <w:r w:rsidR="00D851DB" w:rsidRPr="00D851DB">
        <w:rPr>
          <w:rFonts w:ascii="Lora" w:hAnsi="Lora"/>
          <w:color w:val="000000" w:themeColor="text1"/>
        </w:rPr>
        <w:fldChar w:fldCharType="separate"/>
      </w:r>
      <w:r w:rsidR="00C93FD7" w:rsidRPr="00CE65CD">
        <w:rPr>
          <w:color w:val="000000" w:themeColor="text1"/>
        </w:rPr>
        <w:t>Załącznik 3</w:t>
      </w:r>
      <w:r w:rsidR="00D851DB" w:rsidRPr="00D851DB">
        <w:rPr>
          <w:rFonts w:ascii="Lora" w:hAnsi="Lora"/>
          <w:color w:val="000000" w:themeColor="text1"/>
        </w:rPr>
        <w:fldChar w:fldCharType="end"/>
      </w:r>
      <w:r w:rsidR="00D851DB">
        <w:rPr>
          <w:rFonts w:ascii="Lora" w:hAnsi="Lora"/>
          <w:color w:val="000000" w:themeColor="text1"/>
        </w:rPr>
        <w:t xml:space="preserve"> do niniejszego Raportu.</w:t>
      </w:r>
    </w:p>
    <w:p w14:paraId="50732953" w14:textId="25A389EC" w:rsidR="0008755C" w:rsidRDefault="0008755C" w:rsidP="0008755C">
      <w:pPr>
        <w:rPr>
          <w:color w:val="000000" w:themeColor="text1"/>
        </w:rPr>
      </w:pPr>
      <w:r w:rsidRPr="009B3679">
        <w:rPr>
          <w:color w:val="000000" w:themeColor="text1"/>
        </w:rPr>
        <w:t>Dyskusja koncentrowała się głównie wokół trzech wątków: wniosków i rekomendacji metodycznych, merytorycznych oraz wniosków dla systemu ewaluacji.</w:t>
      </w:r>
    </w:p>
    <w:p w14:paraId="0DEEE786" w14:textId="15742790" w:rsidR="0072389F" w:rsidRPr="009B3679" w:rsidRDefault="0072389F" w:rsidP="00903109">
      <w:pPr>
        <w:pStyle w:val="Podtytu"/>
      </w:pPr>
      <w:r>
        <w:t>WNIOSKI I REKOMENDACJE METODYCZNE</w:t>
      </w:r>
    </w:p>
    <w:p w14:paraId="5BC53A48" w14:textId="13170242" w:rsidR="00B033FD" w:rsidRDefault="00B033FD" w:rsidP="00EF0CC4">
      <w:r>
        <w:t xml:space="preserve">W zakresie wniosków metodycznych przy badaniu bezpieczeństwa ruchu zwrócono uwagę, </w:t>
      </w:r>
      <w:r w:rsidRPr="00B033FD">
        <w:t xml:space="preserve">że baza </w:t>
      </w:r>
      <w:r w:rsidRPr="00B033FD">
        <w:rPr>
          <w:b/>
        </w:rPr>
        <w:t>SEWIK</w:t>
      </w:r>
      <w:r w:rsidRPr="00B033FD">
        <w:t xml:space="preserve"> nie posiada danych o kolizjach pojazdów komunikacji miejskiej, a jedynie o wypadkach (czyli zdarzeniach, w których były osoby ranne</w:t>
      </w:r>
      <w:r>
        <w:t xml:space="preserve"> lub zabite</w:t>
      </w:r>
      <w:r w:rsidRPr="00B033FD">
        <w:t>). Dane o kolizjach mogą natomiast znajdować się u organizatorów i operatorów transportu publicznego. W opinii Wykonawcy wiązanie kolizji drogowych z inwestycjami VI osi POIiŚ nie m</w:t>
      </w:r>
      <w:r w:rsidR="002A761B">
        <w:t>iało</w:t>
      </w:r>
      <w:r w:rsidRPr="00B033FD">
        <w:t xml:space="preserve"> jednak uzasadnienia, ponieważ nie można </w:t>
      </w:r>
      <w:r w:rsidR="002A761B">
        <w:t xml:space="preserve">było </w:t>
      </w:r>
      <w:r w:rsidRPr="00B033FD">
        <w:t xml:space="preserve">wskazać związku przyczynowo skutkowego zdarzeń. Za główny czynnik mający znaczenie przy wypadkach, </w:t>
      </w:r>
      <w:r w:rsidR="002A761B">
        <w:t>tych powstałych</w:t>
      </w:r>
      <w:r w:rsidRPr="00B033FD">
        <w:t xml:space="preserve"> z winy prowadzących autobusy lub tramwaje, uznano rotację </w:t>
      </w:r>
      <w:r w:rsidR="002A761B">
        <w:t>wśród prowadzących</w:t>
      </w:r>
      <w:r w:rsidRPr="00B033FD">
        <w:t xml:space="preserve"> i spadek profesjonalizacji zawodu.</w:t>
      </w:r>
    </w:p>
    <w:p w14:paraId="3B4AE8B1" w14:textId="6CE756CE" w:rsidR="00B033FD" w:rsidRDefault="00B033FD" w:rsidP="00B033FD">
      <w:pPr>
        <w:rPr>
          <w:rFonts w:eastAsia="Times New Roman" w:cs="Times New Roman"/>
          <w:szCs w:val="24"/>
          <w:lang w:eastAsia="pl-PL"/>
        </w:rPr>
      </w:pPr>
      <w:r w:rsidRPr="00CE741D">
        <w:rPr>
          <w:rFonts w:eastAsia="Times New Roman" w:cs="Times New Roman"/>
          <w:szCs w:val="24"/>
          <w:lang w:eastAsia="pl-PL"/>
        </w:rPr>
        <w:t xml:space="preserve">W temacie </w:t>
      </w:r>
      <w:r w:rsidRPr="00CE741D">
        <w:rPr>
          <w:rFonts w:eastAsia="Times New Roman" w:cs="Times New Roman"/>
          <w:b/>
          <w:bCs/>
          <w:szCs w:val="24"/>
          <w:lang w:eastAsia="pl-PL"/>
        </w:rPr>
        <w:t xml:space="preserve">panelu CAWI </w:t>
      </w:r>
      <w:r w:rsidRPr="00CE741D">
        <w:rPr>
          <w:rFonts w:eastAsia="Times New Roman" w:cs="Times New Roman"/>
          <w:szCs w:val="24"/>
          <w:lang w:eastAsia="pl-PL"/>
        </w:rPr>
        <w:t xml:space="preserve">zgromadzeni goście pytali o źródło osób ankietowanych. Wyjaśniono, że oparto się na profesjonalnej firmie prowadzącej badania rynku, która </w:t>
      </w:r>
      <w:r>
        <w:rPr>
          <w:rFonts w:eastAsia="Times New Roman" w:cs="Times New Roman"/>
          <w:szCs w:val="24"/>
          <w:lang w:eastAsia="pl-PL"/>
        </w:rPr>
        <w:t>dysponuje</w:t>
      </w:r>
      <w:r w:rsidRPr="00CE741D">
        <w:rPr>
          <w:rFonts w:eastAsia="Times New Roman" w:cs="Times New Roman"/>
          <w:szCs w:val="24"/>
          <w:lang w:eastAsia="pl-PL"/>
        </w:rPr>
        <w:t xml:space="preserve"> zrekrutowan</w:t>
      </w:r>
      <w:r>
        <w:rPr>
          <w:rFonts w:eastAsia="Times New Roman" w:cs="Times New Roman"/>
          <w:szCs w:val="24"/>
          <w:lang w:eastAsia="pl-PL"/>
        </w:rPr>
        <w:t>ymi</w:t>
      </w:r>
      <w:r w:rsidRPr="00CE741D">
        <w:rPr>
          <w:rFonts w:eastAsia="Times New Roman" w:cs="Times New Roman"/>
          <w:szCs w:val="24"/>
          <w:lang w:eastAsia="pl-PL"/>
        </w:rPr>
        <w:t xml:space="preserve"> grup</w:t>
      </w:r>
      <w:r>
        <w:rPr>
          <w:rFonts w:eastAsia="Times New Roman" w:cs="Times New Roman"/>
          <w:szCs w:val="24"/>
          <w:lang w:eastAsia="pl-PL"/>
        </w:rPr>
        <w:t>ami,</w:t>
      </w:r>
      <w:r w:rsidRPr="00CE741D">
        <w:rPr>
          <w:rFonts w:eastAsia="Times New Roman" w:cs="Times New Roman"/>
          <w:szCs w:val="24"/>
          <w:lang w:eastAsia="pl-PL"/>
        </w:rPr>
        <w:t xml:space="preserve"> </w:t>
      </w:r>
      <w:r>
        <w:rPr>
          <w:rFonts w:eastAsia="Times New Roman" w:cs="Times New Roman"/>
          <w:szCs w:val="24"/>
          <w:lang w:eastAsia="pl-PL"/>
        </w:rPr>
        <w:t xml:space="preserve">wśród </w:t>
      </w:r>
      <w:r w:rsidRPr="00CE741D">
        <w:rPr>
          <w:rFonts w:eastAsia="Times New Roman" w:cs="Times New Roman"/>
          <w:szCs w:val="24"/>
          <w:lang w:eastAsia="pl-PL"/>
        </w:rPr>
        <w:t xml:space="preserve">których zadbano o właściwe przekroje społeczne i demograficzne. Badanie prowadzono niezależnie od tego czy </w:t>
      </w:r>
      <w:r>
        <w:rPr>
          <w:rFonts w:eastAsia="Times New Roman" w:cs="Times New Roman"/>
          <w:szCs w:val="24"/>
          <w:lang w:eastAsia="pl-PL"/>
        </w:rPr>
        <w:t xml:space="preserve">osoby badane </w:t>
      </w:r>
      <w:r w:rsidRPr="00CE741D">
        <w:rPr>
          <w:rFonts w:eastAsia="Times New Roman" w:cs="Times New Roman"/>
          <w:szCs w:val="24"/>
          <w:lang w:eastAsia="pl-PL"/>
        </w:rPr>
        <w:t>są użytkownikiem komunikacji</w:t>
      </w:r>
      <w:r>
        <w:rPr>
          <w:rFonts w:eastAsia="Times New Roman" w:cs="Times New Roman"/>
          <w:szCs w:val="24"/>
          <w:lang w:eastAsia="pl-PL"/>
        </w:rPr>
        <w:t xml:space="preserve"> miejskiej</w:t>
      </w:r>
      <w:r w:rsidRPr="00CE741D">
        <w:rPr>
          <w:rFonts w:eastAsia="Times New Roman" w:cs="Times New Roman"/>
          <w:szCs w:val="24"/>
          <w:lang w:eastAsia="pl-PL"/>
        </w:rPr>
        <w:t>, czy też nie</w:t>
      </w:r>
      <w:r>
        <w:rPr>
          <w:rFonts w:eastAsia="Times New Roman" w:cs="Times New Roman"/>
          <w:szCs w:val="24"/>
          <w:lang w:eastAsia="pl-PL"/>
        </w:rPr>
        <w:t xml:space="preserve">. Niedoskonałością takiego </w:t>
      </w:r>
      <w:r w:rsidRPr="00CE741D">
        <w:rPr>
          <w:rFonts w:eastAsia="Times New Roman" w:cs="Times New Roman"/>
          <w:szCs w:val="24"/>
          <w:lang w:eastAsia="pl-PL"/>
        </w:rPr>
        <w:t xml:space="preserve">badania </w:t>
      </w:r>
      <w:r>
        <w:rPr>
          <w:rFonts w:eastAsia="Times New Roman" w:cs="Times New Roman"/>
          <w:szCs w:val="24"/>
          <w:lang w:eastAsia="pl-PL"/>
        </w:rPr>
        <w:t xml:space="preserve">jest jednak </w:t>
      </w:r>
      <w:r w:rsidRPr="00CE741D">
        <w:rPr>
          <w:rFonts w:eastAsia="Times New Roman" w:cs="Times New Roman"/>
          <w:szCs w:val="24"/>
          <w:lang w:eastAsia="pl-PL"/>
        </w:rPr>
        <w:t>wyłączenie osób niekorzystających z</w:t>
      </w:r>
      <w:r w:rsidR="002A761B">
        <w:rPr>
          <w:rFonts w:eastAsia="Times New Roman" w:cs="Times New Roman"/>
          <w:szCs w:val="24"/>
          <w:lang w:eastAsia="pl-PL"/>
        </w:rPr>
        <w:t> </w:t>
      </w:r>
      <w:r w:rsidRPr="00CE741D">
        <w:rPr>
          <w:rFonts w:eastAsia="Times New Roman" w:cs="Times New Roman"/>
          <w:szCs w:val="24"/>
          <w:lang w:eastAsia="pl-PL"/>
        </w:rPr>
        <w:t>Internetu</w:t>
      </w:r>
      <w:r w:rsidR="002A761B">
        <w:rPr>
          <w:rFonts w:eastAsia="Times New Roman" w:cs="Times New Roman"/>
          <w:szCs w:val="24"/>
          <w:lang w:eastAsia="pl-PL"/>
        </w:rPr>
        <w:t>. W</w:t>
      </w:r>
      <w:r w:rsidRPr="00CE741D">
        <w:rPr>
          <w:rFonts w:eastAsia="Times New Roman" w:cs="Times New Roman"/>
          <w:szCs w:val="24"/>
          <w:lang w:eastAsia="pl-PL"/>
        </w:rPr>
        <w:t xml:space="preserve"> </w:t>
      </w:r>
      <w:r>
        <w:rPr>
          <w:rFonts w:eastAsia="Times New Roman" w:cs="Times New Roman"/>
          <w:szCs w:val="24"/>
          <w:lang w:eastAsia="pl-PL"/>
        </w:rPr>
        <w:t xml:space="preserve">alternatywnych </w:t>
      </w:r>
      <w:r w:rsidRPr="00CE741D">
        <w:rPr>
          <w:rFonts w:eastAsia="Times New Roman" w:cs="Times New Roman"/>
          <w:szCs w:val="24"/>
          <w:lang w:eastAsia="pl-PL"/>
        </w:rPr>
        <w:t xml:space="preserve">badaniach domowych ankieterzy </w:t>
      </w:r>
      <w:r w:rsidR="002A761B">
        <w:rPr>
          <w:rFonts w:eastAsia="Times New Roman" w:cs="Times New Roman"/>
          <w:szCs w:val="24"/>
          <w:lang w:eastAsia="pl-PL"/>
        </w:rPr>
        <w:t xml:space="preserve">jednak </w:t>
      </w:r>
      <w:r w:rsidRPr="00CE741D">
        <w:rPr>
          <w:rFonts w:eastAsia="Times New Roman" w:cs="Times New Roman"/>
          <w:szCs w:val="24"/>
          <w:lang w:eastAsia="pl-PL"/>
        </w:rPr>
        <w:t xml:space="preserve">nie są </w:t>
      </w:r>
      <w:r w:rsidR="002A761B">
        <w:rPr>
          <w:rFonts w:eastAsia="Times New Roman" w:cs="Times New Roman"/>
          <w:szCs w:val="24"/>
          <w:lang w:eastAsia="pl-PL"/>
        </w:rPr>
        <w:t>prze</w:t>
      </w:r>
      <w:r w:rsidRPr="00CE741D">
        <w:rPr>
          <w:rFonts w:eastAsia="Times New Roman" w:cs="Times New Roman"/>
          <w:szCs w:val="24"/>
          <w:lang w:eastAsia="pl-PL"/>
        </w:rPr>
        <w:t>z niektóre osoby wpuszczani do dom</w:t>
      </w:r>
      <w:r w:rsidR="002A761B">
        <w:rPr>
          <w:rFonts w:eastAsia="Times New Roman" w:cs="Times New Roman"/>
          <w:szCs w:val="24"/>
          <w:lang w:eastAsia="pl-PL"/>
        </w:rPr>
        <w:t>ów</w:t>
      </w:r>
      <w:r>
        <w:rPr>
          <w:rFonts w:eastAsia="Times New Roman" w:cs="Times New Roman"/>
          <w:szCs w:val="24"/>
          <w:lang w:eastAsia="pl-PL"/>
        </w:rPr>
        <w:t xml:space="preserve"> na wywiad</w:t>
      </w:r>
      <w:r w:rsidR="002A761B">
        <w:rPr>
          <w:rFonts w:eastAsia="Times New Roman" w:cs="Times New Roman"/>
          <w:szCs w:val="24"/>
          <w:lang w:eastAsia="pl-PL"/>
        </w:rPr>
        <w:t>y</w:t>
      </w:r>
      <w:r w:rsidR="00814470">
        <w:rPr>
          <w:rFonts w:eastAsia="Times New Roman" w:cs="Times New Roman"/>
          <w:szCs w:val="24"/>
          <w:lang w:eastAsia="pl-PL"/>
        </w:rPr>
        <w:t>, a przy tym samym budżecie próba jest ok. pięciokrotnie mniejsza</w:t>
      </w:r>
      <w:r w:rsidRPr="00CE741D">
        <w:rPr>
          <w:rFonts w:eastAsia="Times New Roman" w:cs="Times New Roman"/>
          <w:szCs w:val="24"/>
          <w:lang w:eastAsia="pl-PL"/>
        </w:rPr>
        <w:t>. Panel CAWI został uznany za rozsądny kompromis między kosztem</w:t>
      </w:r>
      <w:r>
        <w:rPr>
          <w:rFonts w:eastAsia="Times New Roman" w:cs="Times New Roman"/>
          <w:szCs w:val="24"/>
          <w:lang w:eastAsia="pl-PL"/>
        </w:rPr>
        <w:t xml:space="preserve"> przeprowadzenia</w:t>
      </w:r>
      <w:r w:rsidRPr="00CE741D">
        <w:rPr>
          <w:rFonts w:eastAsia="Times New Roman" w:cs="Times New Roman"/>
          <w:szCs w:val="24"/>
          <w:lang w:eastAsia="pl-PL"/>
        </w:rPr>
        <w:t>, a</w:t>
      </w:r>
      <w:r w:rsidR="005A4D92">
        <w:rPr>
          <w:rFonts w:eastAsia="Times New Roman" w:cs="Times New Roman"/>
          <w:szCs w:val="24"/>
          <w:lang w:eastAsia="pl-PL"/>
        </w:rPr>
        <w:t> </w:t>
      </w:r>
      <w:r w:rsidRPr="00CE741D">
        <w:rPr>
          <w:rFonts w:eastAsia="Times New Roman" w:cs="Times New Roman"/>
          <w:szCs w:val="24"/>
          <w:lang w:eastAsia="pl-PL"/>
        </w:rPr>
        <w:t>reprezentatywną grupą osób ankietowanych.</w:t>
      </w:r>
    </w:p>
    <w:p w14:paraId="3C832114" w14:textId="1C4A2119" w:rsidR="002A761B" w:rsidRDefault="002A761B" w:rsidP="002A761B">
      <w:pPr>
        <w:rPr>
          <w:rFonts w:eastAsia="Times New Roman" w:cs="Times New Roman"/>
          <w:szCs w:val="24"/>
          <w:lang w:eastAsia="pl-PL"/>
        </w:rPr>
      </w:pPr>
      <w:r w:rsidRPr="00CE741D">
        <w:rPr>
          <w:rFonts w:eastAsia="Times New Roman" w:cs="Times New Roman"/>
          <w:szCs w:val="24"/>
          <w:lang w:eastAsia="pl-PL"/>
        </w:rPr>
        <w:t xml:space="preserve">Pytania w toku prezentacji dotyczyły też badania </w:t>
      </w:r>
      <w:r w:rsidRPr="00CE741D">
        <w:rPr>
          <w:rFonts w:eastAsia="Times New Roman" w:cs="Times New Roman"/>
          <w:b/>
          <w:bCs/>
          <w:szCs w:val="24"/>
          <w:lang w:eastAsia="pl-PL"/>
        </w:rPr>
        <w:t>sytuacji awaryjnych</w:t>
      </w:r>
      <w:r w:rsidRPr="00CE741D">
        <w:rPr>
          <w:rFonts w:eastAsia="Times New Roman" w:cs="Times New Roman"/>
          <w:szCs w:val="24"/>
          <w:lang w:eastAsia="pl-PL"/>
        </w:rPr>
        <w:t>, gdy kursy nie są realizowane zgodnie z rozkładem jazdy, co szczególnie jest dotkliwe dla obszarów peryferyjnych miast i obszarów funkcjonalnych. Kwestia ta została zawarta wśród rekomendacji i była poruszana w czasie wywiadów IDI z organizatorami transportu. Problemem jest kwantyfikacja ilościowa zjawiska, podjęt</w:t>
      </w:r>
      <w:r w:rsidR="007C150F">
        <w:rPr>
          <w:rFonts w:eastAsia="Times New Roman" w:cs="Times New Roman"/>
          <w:szCs w:val="24"/>
          <w:lang w:eastAsia="pl-PL"/>
        </w:rPr>
        <w:t xml:space="preserve">o </w:t>
      </w:r>
      <w:r w:rsidRPr="00CE741D">
        <w:rPr>
          <w:rFonts w:eastAsia="Times New Roman" w:cs="Times New Roman"/>
          <w:szCs w:val="24"/>
          <w:lang w:eastAsia="pl-PL"/>
        </w:rPr>
        <w:t>prób</w:t>
      </w:r>
      <w:r w:rsidR="007C150F">
        <w:rPr>
          <w:rFonts w:eastAsia="Times New Roman" w:cs="Times New Roman"/>
          <w:szCs w:val="24"/>
          <w:lang w:eastAsia="pl-PL"/>
        </w:rPr>
        <w:t>ę</w:t>
      </w:r>
      <w:r w:rsidRPr="00CE741D">
        <w:rPr>
          <w:rFonts w:eastAsia="Times New Roman" w:cs="Times New Roman"/>
          <w:szCs w:val="24"/>
          <w:lang w:eastAsia="pl-PL"/>
        </w:rPr>
        <w:t xml:space="preserve"> oszacowania czasu likwidacji zdarzeń i przywracania ruchu</w:t>
      </w:r>
      <w:r>
        <w:rPr>
          <w:rFonts w:eastAsia="Times New Roman" w:cs="Times New Roman"/>
          <w:szCs w:val="24"/>
          <w:lang w:eastAsia="pl-PL"/>
        </w:rPr>
        <w:t xml:space="preserve"> w badaniu ankietowym</w:t>
      </w:r>
      <w:r w:rsidRPr="00CE741D">
        <w:rPr>
          <w:rFonts w:eastAsia="Times New Roman" w:cs="Times New Roman"/>
          <w:szCs w:val="24"/>
          <w:lang w:eastAsia="pl-PL"/>
        </w:rPr>
        <w:t xml:space="preserve">. Miasta nie mierzą </w:t>
      </w:r>
      <w:r w:rsidR="007C150F">
        <w:rPr>
          <w:rFonts w:eastAsia="Times New Roman" w:cs="Times New Roman"/>
          <w:szCs w:val="24"/>
          <w:lang w:eastAsia="pl-PL"/>
        </w:rPr>
        <w:t xml:space="preserve">jednak </w:t>
      </w:r>
      <w:r w:rsidRPr="00CE741D">
        <w:rPr>
          <w:rFonts w:eastAsia="Times New Roman" w:cs="Times New Roman"/>
          <w:szCs w:val="24"/>
          <w:lang w:eastAsia="pl-PL"/>
        </w:rPr>
        <w:t xml:space="preserve">takiego parametru i nie wiedzą, jak to </w:t>
      </w:r>
      <w:r w:rsidR="007C150F">
        <w:rPr>
          <w:rFonts w:eastAsia="Times New Roman" w:cs="Times New Roman"/>
          <w:szCs w:val="24"/>
          <w:lang w:eastAsia="pl-PL"/>
        </w:rPr>
        <w:t xml:space="preserve">jednoznacznie </w:t>
      </w:r>
      <w:r w:rsidRPr="00CE741D">
        <w:rPr>
          <w:rFonts w:eastAsia="Times New Roman" w:cs="Times New Roman"/>
          <w:szCs w:val="24"/>
          <w:lang w:eastAsia="pl-PL"/>
        </w:rPr>
        <w:lastRenderedPageBreak/>
        <w:t>wyznaczać. W związku z tym</w:t>
      </w:r>
      <w:r w:rsidR="007C150F">
        <w:rPr>
          <w:rFonts w:eastAsia="Times New Roman" w:cs="Times New Roman"/>
          <w:szCs w:val="24"/>
          <w:lang w:eastAsia="pl-PL"/>
        </w:rPr>
        <w:t>,</w:t>
      </w:r>
      <w:r w:rsidRPr="00CE741D">
        <w:rPr>
          <w:rFonts w:eastAsia="Times New Roman" w:cs="Times New Roman"/>
          <w:szCs w:val="24"/>
          <w:lang w:eastAsia="pl-PL"/>
        </w:rPr>
        <w:t xml:space="preserve"> podjęto próbę jakościowej oceny zjawiska</w:t>
      </w:r>
      <w:r w:rsidR="007C150F">
        <w:rPr>
          <w:rFonts w:eastAsia="Times New Roman" w:cs="Times New Roman"/>
          <w:szCs w:val="24"/>
          <w:lang w:eastAsia="pl-PL"/>
        </w:rPr>
        <w:t>,</w:t>
      </w:r>
      <w:r w:rsidRPr="00CE741D">
        <w:rPr>
          <w:rFonts w:eastAsia="Times New Roman" w:cs="Times New Roman"/>
          <w:szCs w:val="24"/>
          <w:lang w:eastAsia="pl-PL"/>
        </w:rPr>
        <w:t xml:space="preserve"> </w:t>
      </w:r>
      <w:r w:rsidR="007C150F">
        <w:rPr>
          <w:rFonts w:eastAsia="Times New Roman" w:cs="Times New Roman"/>
          <w:szCs w:val="24"/>
          <w:lang w:eastAsia="pl-PL"/>
        </w:rPr>
        <w:t xml:space="preserve">pytając </w:t>
      </w:r>
      <w:r w:rsidRPr="00CE741D">
        <w:rPr>
          <w:rFonts w:eastAsia="Times New Roman" w:cs="Times New Roman"/>
          <w:szCs w:val="24"/>
          <w:lang w:eastAsia="pl-PL"/>
        </w:rPr>
        <w:t xml:space="preserve">użytkowników panelu CAWI, o zadowolenie z informacji w sytuacjach awaryjnych. </w:t>
      </w:r>
    </w:p>
    <w:p w14:paraId="4B661DE2" w14:textId="77777777" w:rsidR="002A761B" w:rsidRDefault="002A761B" w:rsidP="002A761B">
      <w:pPr>
        <w:rPr>
          <w:rFonts w:eastAsia="Times New Roman" w:cs="Times New Roman"/>
          <w:szCs w:val="24"/>
          <w:lang w:eastAsia="pl-PL"/>
        </w:rPr>
      </w:pPr>
      <w:r w:rsidRPr="00CE741D">
        <w:rPr>
          <w:rFonts w:eastAsia="Times New Roman" w:cs="Times New Roman"/>
          <w:szCs w:val="24"/>
          <w:lang w:eastAsia="pl-PL"/>
        </w:rPr>
        <w:t xml:space="preserve">Wśród narzędzi badawczych zawarto </w:t>
      </w:r>
      <w:r w:rsidRPr="00CE741D">
        <w:rPr>
          <w:rFonts w:eastAsia="Times New Roman" w:cs="Times New Roman"/>
          <w:b/>
          <w:bCs/>
          <w:szCs w:val="24"/>
          <w:lang w:eastAsia="pl-PL"/>
        </w:rPr>
        <w:t>analizy przestrzenne</w:t>
      </w:r>
      <w:r w:rsidRPr="00CE741D">
        <w:rPr>
          <w:rFonts w:eastAsia="Times New Roman" w:cs="Times New Roman"/>
          <w:szCs w:val="24"/>
          <w:lang w:eastAsia="pl-PL"/>
        </w:rPr>
        <w:t xml:space="preserve"> inwestycji POIiŚ. Polegały one na geokodowaniu wszystkich inwestycji w przestrzeni. Wśród głosów eksperckich pojawiły się propozycje, że metod</w:t>
      </w:r>
      <w:r>
        <w:rPr>
          <w:rFonts w:eastAsia="Times New Roman" w:cs="Times New Roman"/>
          <w:szCs w:val="24"/>
          <w:lang w:eastAsia="pl-PL"/>
        </w:rPr>
        <w:t xml:space="preserve">a może zostać w przyszłości </w:t>
      </w:r>
      <w:r w:rsidRPr="00CE741D">
        <w:rPr>
          <w:rFonts w:eastAsia="Times New Roman" w:cs="Times New Roman"/>
          <w:szCs w:val="24"/>
          <w:lang w:eastAsia="pl-PL"/>
        </w:rPr>
        <w:t>rozszerz</w:t>
      </w:r>
      <w:r>
        <w:rPr>
          <w:rFonts w:eastAsia="Times New Roman" w:cs="Times New Roman"/>
          <w:szCs w:val="24"/>
          <w:lang w:eastAsia="pl-PL"/>
        </w:rPr>
        <w:t>ona</w:t>
      </w:r>
      <w:r w:rsidRPr="00CE741D">
        <w:rPr>
          <w:rFonts w:eastAsia="Times New Roman" w:cs="Times New Roman"/>
          <w:szCs w:val="24"/>
          <w:lang w:eastAsia="pl-PL"/>
        </w:rPr>
        <w:t xml:space="preserve"> o nałożenie inwestycji na rozkład mieszkańców lub czasy dojść do przystanków.</w:t>
      </w:r>
    </w:p>
    <w:p w14:paraId="71919195" w14:textId="1E65B035" w:rsidR="002A761B" w:rsidRDefault="002A761B" w:rsidP="002A761B">
      <w:pPr>
        <w:rPr>
          <w:rFonts w:eastAsia="Times New Roman" w:cs="Times New Roman"/>
          <w:szCs w:val="24"/>
          <w:lang w:eastAsia="pl-PL"/>
        </w:rPr>
      </w:pPr>
      <w:r w:rsidRPr="00CE741D">
        <w:rPr>
          <w:rFonts w:eastAsia="Times New Roman" w:cs="Times New Roman"/>
          <w:szCs w:val="24"/>
          <w:lang w:eastAsia="pl-PL"/>
        </w:rPr>
        <w:t xml:space="preserve">Kolejnym z narzędzi poddawanych dyskusji były </w:t>
      </w:r>
      <w:r w:rsidRPr="00CE741D">
        <w:rPr>
          <w:rFonts w:eastAsia="Times New Roman" w:cs="Times New Roman"/>
          <w:b/>
          <w:bCs/>
          <w:szCs w:val="24"/>
          <w:lang w:eastAsia="pl-PL"/>
        </w:rPr>
        <w:t>studia przypadku</w:t>
      </w:r>
      <w:r w:rsidRPr="00CE741D">
        <w:rPr>
          <w:rFonts w:eastAsia="Times New Roman" w:cs="Times New Roman"/>
          <w:szCs w:val="24"/>
          <w:lang w:eastAsia="pl-PL"/>
        </w:rPr>
        <w:t xml:space="preserve">. W odpowiedzi na pytania, wyjaśniono że </w:t>
      </w:r>
      <w:r w:rsidR="00A1108E">
        <w:rPr>
          <w:rFonts w:eastAsia="Times New Roman" w:cs="Times New Roman"/>
          <w:szCs w:val="24"/>
          <w:lang w:eastAsia="pl-PL"/>
        </w:rPr>
        <w:t xml:space="preserve">wielokryterialna </w:t>
      </w:r>
      <w:r w:rsidRPr="00CE741D">
        <w:rPr>
          <w:rFonts w:eastAsia="Times New Roman" w:cs="Times New Roman"/>
          <w:szCs w:val="24"/>
          <w:lang w:eastAsia="pl-PL"/>
        </w:rPr>
        <w:t xml:space="preserve">ocena węzłów </w:t>
      </w:r>
      <w:r w:rsidR="00A1108E">
        <w:rPr>
          <w:rFonts w:eastAsia="Times New Roman" w:cs="Times New Roman"/>
          <w:szCs w:val="24"/>
          <w:lang w:eastAsia="pl-PL"/>
        </w:rPr>
        <w:t>n</w:t>
      </w:r>
      <w:r w:rsidRPr="00CE741D">
        <w:rPr>
          <w:rFonts w:eastAsia="Times New Roman" w:cs="Times New Roman"/>
          <w:szCs w:val="24"/>
          <w:lang w:eastAsia="pl-PL"/>
        </w:rPr>
        <w:t>ie miała na celu ich wzajemnego ze sobą porównywania (co byłoby niesprawiedliwe, m.in. ze względu na integracje różnych środków transportu), ale jak najlepszego opisania zastanego stanu "przed"</w:t>
      </w:r>
      <w:r w:rsidR="00A1108E">
        <w:rPr>
          <w:rFonts w:eastAsia="Times New Roman" w:cs="Times New Roman"/>
          <w:szCs w:val="24"/>
          <w:lang w:eastAsia="pl-PL"/>
        </w:rPr>
        <w:t>, tak</w:t>
      </w:r>
      <w:r w:rsidRPr="00CE741D">
        <w:rPr>
          <w:rFonts w:eastAsia="Times New Roman" w:cs="Times New Roman"/>
          <w:szCs w:val="24"/>
          <w:lang w:eastAsia="pl-PL"/>
        </w:rPr>
        <w:t xml:space="preserve"> by w badaniu </w:t>
      </w:r>
      <w:r w:rsidRPr="00307E9E">
        <w:rPr>
          <w:rFonts w:eastAsia="Times New Roman" w:cs="Times New Roman"/>
          <w:i/>
          <w:szCs w:val="24"/>
          <w:lang w:eastAsia="pl-PL"/>
        </w:rPr>
        <w:t>ex</w:t>
      </w:r>
      <w:r w:rsidR="00760E00">
        <w:rPr>
          <w:rFonts w:eastAsia="Times New Roman" w:cs="Times New Roman"/>
          <w:i/>
          <w:szCs w:val="24"/>
          <w:lang w:eastAsia="pl-PL"/>
        </w:rPr>
        <w:t xml:space="preserve"> </w:t>
      </w:r>
      <w:r w:rsidRPr="00307E9E">
        <w:rPr>
          <w:rFonts w:eastAsia="Times New Roman" w:cs="Times New Roman"/>
          <w:i/>
          <w:szCs w:val="24"/>
          <w:lang w:eastAsia="pl-PL"/>
        </w:rPr>
        <w:t>post</w:t>
      </w:r>
      <w:r w:rsidRPr="00CE741D">
        <w:rPr>
          <w:rFonts w:eastAsia="Times New Roman" w:cs="Times New Roman"/>
          <w:szCs w:val="24"/>
          <w:lang w:eastAsia="pl-PL"/>
        </w:rPr>
        <w:t xml:space="preserve"> móc porównać go do stanu "po" modernizacji. </w:t>
      </w:r>
      <w:bookmarkStart w:id="113" w:name="_Hlk24460506"/>
      <w:r w:rsidRPr="00CE741D">
        <w:rPr>
          <w:rFonts w:eastAsia="Times New Roman" w:cs="Times New Roman"/>
          <w:szCs w:val="24"/>
          <w:lang w:eastAsia="pl-PL"/>
        </w:rPr>
        <w:t xml:space="preserve">Ocena nie polegała więc na stopniowym przyznaniu punktacji, a </w:t>
      </w:r>
      <w:r w:rsidR="00A1108E">
        <w:rPr>
          <w:rFonts w:eastAsia="Times New Roman" w:cs="Times New Roman"/>
          <w:szCs w:val="24"/>
          <w:lang w:eastAsia="pl-PL"/>
        </w:rPr>
        <w:t xml:space="preserve">ocenie każdego z osobna </w:t>
      </w:r>
      <w:r w:rsidRPr="00CE741D">
        <w:rPr>
          <w:rFonts w:eastAsia="Times New Roman" w:cs="Times New Roman"/>
          <w:szCs w:val="24"/>
          <w:lang w:eastAsia="pl-PL"/>
        </w:rPr>
        <w:t xml:space="preserve">względem pożądanego standardu </w:t>
      </w:r>
      <w:r w:rsidR="00A1108E">
        <w:rPr>
          <w:rFonts w:eastAsia="Times New Roman" w:cs="Times New Roman"/>
          <w:szCs w:val="24"/>
          <w:lang w:eastAsia="pl-PL"/>
        </w:rPr>
        <w:t>w danym</w:t>
      </w:r>
      <w:r w:rsidRPr="00CE741D">
        <w:rPr>
          <w:rFonts w:eastAsia="Times New Roman" w:cs="Times New Roman"/>
          <w:szCs w:val="24"/>
          <w:lang w:eastAsia="pl-PL"/>
        </w:rPr>
        <w:t xml:space="preserve"> </w:t>
      </w:r>
      <w:r>
        <w:rPr>
          <w:rFonts w:eastAsia="Times New Roman" w:cs="Times New Roman"/>
          <w:szCs w:val="24"/>
          <w:lang w:eastAsia="pl-PL"/>
        </w:rPr>
        <w:t>kryterium</w:t>
      </w:r>
      <w:r w:rsidRPr="00CE741D">
        <w:rPr>
          <w:rFonts w:eastAsia="Times New Roman" w:cs="Times New Roman"/>
          <w:szCs w:val="24"/>
          <w:lang w:eastAsia="pl-PL"/>
        </w:rPr>
        <w:t xml:space="preserve">. </w:t>
      </w:r>
      <w:bookmarkEnd w:id="113"/>
      <w:r w:rsidRPr="00CE741D">
        <w:rPr>
          <w:rFonts w:eastAsia="Times New Roman" w:cs="Times New Roman"/>
          <w:szCs w:val="24"/>
          <w:lang w:eastAsia="pl-PL"/>
        </w:rPr>
        <w:t xml:space="preserve">Eksperci dodali, że w ocenie dostępności warto </w:t>
      </w:r>
      <w:r>
        <w:rPr>
          <w:rFonts w:eastAsia="Times New Roman" w:cs="Times New Roman"/>
          <w:szCs w:val="24"/>
          <w:lang w:eastAsia="pl-PL"/>
        </w:rPr>
        <w:t xml:space="preserve">w przyszłości </w:t>
      </w:r>
      <w:r w:rsidRPr="00CE741D">
        <w:rPr>
          <w:rFonts w:eastAsia="Times New Roman" w:cs="Times New Roman"/>
          <w:szCs w:val="24"/>
          <w:lang w:eastAsia="pl-PL"/>
        </w:rPr>
        <w:t xml:space="preserve">ocenić stopień trudności pokonania </w:t>
      </w:r>
      <w:r>
        <w:rPr>
          <w:rFonts w:eastAsia="Times New Roman" w:cs="Times New Roman"/>
          <w:szCs w:val="24"/>
          <w:lang w:eastAsia="pl-PL"/>
        </w:rPr>
        <w:t xml:space="preserve">drogi przesiadki np. zliczając </w:t>
      </w:r>
      <w:r w:rsidRPr="00CE741D">
        <w:rPr>
          <w:rFonts w:eastAsia="Times New Roman" w:cs="Times New Roman"/>
          <w:szCs w:val="24"/>
          <w:lang w:eastAsia="pl-PL"/>
        </w:rPr>
        <w:t xml:space="preserve">łączną liczbę schodów do pokonania. Zwrócono również uwagę, że </w:t>
      </w:r>
      <w:r w:rsidR="00A1108E">
        <w:rPr>
          <w:rFonts w:eastAsia="Times New Roman" w:cs="Times New Roman"/>
          <w:szCs w:val="24"/>
          <w:lang w:eastAsia="pl-PL"/>
        </w:rPr>
        <w:t xml:space="preserve">podobne </w:t>
      </w:r>
      <w:r w:rsidRPr="00CE741D">
        <w:rPr>
          <w:rFonts w:eastAsia="Times New Roman" w:cs="Times New Roman"/>
          <w:szCs w:val="24"/>
          <w:lang w:eastAsia="pl-PL"/>
        </w:rPr>
        <w:t>bariery architektoniczne i zapóźnienia w modernizacji infrastruktury</w:t>
      </w:r>
      <w:r w:rsidR="00A1108E">
        <w:rPr>
          <w:rFonts w:eastAsia="Times New Roman" w:cs="Times New Roman"/>
          <w:szCs w:val="24"/>
          <w:lang w:eastAsia="pl-PL"/>
        </w:rPr>
        <w:t>,</w:t>
      </w:r>
      <w:r w:rsidRPr="00CE741D">
        <w:rPr>
          <w:rFonts w:eastAsia="Times New Roman" w:cs="Times New Roman"/>
          <w:szCs w:val="24"/>
          <w:lang w:eastAsia="pl-PL"/>
        </w:rPr>
        <w:t xml:space="preserve"> występujące na węzłach</w:t>
      </w:r>
      <w:r w:rsidR="00A1108E">
        <w:rPr>
          <w:rFonts w:eastAsia="Times New Roman" w:cs="Times New Roman"/>
          <w:szCs w:val="24"/>
          <w:lang w:eastAsia="pl-PL"/>
        </w:rPr>
        <w:t xml:space="preserve">, dotyczą też pozostałej </w:t>
      </w:r>
      <w:r w:rsidRPr="00CE741D">
        <w:rPr>
          <w:rFonts w:eastAsia="Times New Roman" w:cs="Times New Roman"/>
          <w:szCs w:val="24"/>
          <w:lang w:eastAsia="pl-PL"/>
        </w:rPr>
        <w:t>infrastruktur</w:t>
      </w:r>
      <w:r w:rsidR="00A1108E">
        <w:rPr>
          <w:rFonts w:eastAsia="Times New Roman" w:cs="Times New Roman"/>
          <w:szCs w:val="24"/>
          <w:lang w:eastAsia="pl-PL"/>
        </w:rPr>
        <w:t>y drogowej</w:t>
      </w:r>
      <w:r w:rsidRPr="00CE741D">
        <w:rPr>
          <w:rFonts w:eastAsia="Times New Roman" w:cs="Times New Roman"/>
          <w:szCs w:val="24"/>
          <w:lang w:eastAsia="pl-PL"/>
        </w:rPr>
        <w:t xml:space="preserve"> </w:t>
      </w:r>
      <w:r w:rsidR="00A1108E">
        <w:rPr>
          <w:rFonts w:eastAsia="Times New Roman" w:cs="Times New Roman"/>
          <w:szCs w:val="24"/>
          <w:lang w:eastAsia="pl-PL"/>
        </w:rPr>
        <w:t xml:space="preserve">oraz </w:t>
      </w:r>
      <w:r w:rsidRPr="00CE741D">
        <w:rPr>
          <w:rFonts w:eastAsia="Times New Roman" w:cs="Times New Roman"/>
          <w:szCs w:val="24"/>
          <w:lang w:eastAsia="pl-PL"/>
        </w:rPr>
        <w:t>przystankowej i bardzo kontrastują z</w:t>
      </w:r>
      <w:r w:rsidR="00A1108E">
        <w:rPr>
          <w:rFonts w:eastAsia="Times New Roman" w:cs="Times New Roman"/>
          <w:szCs w:val="24"/>
          <w:lang w:eastAsia="pl-PL"/>
        </w:rPr>
        <w:t> </w:t>
      </w:r>
      <w:r w:rsidR="00F96C01">
        <w:rPr>
          <w:rFonts w:eastAsia="Times New Roman" w:cs="Times New Roman"/>
          <w:szCs w:val="24"/>
          <w:lang w:eastAsia="pl-PL"/>
        </w:rPr>
        <w:t xml:space="preserve">powszechnie już </w:t>
      </w:r>
      <w:r w:rsidRPr="00CE741D">
        <w:rPr>
          <w:rFonts w:eastAsia="Times New Roman" w:cs="Times New Roman"/>
          <w:szCs w:val="24"/>
          <w:lang w:eastAsia="pl-PL"/>
        </w:rPr>
        <w:t>dostępnym, niskopodłogowym taborem komunikacji miejskiej.</w:t>
      </w:r>
    </w:p>
    <w:p w14:paraId="3F76FD6F" w14:textId="21CE6D61" w:rsidR="0072389F" w:rsidRDefault="0072389F" w:rsidP="00903109">
      <w:pPr>
        <w:pStyle w:val="Podtytu"/>
        <w:rPr>
          <w:rFonts w:eastAsia="Times New Roman"/>
          <w:lang w:eastAsia="pl-PL"/>
        </w:rPr>
      </w:pPr>
      <w:r>
        <w:rPr>
          <w:rFonts w:eastAsia="Times New Roman"/>
          <w:lang w:eastAsia="pl-PL"/>
        </w:rPr>
        <w:t>WNIOSKI I REKOMENDACJE MERYTORYCZNE</w:t>
      </w:r>
    </w:p>
    <w:p w14:paraId="0746ED8C" w14:textId="6DF1380D" w:rsidR="0072389F" w:rsidRDefault="0072389F" w:rsidP="00B033FD">
      <w:pPr>
        <w:rPr>
          <w:rFonts w:eastAsia="Times New Roman" w:cs="Times New Roman"/>
          <w:szCs w:val="24"/>
          <w:lang w:eastAsia="pl-PL"/>
        </w:rPr>
      </w:pPr>
      <w:r>
        <w:rPr>
          <w:rFonts w:eastAsia="Times New Roman" w:cs="Times New Roman"/>
          <w:szCs w:val="24"/>
          <w:lang w:eastAsia="pl-PL"/>
        </w:rPr>
        <w:t xml:space="preserve">Najważniejsza rekomendacja </w:t>
      </w:r>
      <w:r w:rsidR="00A1108E">
        <w:rPr>
          <w:rFonts w:eastAsia="Times New Roman" w:cs="Times New Roman"/>
          <w:szCs w:val="24"/>
          <w:lang w:eastAsia="pl-PL"/>
        </w:rPr>
        <w:t xml:space="preserve">merytoryczna </w:t>
      </w:r>
      <w:r>
        <w:rPr>
          <w:rFonts w:eastAsia="Times New Roman" w:cs="Times New Roman"/>
          <w:szCs w:val="24"/>
          <w:lang w:eastAsia="pl-PL"/>
        </w:rPr>
        <w:t>wynikająca z badania</w:t>
      </w:r>
      <w:r w:rsidR="00101206">
        <w:rPr>
          <w:rFonts w:eastAsia="Times New Roman" w:cs="Times New Roman"/>
          <w:szCs w:val="24"/>
          <w:lang w:eastAsia="pl-PL"/>
        </w:rPr>
        <w:t xml:space="preserve"> i poddawana dyskusji</w:t>
      </w:r>
      <w:r>
        <w:rPr>
          <w:rFonts w:eastAsia="Times New Roman" w:cs="Times New Roman"/>
          <w:szCs w:val="24"/>
          <w:lang w:eastAsia="pl-PL"/>
        </w:rPr>
        <w:t xml:space="preserve"> dotyczy</w:t>
      </w:r>
      <w:r w:rsidR="00101206">
        <w:rPr>
          <w:rFonts w:eastAsia="Times New Roman" w:cs="Times New Roman"/>
          <w:szCs w:val="24"/>
          <w:lang w:eastAsia="pl-PL"/>
        </w:rPr>
        <w:t xml:space="preserve">ła </w:t>
      </w:r>
      <w:r w:rsidR="00101206" w:rsidRPr="00101206">
        <w:rPr>
          <w:rFonts w:eastAsia="Times New Roman" w:cs="Times New Roman"/>
          <w:b/>
          <w:szCs w:val="24"/>
          <w:lang w:eastAsia="pl-PL"/>
        </w:rPr>
        <w:t>większej kompleksowości inwestycji</w:t>
      </w:r>
      <w:r w:rsidR="00101206">
        <w:rPr>
          <w:rFonts w:eastAsia="Times New Roman" w:cs="Times New Roman"/>
          <w:szCs w:val="24"/>
          <w:lang w:eastAsia="pl-PL"/>
        </w:rPr>
        <w:t xml:space="preserve"> i skupieniu się, nie tylko na zwiększaniu przepustowości transportu publicznego, ale też na rozwiązaniach energooszczędnych, obniżających bieżący koszt eksploatacji systemu transportowego. Eksperci zgodnie potwierdzili przy tym, że istotny jest</w:t>
      </w:r>
      <w:r w:rsidR="00101206" w:rsidRPr="00101206">
        <w:rPr>
          <w:rFonts w:eastAsia="Times New Roman" w:cs="Times New Roman"/>
          <w:szCs w:val="24"/>
          <w:lang w:eastAsia="pl-PL"/>
        </w:rPr>
        <w:t xml:space="preserve"> </w:t>
      </w:r>
      <w:r w:rsidR="00101206">
        <w:rPr>
          <w:rFonts w:eastAsia="Times New Roman" w:cs="Times New Roman"/>
          <w:szCs w:val="24"/>
          <w:lang w:eastAsia="pl-PL"/>
        </w:rPr>
        <w:t xml:space="preserve">też </w:t>
      </w:r>
      <w:r w:rsidR="00101206" w:rsidRPr="00CE741D">
        <w:rPr>
          <w:rFonts w:eastAsia="Times New Roman" w:cs="Times New Roman"/>
          <w:szCs w:val="24"/>
          <w:lang w:eastAsia="pl-PL"/>
        </w:rPr>
        <w:t>wzrost względnej atrakcyjności transportu publicznego względem transportu indywidualnego w</w:t>
      </w:r>
      <w:r w:rsidR="00101206">
        <w:rPr>
          <w:rFonts w:eastAsia="Times New Roman" w:cs="Times New Roman"/>
          <w:szCs w:val="24"/>
          <w:lang w:eastAsia="pl-PL"/>
        </w:rPr>
        <w:t> </w:t>
      </w:r>
      <w:r w:rsidR="00101206" w:rsidRPr="00CE741D">
        <w:rPr>
          <w:rFonts w:eastAsia="Times New Roman" w:cs="Times New Roman"/>
          <w:szCs w:val="24"/>
          <w:lang w:eastAsia="pl-PL"/>
        </w:rPr>
        <w:t>wyniku realizacji inwestycji w transport publiczny.</w:t>
      </w:r>
    </w:p>
    <w:p w14:paraId="71B9DE49" w14:textId="13010760" w:rsidR="00101206" w:rsidRDefault="00101206" w:rsidP="00B033FD">
      <w:pPr>
        <w:rPr>
          <w:rFonts w:eastAsia="Times New Roman" w:cs="Times New Roman"/>
          <w:szCs w:val="24"/>
          <w:lang w:eastAsia="pl-PL"/>
        </w:rPr>
      </w:pPr>
      <w:r>
        <w:rPr>
          <w:rFonts w:eastAsia="Times New Roman" w:cs="Times New Roman"/>
          <w:szCs w:val="24"/>
          <w:lang w:eastAsia="pl-PL"/>
        </w:rPr>
        <w:t>Dużą część</w:t>
      </w:r>
      <w:r w:rsidR="00373B2B">
        <w:rPr>
          <w:rFonts w:eastAsia="Times New Roman" w:cs="Times New Roman"/>
          <w:szCs w:val="24"/>
          <w:lang w:eastAsia="pl-PL"/>
        </w:rPr>
        <w:t xml:space="preserve"> dyskusji</w:t>
      </w:r>
      <w:r>
        <w:rPr>
          <w:rFonts w:eastAsia="Times New Roman" w:cs="Times New Roman"/>
          <w:szCs w:val="24"/>
          <w:lang w:eastAsia="pl-PL"/>
        </w:rPr>
        <w:t xml:space="preserve"> zajęły </w:t>
      </w:r>
      <w:r w:rsidRPr="00101206">
        <w:rPr>
          <w:rFonts w:eastAsia="Times New Roman" w:cs="Times New Roman"/>
          <w:b/>
          <w:szCs w:val="24"/>
          <w:lang w:eastAsia="pl-PL"/>
        </w:rPr>
        <w:t>rozwiązania ITS</w:t>
      </w:r>
      <w:r>
        <w:rPr>
          <w:rFonts w:eastAsia="Times New Roman" w:cs="Times New Roman"/>
          <w:szCs w:val="24"/>
          <w:lang w:eastAsia="pl-PL"/>
        </w:rPr>
        <w:t xml:space="preserve"> wdrażane w miastach i ich rol</w:t>
      </w:r>
      <w:r w:rsidR="00A1108E">
        <w:rPr>
          <w:rFonts w:eastAsia="Times New Roman" w:cs="Times New Roman"/>
          <w:szCs w:val="24"/>
          <w:lang w:eastAsia="pl-PL"/>
        </w:rPr>
        <w:t>a</w:t>
      </w:r>
      <w:r>
        <w:rPr>
          <w:rFonts w:eastAsia="Times New Roman" w:cs="Times New Roman"/>
          <w:szCs w:val="24"/>
          <w:lang w:eastAsia="pl-PL"/>
        </w:rPr>
        <w:t xml:space="preserve"> we wspomaganiu transportu publicznego. Za najbardziej dotkliwy uznano brak informacji w sytuacjach awaryjnych, szczególnie w miastach z komunikacją</w:t>
      </w:r>
      <w:r w:rsidR="00244E13">
        <w:rPr>
          <w:rFonts w:eastAsia="Times New Roman" w:cs="Times New Roman"/>
          <w:szCs w:val="24"/>
          <w:lang w:eastAsia="pl-PL"/>
        </w:rPr>
        <w:t xml:space="preserve"> szynową</w:t>
      </w:r>
      <w:r>
        <w:rPr>
          <w:rFonts w:eastAsia="Times New Roman" w:cs="Times New Roman"/>
          <w:szCs w:val="24"/>
          <w:lang w:eastAsia="pl-PL"/>
        </w:rPr>
        <w:t xml:space="preserve"> lub trolejbusową.</w:t>
      </w:r>
      <w:r w:rsidR="00244E13">
        <w:rPr>
          <w:rFonts w:eastAsia="Times New Roman" w:cs="Times New Roman"/>
          <w:szCs w:val="24"/>
          <w:lang w:eastAsia="pl-PL"/>
        </w:rPr>
        <w:t xml:space="preserve"> </w:t>
      </w:r>
      <w:r w:rsidR="00244E13" w:rsidRPr="00CE741D">
        <w:rPr>
          <w:rFonts w:eastAsia="Times New Roman" w:cs="Times New Roman"/>
          <w:szCs w:val="24"/>
          <w:lang w:eastAsia="pl-PL"/>
        </w:rPr>
        <w:t xml:space="preserve">Zdaniem ekspertów, </w:t>
      </w:r>
      <w:r w:rsidR="00244E13">
        <w:rPr>
          <w:rFonts w:eastAsia="Times New Roman" w:cs="Times New Roman"/>
          <w:szCs w:val="24"/>
          <w:lang w:eastAsia="pl-PL"/>
        </w:rPr>
        <w:t xml:space="preserve">jeśli już informacja jest przekazywana to </w:t>
      </w:r>
      <w:r w:rsidR="00244E13" w:rsidRPr="00CE741D">
        <w:rPr>
          <w:rFonts w:eastAsia="Times New Roman" w:cs="Times New Roman"/>
          <w:szCs w:val="24"/>
          <w:lang w:eastAsia="pl-PL"/>
        </w:rPr>
        <w:t xml:space="preserve">powinna też być wiarygodna i pełna, a nie cząstkowa </w:t>
      </w:r>
      <w:r w:rsidR="00244E13">
        <w:rPr>
          <w:rFonts w:eastAsia="Times New Roman" w:cs="Times New Roman"/>
          <w:szCs w:val="24"/>
          <w:lang w:eastAsia="pl-PL"/>
        </w:rPr>
        <w:t xml:space="preserve">w postaci </w:t>
      </w:r>
      <w:r w:rsidR="00244E13" w:rsidRPr="00CE741D">
        <w:rPr>
          <w:rFonts w:eastAsia="Times New Roman" w:cs="Times New Roman"/>
          <w:szCs w:val="24"/>
          <w:lang w:eastAsia="pl-PL"/>
        </w:rPr>
        <w:t xml:space="preserve">np. "utrudnienia w przejeździe przez skrzyżowanie lub na danej linii </w:t>
      </w:r>
      <w:r w:rsidR="00A1108E">
        <w:rPr>
          <w:rFonts w:eastAsia="Times New Roman" w:cs="Times New Roman"/>
          <w:szCs w:val="24"/>
          <w:lang w:eastAsia="pl-PL"/>
        </w:rPr>
        <w:t>tramwajowej</w:t>
      </w:r>
      <w:r w:rsidR="00244E13" w:rsidRPr="00CE741D">
        <w:rPr>
          <w:rFonts w:eastAsia="Times New Roman" w:cs="Times New Roman"/>
          <w:szCs w:val="24"/>
          <w:lang w:eastAsia="pl-PL"/>
        </w:rPr>
        <w:t>".</w:t>
      </w:r>
      <w:r w:rsidR="00244E13" w:rsidRPr="00244E13">
        <w:t xml:space="preserve"> </w:t>
      </w:r>
      <w:r w:rsidR="00244E13">
        <w:t>Zdanie argumentowano opinią, że p</w:t>
      </w:r>
      <w:r w:rsidR="00244E13" w:rsidRPr="00244E13">
        <w:rPr>
          <w:rFonts w:eastAsia="Times New Roman" w:cs="Times New Roman"/>
          <w:szCs w:val="24"/>
          <w:lang w:eastAsia="pl-PL"/>
        </w:rPr>
        <w:t>asażerowie zdają sobie sprawę, że sytuacje</w:t>
      </w:r>
      <w:r w:rsidR="00244E13">
        <w:rPr>
          <w:rFonts w:eastAsia="Times New Roman" w:cs="Times New Roman"/>
          <w:szCs w:val="24"/>
          <w:lang w:eastAsia="pl-PL"/>
        </w:rPr>
        <w:t xml:space="preserve"> takie</w:t>
      </w:r>
      <w:r w:rsidR="00244E13" w:rsidRPr="00244E13">
        <w:rPr>
          <w:rFonts w:eastAsia="Times New Roman" w:cs="Times New Roman"/>
          <w:szCs w:val="24"/>
          <w:lang w:eastAsia="pl-PL"/>
        </w:rPr>
        <w:t xml:space="preserve"> jak zerwanie sieci trakcyjnej ma zupełnie inny wpływ na kursowanie </w:t>
      </w:r>
      <w:r w:rsidR="00244E13">
        <w:rPr>
          <w:rFonts w:eastAsia="Times New Roman" w:cs="Times New Roman"/>
          <w:szCs w:val="24"/>
          <w:lang w:eastAsia="pl-PL"/>
        </w:rPr>
        <w:t>tramwajów</w:t>
      </w:r>
      <w:r w:rsidR="00244E13" w:rsidRPr="00244E13">
        <w:rPr>
          <w:rFonts w:eastAsia="Times New Roman" w:cs="Times New Roman"/>
          <w:szCs w:val="24"/>
          <w:lang w:eastAsia="pl-PL"/>
        </w:rPr>
        <w:t xml:space="preserve"> niż zasłabnięcie pasażera w jednym </w:t>
      </w:r>
      <w:r w:rsidR="00244E13">
        <w:rPr>
          <w:rFonts w:eastAsia="Times New Roman" w:cs="Times New Roman"/>
          <w:szCs w:val="24"/>
          <w:lang w:eastAsia="pl-PL"/>
        </w:rPr>
        <w:t xml:space="preserve">z nich. Wśród rozwiązań do wdrażania zarekomendowano budowę aplikacji tzw. asystentów podróży pasażera, </w:t>
      </w:r>
      <w:r w:rsidR="00373B2B">
        <w:rPr>
          <w:rFonts w:eastAsia="Times New Roman" w:cs="Times New Roman"/>
          <w:szCs w:val="24"/>
          <w:lang w:eastAsia="pl-PL"/>
        </w:rPr>
        <w:t xml:space="preserve">na wzór aplikacji Google </w:t>
      </w:r>
      <w:proofErr w:type="spellStart"/>
      <w:r w:rsidR="00373B2B">
        <w:rPr>
          <w:rFonts w:eastAsia="Times New Roman" w:cs="Times New Roman"/>
          <w:szCs w:val="24"/>
          <w:lang w:eastAsia="pl-PL"/>
        </w:rPr>
        <w:t>Maps</w:t>
      </w:r>
      <w:proofErr w:type="spellEnd"/>
      <w:r w:rsidR="00373B2B">
        <w:rPr>
          <w:rFonts w:eastAsia="Times New Roman" w:cs="Times New Roman"/>
          <w:szCs w:val="24"/>
          <w:lang w:eastAsia="pl-PL"/>
        </w:rPr>
        <w:t xml:space="preserve"> dla kierowców samochodów osobowych. Jej celem miałoby być wsparcia pasażera w czasie podróży o aktualizowaną informację </w:t>
      </w:r>
      <w:r w:rsidR="00CF36B4">
        <w:rPr>
          <w:rFonts w:eastAsia="Times New Roman" w:cs="Times New Roman"/>
          <w:szCs w:val="24"/>
          <w:lang w:eastAsia="pl-PL"/>
        </w:rPr>
        <w:t xml:space="preserve">o </w:t>
      </w:r>
      <w:r w:rsidR="00373B2B">
        <w:rPr>
          <w:rFonts w:eastAsia="Times New Roman" w:cs="Times New Roman"/>
          <w:szCs w:val="24"/>
          <w:lang w:eastAsia="pl-PL"/>
        </w:rPr>
        <w:t>realnych do wykonania przesiadkach, bazujących na rzeczywistym położeniu autobusów lub tramwajów.</w:t>
      </w:r>
    </w:p>
    <w:p w14:paraId="05C30F05" w14:textId="156C16B7" w:rsidR="00CF36B4" w:rsidRDefault="00CF36B4" w:rsidP="00B033FD">
      <w:pPr>
        <w:rPr>
          <w:rFonts w:eastAsia="Times New Roman" w:cs="Times New Roman"/>
          <w:szCs w:val="24"/>
          <w:lang w:eastAsia="pl-PL"/>
        </w:rPr>
      </w:pPr>
      <w:r w:rsidRPr="00CF36B4">
        <w:rPr>
          <w:rFonts w:eastAsia="Times New Roman" w:cs="Times New Roman"/>
          <w:szCs w:val="24"/>
          <w:lang w:eastAsia="pl-PL"/>
        </w:rPr>
        <w:t xml:space="preserve">W kontekście transportu publicznego i systemów wspomagających – eksperci zarekomendowali próbę odejścia w ITS i systemach wspomagających od modelu tradycyjnego i poszukiwanie nowych </w:t>
      </w:r>
      <w:r w:rsidR="00A1108E">
        <w:rPr>
          <w:rFonts w:eastAsia="Times New Roman" w:cs="Times New Roman"/>
          <w:szCs w:val="24"/>
          <w:lang w:eastAsia="pl-PL"/>
        </w:rPr>
        <w:t>opcji</w:t>
      </w:r>
      <w:r w:rsidRPr="00CF36B4">
        <w:rPr>
          <w:rFonts w:eastAsia="Times New Roman" w:cs="Times New Roman"/>
          <w:szCs w:val="24"/>
          <w:lang w:eastAsia="pl-PL"/>
        </w:rPr>
        <w:t xml:space="preserve"> obsługi pasażera oraz zaspokojenia jego potrzeb. Należy tu rozważ</w:t>
      </w:r>
      <w:r w:rsidR="00A1108E">
        <w:rPr>
          <w:rFonts w:eastAsia="Times New Roman" w:cs="Times New Roman"/>
          <w:szCs w:val="24"/>
          <w:lang w:eastAsia="pl-PL"/>
        </w:rPr>
        <w:t>a</w:t>
      </w:r>
      <w:r w:rsidRPr="00CF36B4">
        <w:rPr>
          <w:rFonts w:eastAsia="Times New Roman" w:cs="Times New Roman"/>
          <w:szCs w:val="24"/>
          <w:lang w:eastAsia="pl-PL"/>
        </w:rPr>
        <w:t>ć m.in. integrację z</w:t>
      </w:r>
      <w:r>
        <w:rPr>
          <w:rFonts w:eastAsia="Times New Roman" w:cs="Times New Roman"/>
          <w:szCs w:val="24"/>
          <w:lang w:eastAsia="pl-PL"/>
        </w:rPr>
        <w:t> </w:t>
      </w:r>
      <w:r w:rsidRPr="00CF36B4">
        <w:rPr>
          <w:rFonts w:eastAsia="Times New Roman" w:cs="Times New Roman"/>
          <w:szCs w:val="24"/>
          <w:lang w:eastAsia="pl-PL"/>
        </w:rPr>
        <w:t>nowymi środkami</w:t>
      </w:r>
      <w:r>
        <w:rPr>
          <w:rFonts w:eastAsia="Times New Roman" w:cs="Times New Roman"/>
          <w:szCs w:val="24"/>
          <w:lang w:eastAsia="pl-PL"/>
        </w:rPr>
        <w:t xml:space="preserve"> realizacji</w:t>
      </w:r>
      <w:r w:rsidRPr="00CF36B4">
        <w:rPr>
          <w:rFonts w:eastAsia="Times New Roman" w:cs="Times New Roman"/>
          <w:szCs w:val="24"/>
          <w:lang w:eastAsia="pl-PL"/>
        </w:rPr>
        <w:t xml:space="preserve"> transportu miejskiego, które systematycznie się pojawiają: </w:t>
      </w:r>
      <w:proofErr w:type="spellStart"/>
      <w:r w:rsidRPr="0023338B">
        <w:rPr>
          <w:rFonts w:eastAsia="Times New Roman" w:cs="Times New Roman"/>
          <w:i/>
          <w:iCs/>
          <w:szCs w:val="24"/>
          <w:lang w:eastAsia="pl-PL"/>
        </w:rPr>
        <w:t>carsharing</w:t>
      </w:r>
      <w:proofErr w:type="spellEnd"/>
      <w:r w:rsidRPr="00CF36B4">
        <w:rPr>
          <w:rFonts w:eastAsia="Times New Roman" w:cs="Times New Roman"/>
          <w:szCs w:val="24"/>
          <w:lang w:eastAsia="pl-PL"/>
        </w:rPr>
        <w:t>, rowery miejskie i hulajnogi elektryczne do wypożyczania. W dyskusji wywołan</w:t>
      </w:r>
      <w:r>
        <w:rPr>
          <w:rFonts w:eastAsia="Times New Roman" w:cs="Times New Roman"/>
          <w:szCs w:val="24"/>
          <w:lang w:eastAsia="pl-PL"/>
        </w:rPr>
        <w:t>e</w:t>
      </w:r>
      <w:r w:rsidRPr="00CF36B4">
        <w:rPr>
          <w:rFonts w:eastAsia="Times New Roman" w:cs="Times New Roman"/>
          <w:szCs w:val="24"/>
          <w:lang w:eastAsia="pl-PL"/>
        </w:rPr>
        <w:t xml:space="preserve"> został</w:t>
      </w:r>
      <w:r>
        <w:rPr>
          <w:rFonts w:eastAsia="Times New Roman" w:cs="Times New Roman"/>
          <w:szCs w:val="24"/>
          <w:lang w:eastAsia="pl-PL"/>
        </w:rPr>
        <w:t>o też</w:t>
      </w:r>
      <w:r w:rsidRPr="00CF36B4">
        <w:rPr>
          <w:rFonts w:eastAsia="Times New Roman" w:cs="Times New Roman"/>
          <w:szCs w:val="24"/>
          <w:lang w:eastAsia="pl-PL"/>
        </w:rPr>
        <w:t xml:space="preserve"> poszukiwani</w:t>
      </w:r>
      <w:r>
        <w:rPr>
          <w:rFonts w:eastAsia="Times New Roman" w:cs="Times New Roman"/>
          <w:szCs w:val="24"/>
          <w:lang w:eastAsia="pl-PL"/>
        </w:rPr>
        <w:t>e</w:t>
      </w:r>
      <w:r w:rsidRPr="00CF36B4">
        <w:rPr>
          <w:rFonts w:eastAsia="Times New Roman" w:cs="Times New Roman"/>
          <w:szCs w:val="24"/>
          <w:lang w:eastAsia="pl-PL"/>
        </w:rPr>
        <w:t xml:space="preserve"> rozwiązań dla pojazdów autonomicznych, szczególnie w transporcie szynowym</w:t>
      </w:r>
      <w:r>
        <w:rPr>
          <w:rFonts w:eastAsia="Times New Roman" w:cs="Times New Roman"/>
          <w:szCs w:val="24"/>
          <w:lang w:eastAsia="pl-PL"/>
        </w:rPr>
        <w:t>. To</w:t>
      </w:r>
      <w:r w:rsidRPr="00CF36B4">
        <w:rPr>
          <w:rFonts w:eastAsia="Times New Roman" w:cs="Times New Roman"/>
          <w:szCs w:val="24"/>
          <w:lang w:eastAsia="pl-PL"/>
        </w:rPr>
        <w:t xml:space="preserve"> pozwoliłoby operatorom odpowiedzieć na problem poszukiwania nowych prowadzących i</w:t>
      </w:r>
      <w:r>
        <w:rPr>
          <w:rFonts w:eastAsia="Times New Roman" w:cs="Times New Roman"/>
          <w:szCs w:val="24"/>
          <w:lang w:eastAsia="pl-PL"/>
        </w:rPr>
        <w:t> </w:t>
      </w:r>
      <w:r w:rsidRPr="00CF36B4">
        <w:rPr>
          <w:rFonts w:eastAsia="Times New Roman" w:cs="Times New Roman"/>
          <w:szCs w:val="24"/>
          <w:lang w:eastAsia="pl-PL"/>
        </w:rPr>
        <w:t xml:space="preserve">spadek profesjonalizacji zawodu kierowcy i motorniczego (odpowiedź na pytanie badawcze: </w:t>
      </w:r>
      <w:r w:rsidRPr="00CF36B4">
        <w:rPr>
          <w:rFonts w:eastAsia="Times New Roman" w:cs="Times New Roman"/>
          <w:szCs w:val="24"/>
          <w:lang w:eastAsia="pl-PL"/>
        </w:rPr>
        <w:lastRenderedPageBreak/>
        <w:t>„Jakie uzupełniające projekty transportowe mogą w znaczący sposób zwiększyć efektywność systemu transportowego miast (tak w zakresie infrastruktury drogowej, jak i kolejowej)?”).</w:t>
      </w:r>
    </w:p>
    <w:p w14:paraId="1BE27841" w14:textId="62E47420" w:rsidR="00CF36B4" w:rsidRDefault="00CF36B4" w:rsidP="00B033FD">
      <w:pPr>
        <w:rPr>
          <w:rFonts w:eastAsia="Times New Roman" w:cs="Times New Roman"/>
          <w:szCs w:val="24"/>
          <w:lang w:eastAsia="pl-PL"/>
        </w:rPr>
      </w:pPr>
      <w:r>
        <w:rPr>
          <w:rFonts w:eastAsia="Times New Roman" w:cs="Times New Roman"/>
          <w:szCs w:val="24"/>
          <w:lang w:eastAsia="pl-PL"/>
        </w:rPr>
        <w:t xml:space="preserve">Ekspertom zadano również pytanie </w:t>
      </w:r>
      <w:r w:rsidRPr="00CF36B4">
        <w:rPr>
          <w:rFonts w:eastAsia="Times New Roman" w:cs="Times New Roman"/>
          <w:szCs w:val="24"/>
          <w:lang w:eastAsia="pl-PL"/>
        </w:rPr>
        <w:t>„Czy w wyniku realizacji projektów POIiŚ prowadzona jest efektywna polityka możliwości zmiany środka transportu?”</w:t>
      </w:r>
      <w:r>
        <w:rPr>
          <w:rFonts w:eastAsia="Times New Roman" w:cs="Times New Roman"/>
          <w:szCs w:val="24"/>
          <w:lang w:eastAsia="pl-PL"/>
        </w:rPr>
        <w:t>.</w:t>
      </w:r>
      <w:r w:rsidRPr="00CF36B4">
        <w:rPr>
          <w:rFonts w:eastAsia="Times New Roman" w:cs="Times New Roman"/>
          <w:szCs w:val="24"/>
          <w:lang w:eastAsia="pl-PL"/>
        </w:rPr>
        <w:t xml:space="preserve"> </w:t>
      </w:r>
      <w:r>
        <w:rPr>
          <w:rFonts w:eastAsia="Times New Roman" w:cs="Times New Roman"/>
          <w:szCs w:val="24"/>
          <w:lang w:eastAsia="pl-PL"/>
        </w:rPr>
        <w:t xml:space="preserve">By móc odpowiedzieć na to pytanie w badaniu </w:t>
      </w:r>
      <w:r w:rsidRPr="00CF36B4">
        <w:rPr>
          <w:rFonts w:eastAsia="Times New Roman" w:cs="Times New Roman"/>
          <w:szCs w:val="24"/>
          <w:lang w:eastAsia="pl-PL"/>
        </w:rPr>
        <w:t xml:space="preserve">wykonano analizę kosztów i korzyści dla </w:t>
      </w:r>
      <w:r w:rsidRPr="00CF36B4">
        <w:rPr>
          <w:rFonts w:eastAsia="Times New Roman" w:cs="Times New Roman"/>
          <w:b/>
          <w:szCs w:val="24"/>
          <w:lang w:eastAsia="pl-PL"/>
        </w:rPr>
        <w:t xml:space="preserve">parkingów </w:t>
      </w:r>
      <w:r w:rsidR="00552334" w:rsidRPr="00307E9E">
        <w:rPr>
          <w:rFonts w:eastAsia="Times New Roman" w:cs="Times New Roman"/>
          <w:b/>
          <w:i/>
          <w:szCs w:val="24"/>
          <w:lang w:eastAsia="pl-PL"/>
        </w:rPr>
        <w:t xml:space="preserve">Park &amp; </w:t>
      </w:r>
      <w:proofErr w:type="spellStart"/>
      <w:r w:rsidR="00552334" w:rsidRPr="00307E9E">
        <w:rPr>
          <w:rFonts w:eastAsia="Times New Roman" w:cs="Times New Roman"/>
          <w:b/>
          <w:i/>
          <w:szCs w:val="24"/>
          <w:lang w:eastAsia="pl-PL"/>
        </w:rPr>
        <w:t>Ride</w:t>
      </w:r>
      <w:proofErr w:type="spellEnd"/>
      <w:r w:rsidRPr="00CF36B4">
        <w:rPr>
          <w:rFonts w:eastAsia="Times New Roman" w:cs="Times New Roman"/>
          <w:szCs w:val="24"/>
          <w:lang w:eastAsia="pl-PL"/>
        </w:rPr>
        <w:t xml:space="preserve">. Z wyznaczonej zależności wynika, że gdybyśmy mieli wyobrazić sobie idealny </w:t>
      </w:r>
      <w:r w:rsidRPr="00307E9E">
        <w:rPr>
          <w:rFonts w:eastAsia="Times New Roman" w:cs="Times New Roman"/>
          <w:i/>
          <w:szCs w:val="24"/>
          <w:lang w:eastAsia="pl-PL"/>
        </w:rPr>
        <w:t>P&amp;R</w:t>
      </w:r>
      <w:r w:rsidRPr="00CF36B4">
        <w:rPr>
          <w:rFonts w:eastAsia="Times New Roman" w:cs="Times New Roman"/>
          <w:szCs w:val="24"/>
          <w:lang w:eastAsia="pl-PL"/>
        </w:rPr>
        <w:t>, to znajdowałby się daleko od centrum miasta, najlepiej pod miastem i byłoby to rozwiązanie niskokosztowe, jednopoziomowe.</w:t>
      </w:r>
      <w:r w:rsidRPr="00CF36B4">
        <w:t xml:space="preserve"> </w:t>
      </w:r>
      <w:r w:rsidRPr="00CF36B4">
        <w:rPr>
          <w:rFonts w:eastAsia="Times New Roman" w:cs="Times New Roman"/>
          <w:szCs w:val="24"/>
          <w:lang w:eastAsia="pl-PL"/>
        </w:rPr>
        <w:t>Eksperci przywołali zdania mieszkańców, że jeśli budujemy parking na skraju miasta, to on nie jest przeznaczony dla jego mieszkańców, a przyjezdnych. Wykonawca badania zasugerował, że w</w:t>
      </w:r>
      <w:r w:rsidR="00D57526">
        <w:rPr>
          <w:rFonts w:eastAsia="Times New Roman" w:cs="Times New Roman"/>
          <w:szCs w:val="24"/>
          <w:lang w:eastAsia="pl-PL"/>
        </w:rPr>
        <w:t> </w:t>
      </w:r>
      <w:r w:rsidRPr="00CF36B4">
        <w:rPr>
          <w:rFonts w:eastAsia="Times New Roman" w:cs="Times New Roman"/>
          <w:szCs w:val="24"/>
          <w:lang w:eastAsia="pl-PL"/>
        </w:rPr>
        <w:t xml:space="preserve">analizach powinniśmy ograniczyć się </w:t>
      </w:r>
      <w:r w:rsidR="00625F37">
        <w:rPr>
          <w:rFonts w:eastAsia="Times New Roman" w:cs="Times New Roman"/>
          <w:szCs w:val="24"/>
          <w:lang w:eastAsia="pl-PL"/>
        </w:rPr>
        <w:t xml:space="preserve">więc </w:t>
      </w:r>
      <w:r w:rsidRPr="00CF36B4">
        <w:rPr>
          <w:rFonts w:eastAsia="Times New Roman" w:cs="Times New Roman"/>
          <w:szCs w:val="24"/>
          <w:lang w:eastAsia="pl-PL"/>
        </w:rPr>
        <w:t>do korzyści odnoszonych przez dane miasto - mniejsz</w:t>
      </w:r>
      <w:r w:rsidR="00625F37">
        <w:rPr>
          <w:rFonts w:eastAsia="Times New Roman" w:cs="Times New Roman"/>
          <w:szCs w:val="24"/>
          <w:lang w:eastAsia="pl-PL"/>
        </w:rPr>
        <w:t>ej</w:t>
      </w:r>
      <w:r w:rsidRPr="00CF36B4">
        <w:rPr>
          <w:rFonts w:eastAsia="Times New Roman" w:cs="Times New Roman"/>
          <w:szCs w:val="24"/>
          <w:lang w:eastAsia="pl-PL"/>
        </w:rPr>
        <w:t xml:space="preserve"> liczb</w:t>
      </w:r>
      <w:r w:rsidR="00625F37">
        <w:rPr>
          <w:rFonts w:eastAsia="Times New Roman" w:cs="Times New Roman"/>
          <w:szCs w:val="24"/>
          <w:lang w:eastAsia="pl-PL"/>
        </w:rPr>
        <w:t>y</w:t>
      </w:r>
      <w:r w:rsidRPr="00CF36B4">
        <w:rPr>
          <w:rFonts w:eastAsia="Times New Roman" w:cs="Times New Roman"/>
          <w:szCs w:val="24"/>
          <w:lang w:eastAsia="pl-PL"/>
        </w:rPr>
        <w:t xml:space="preserve"> wypadków</w:t>
      </w:r>
      <w:r>
        <w:rPr>
          <w:rFonts w:eastAsia="Times New Roman" w:cs="Times New Roman"/>
          <w:szCs w:val="24"/>
          <w:lang w:eastAsia="pl-PL"/>
        </w:rPr>
        <w:t xml:space="preserve"> i</w:t>
      </w:r>
      <w:r w:rsidRPr="00CF36B4">
        <w:rPr>
          <w:rFonts w:eastAsia="Times New Roman" w:cs="Times New Roman"/>
          <w:szCs w:val="24"/>
          <w:lang w:eastAsia="pl-PL"/>
        </w:rPr>
        <w:t xml:space="preserve"> brak</w:t>
      </w:r>
      <w:r w:rsidR="00625F37">
        <w:rPr>
          <w:rFonts w:eastAsia="Times New Roman" w:cs="Times New Roman"/>
          <w:szCs w:val="24"/>
          <w:lang w:eastAsia="pl-PL"/>
        </w:rPr>
        <w:t>u</w:t>
      </w:r>
      <w:r w:rsidRPr="00CF36B4">
        <w:rPr>
          <w:rFonts w:eastAsia="Times New Roman" w:cs="Times New Roman"/>
          <w:szCs w:val="24"/>
          <w:lang w:eastAsia="pl-PL"/>
        </w:rPr>
        <w:t xml:space="preserve"> emisji – bez uwzględniania korzyści dla kierowców</w:t>
      </w:r>
      <w:r>
        <w:rPr>
          <w:rFonts w:eastAsia="Times New Roman" w:cs="Times New Roman"/>
          <w:szCs w:val="24"/>
          <w:lang w:eastAsia="pl-PL"/>
        </w:rPr>
        <w:t>, co urzeczywistni wpływ interwencji w parking</w:t>
      </w:r>
      <w:r w:rsidR="00625F37">
        <w:rPr>
          <w:rFonts w:eastAsia="Times New Roman" w:cs="Times New Roman"/>
          <w:szCs w:val="24"/>
          <w:lang w:eastAsia="pl-PL"/>
        </w:rPr>
        <w:t>i</w:t>
      </w:r>
      <w:r>
        <w:rPr>
          <w:rFonts w:eastAsia="Times New Roman" w:cs="Times New Roman"/>
          <w:szCs w:val="24"/>
          <w:lang w:eastAsia="pl-PL"/>
        </w:rPr>
        <w:t xml:space="preserve"> </w:t>
      </w:r>
      <w:r w:rsidRPr="00307E9E">
        <w:rPr>
          <w:rFonts w:eastAsia="Times New Roman" w:cs="Times New Roman"/>
          <w:i/>
          <w:szCs w:val="24"/>
          <w:lang w:eastAsia="pl-PL"/>
        </w:rPr>
        <w:t>P&amp;R</w:t>
      </w:r>
      <w:r>
        <w:rPr>
          <w:rFonts w:eastAsia="Times New Roman" w:cs="Times New Roman"/>
          <w:szCs w:val="24"/>
          <w:lang w:eastAsia="pl-PL"/>
        </w:rPr>
        <w:t xml:space="preserve"> dla społeczeństwa</w:t>
      </w:r>
      <w:r w:rsidRPr="00CF36B4">
        <w:rPr>
          <w:rFonts w:eastAsia="Times New Roman" w:cs="Times New Roman"/>
          <w:szCs w:val="24"/>
          <w:lang w:eastAsia="pl-PL"/>
        </w:rPr>
        <w:t>.</w:t>
      </w:r>
      <w:r>
        <w:rPr>
          <w:rFonts w:eastAsia="Times New Roman" w:cs="Times New Roman"/>
          <w:szCs w:val="24"/>
          <w:lang w:eastAsia="pl-PL"/>
        </w:rPr>
        <w:t xml:space="preserve"> Dyskusji poddano też rekomendację wprowadzenia opłat na </w:t>
      </w:r>
      <w:r w:rsidRPr="00307E9E">
        <w:rPr>
          <w:rFonts w:eastAsia="Times New Roman" w:cs="Times New Roman"/>
          <w:i/>
          <w:szCs w:val="24"/>
          <w:lang w:eastAsia="pl-PL"/>
        </w:rPr>
        <w:t>P&amp;R</w:t>
      </w:r>
      <w:r w:rsidR="00814470">
        <w:rPr>
          <w:rFonts w:eastAsia="Times New Roman" w:cs="Times New Roman"/>
          <w:szCs w:val="24"/>
          <w:lang w:eastAsia="pl-PL"/>
        </w:rPr>
        <w:t>, wynikającą z dużego udziału korzyści prywatnych (zaoszczędzone koszty użytkowania samochodów) w ogóle korzyści z budowy tych parkingów</w:t>
      </w:r>
      <w:r>
        <w:rPr>
          <w:rFonts w:eastAsia="Times New Roman" w:cs="Times New Roman"/>
          <w:szCs w:val="24"/>
          <w:lang w:eastAsia="pl-PL"/>
        </w:rPr>
        <w:t>.</w:t>
      </w:r>
      <w:r w:rsidRPr="00CF36B4">
        <w:t xml:space="preserve"> </w:t>
      </w:r>
      <w:r w:rsidRPr="00CF36B4">
        <w:rPr>
          <w:rFonts w:eastAsia="Times New Roman" w:cs="Times New Roman"/>
          <w:szCs w:val="24"/>
          <w:lang w:eastAsia="pl-PL"/>
        </w:rPr>
        <w:t>Eksperci uznali ją za bardzo kontrowersyjną</w:t>
      </w:r>
      <w:r w:rsidR="00D57526">
        <w:rPr>
          <w:rFonts w:eastAsia="Times New Roman" w:cs="Times New Roman"/>
          <w:szCs w:val="24"/>
          <w:lang w:eastAsia="pl-PL"/>
        </w:rPr>
        <w:t xml:space="preserve"> i zniechęcającą do korzystania z parkingów, ze względu na nadal ponoszone koszty podróży transportem publicznym</w:t>
      </w:r>
      <w:r w:rsidRPr="00CF36B4">
        <w:rPr>
          <w:rFonts w:eastAsia="Times New Roman" w:cs="Times New Roman"/>
          <w:szCs w:val="24"/>
          <w:lang w:eastAsia="pl-PL"/>
        </w:rPr>
        <w:t>. Część</w:t>
      </w:r>
      <w:r w:rsidR="00D57526">
        <w:rPr>
          <w:rFonts w:eastAsia="Times New Roman" w:cs="Times New Roman"/>
          <w:szCs w:val="24"/>
          <w:lang w:eastAsia="pl-PL"/>
        </w:rPr>
        <w:t xml:space="preserve"> ekspertów </w:t>
      </w:r>
      <w:r w:rsidRPr="00CF36B4">
        <w:rPr>
          <w:rFonts w:eastAsia="Times New Roman" w:cs="Times New Roman"/>
          <w:szCs w:val="24"/>
          <w:lang w:eastAsia="pl-PL"/>
        </w:rPr>
        <w:t>uznał</w:t>
      </w:r>
      <w:r w:rsidR="00625F37">
        <w:rPr>
          <w:rFonts w:eastAsia="Times New Roman" w:cs="Times New Roman"/>
          <w:szCs w:val="24"/>
          <w:lang w:eastAsia="pl-PL"/>
        </w:rPr>
        <w:t>o</w:t>
      </w:r>
      <w:r w:rsidRPr="00CF36B4">
        <w:rPr>
          <w:rFonts w:eastAsia="Times New Roman" w:cs="Times New Roman"/>
          <w:szCs w:val="24"/>
          <w:lang w:eastAsia="pl-PL"/>
        </w:rPr>
        <w:t xml:space="preserve">, że opłaty za parkingi </w:t>
      </w:r>
      <w:r w:rsidR="00D57526">
        <w:rPr>
          <w:rFonts w:eastAsia="Times New Roman" w:cs="Times New Roman"/>
          <w:szCs w:val="24"/>
          <w:lang w:eastAsia="pl-PL"/>
        </w:rPr>
        <w:t>mogłyby być włą</w:t>
      </w:r>
      <w:r w:rsidRPr="00CF36B4">
        <w:rPr>
          <w:rFonts w:eastAsia="Times New Roman" w:cs="Times New Roman"/>
          <w:szCs w:val="24"/>
          <w:lang w:eastAsia="pl-PL"/>
        </w:rPr>
        <w:t>czone w</w:t>
      </w:r>
      <w:r w:rsidR="00D57526">
        <w:rPr>
          <w:rFonts w:eastAsia="Times New Roman" w:cs="Times New Roman"/>
          <w:szCs w:val="24"/>
          <w:lang w:eastAsia="pl-PL"/>
        </w:rPr>
        <w:t> </w:t>
      </w:r>
      <w:r w:rsidRPr="00CF36B4">
        <w:rPr>
          <w:rFonts w:eastAsia="Times New Roman" w:cs="Times New Roman"/>
          <w:szCs w:val="24"/>
          <w:lang w:eastAsia="pl-PL"/>
        </w:rPr>
        <w:t>cenę biletu lub też powinien to być dodatkowy</w:t>
      </w:r>
      <w:r w:rsidR="00814470">
        <w:rPr>
          <w:rFonts w:eastAsia="Times New Roman" w:cs="Times New Roman"/>
          <w:szCs w:val="24"/>
          <w:lang w:eastAsia="pl-PL"/>
        </w:rPr>
        <w:t>, odpowiednio droższy</w:t>
      </w:r>
      <w:r w:rsidRPr="00CF36B4">
        <w:rPr>
          <w:rFonts w:eastAsia="Times New Roman" w:cs="Times New Roman"/>
          <w:szCs w:val="24"/>
          <w:lang w:eastAsia="pl-PL"/>
        </w:rPr>
        <w:t xml:space="preserve"> bilet </w:t>
      </w:r>
      <w:r w:rsidR="00D57526">
        <w:rPr>
          <w:rFonts w:eastAsia="Times New Roman" w:cs="Times New Roman"/>
          <w:szCs w:val="24"/>
          <w:lang w:eastAsia="pl-PL"/>
        </w:rPr>
        <w:t>okresowy</w:t>
      </w:r>
      <w:r w:rsidRPr="00CF36B4">
        <w:rPr>
          <w:rFonts w:eastAsia="Times New Roman" w:cs="Times New Roman"/>
          <w:szCs w:val="24"/>
          <w:lang w:eastAsia="pl-PL"/>
        </w:rPr>
        <w:t xml:space="preserve"> na parking i</w:t>
      </w:r>
      <w:r>
        <w:rPr>
          <w:rFonts w:eastAsia="Times New Roman" w:cs="Times New Roman"/>
          <w:szCs w:val="24"/>
          <w:lang w:eastAsia="pl-PL"/>
        </w:rPr>
        <w:t> </w:t>
      </w:r>
      <w:r w:rsidRPr="00CF36B4">
        <w:rPr>
          <w:rFonts w:eastAsia="Times New Roman" w:cs="Times New Roman"/>
          <w:szCs w:val="24"/>
          <w:lang w:eastAsia="pl-PL"/>
        </w:rPr>
        <w:t xml:space="preserve">transport publiczny. </w:t>
      </w:r>
    </w:p>
    <w:p w14:paraId="5F90857E" w14:textId="2AF66A4F" w:rsidR="0072389F" w:rsidRDefault="0072389F" w:rsidP="00903109">
      <w:pPr>
        <w:pStyle w:val="Podtytu"/>
        <w:rPr>
          <w:rFonts w:eastAsia="Times New Roman"/>
          <w:lang w:eastAsia="pl-PL"/>
        </w:rPr>
      </w:pPr>
      <w:r>
        <w:rPr>
          <w:rFonts w:eastAsia="Times New Roman"/>
          <w:lang w:eastAsia="pl-PL"/>
        </w:rPr>
        <w:t>WNIOSKI I REKOMENDACJE DLA SYSTEMU EWALUACJI</w:t>
      </w:r>
    </w:p>
    <w:p w14:paraId="727AFB5D" w14:textId="6EB5EAF4" w:rsidR="0072389F" w:rsidRDefault="0072389F" w:rsidP="00B033FD">
      <w:pPr>
        <w:rPr>
          <w:rFonts w:eastAsia="Times New Roman" w:cs="Times New Roman"/>
          <w:szCs w:val="24"/>
          <w:lang w:eastAsia="pl-PL"/>
        </w:rPr>
      </w:pPr>
      <w:r>
        <w:rPr>
          <w:rFonts w:eastAsia="Times New Roman" w:cs="Times New Roman"/>
          <w:szCs w:val="24"/>
          <w:lang w:eastAsia="pl-PL"/>
        </w:rPr>
        <w:t xml:space="preserve">Wśród </w:t>
      </w:r>
      <w:r w:rsidR="00D57526">
        <w:rPr>
          <w:rFonts w:eastAsia="Times New Roman" w:cs="Times New Roman"/>
          <w:szCs w:val="24"/>
          <w:lang w:eastAsia="pl-PL"/>
        </w:rPr>
        <w:t xml:space="preserve">rekomendacji </w:t>
      </w:r>
      <w:r>
        <w:rPr>
          <w:rFonts w:eastAsia="Times New Roman" w:cs="Times New Roman"/>
          <w:szCs w:val="24"/>
          <w:lang w:eastAsia="pl-PL"/>
        </w:rPr>
        <w:t>elementów, które powinno brać się pod uwagę przy planowaniu kolejnych ewaluacji znalazła się kompleksowość oceny projektów inwestycyjnych w transport miejski. Eksperci zaproponowali rozważenie połączenia oceny wszystkich miejskich inwestycji realizowanych w ramach POIiŚ i POPW, ponieważ projekty tematycznie nie różnią się od siebie (a</w:t>
      </w:r>
      <w:r w:rsidR="00D57526">
        <w:rPr>
          <w:rFonts w:eastAsia="Times New Roman" w:cs="Times New Roman"/>
          <w:szCs w:val="24"/>
          <w:lang w:eastAsia="pl-PL"/>
        </w:rPr>
        <w:t> </w:t>
      </w:r>
      <w:r>
        <w:rPr>
          <w:rFonts w:eastAsia="Times New Roman" w:cs="Times New Roman"/>
          <w:szCs w:val="24"/>
          <w:lang w:eastAsia="pl-PL"/>
        </w:rPr>
        <w:t xml:space="preserve">jedynie lokalizacyjnie) i badanie ich wpływu łącznie rozszerzyłoby możliwość wnioskowania. Ponadto rekomendacja ekspertów dotyczyła możliwości zastosowania metody AKK w ewaluacji. Zaproponowano jej rozszerzenie o próbę wyznaczenia krańcowego kosztu budowy i eksploatacji linii tramwajowych względem połączeń autobusowych oraz ruchu indywidualnego. </w:t>
      </w:r>
    </w:p>
    <w:p w14:paraId="21228169" w14:textId="28B4047D" w:rsidR="00505691" w:rsidRDefault="00A623E5" w:rsidP="00F06D0A">
      <w:pPr>
        <w:pStyle w:val="Nagwek3"/>
      </w:pPr>
      <w:bookmarkStart w:id="114" w:name="_Toc27125342"/>
      <w:r>
        <w:t>Baza danych o transporcie</w:t>
      </w:r>
      <w:bookmarkEnd w:id="114"/>
    </w:p>
    <w:p w14:paraId="7FBDCB91" w14:textId="274C57DF" w:rsidR="00671EAE" w:rsidRDefault="00671EAE" w:rsidP="00903109">
      <w:pPr>
        <w:pStyle w:val="Podtytu"/>
      </w:pPr>
      <w:r>
        <w:t>BAZA DANYCH STATYSTYCZNYCH</w:t>
      </w:r>
    </w:p>
    <w:p w14:paraId="5F6C4B93" w14:textId="36813A36" w:rsidR="00D80F61" w:rsidRDefault="00D80F61" w:rsidP="00D80F61">
      <w:r>
        <w:t>Zaktualizowana baza danych dostarcza informacji o 50 miastach, w tym o miastach wojewódzkich i ich obszarach funkcjonalnych, miastach</w:t>
      </w:r>
      <w:r w:rsidR="008719F7">
        <w:t xml:space="preserve"> regionalnych</w:t>
      </w:r>
      <w:r>
        <w:t xml:space="preserve"> i ich obszarach funkcjonalnych oraz dodatkowo innych wybranych miastach. Informacje w niej zawarte dotyczą funkcjonowania transportu publicznego, stref parkingowych, dróg rowerowych, stref uspokojonego ruchu, stref pieszych oraz planowanych działań dotyczących wprowadzenia strefy ograniczonej emisji.</w:t>
      </w:r>
      <w:r w:rsidR="00AF7FEB">
        <w:t xml:space="preserve"> Zgromadzone dane dotyczą lat 2009, 2016 i 2017.</w:t>
      </w:r>
    </w:p>
    <w:p w14:paraId="293C8F4D" w14:textId="45FAA463" w:rsidR="006A3DAB" w:rsidRPr="006A3DAB" w:rsidRDefault="006A3DAB" w:rsidP="00D80F61">
      <w:r>
        <w:t>Uzupełnianie</w:t>
      </w:r>
      <w:r w:rsidR="00D80F61">
        <w:t xml:space="preserve"> danych opierało się o ankiety wysłane do urzędów miast, zarządów dróg, organizatorów i operatorów transportu publicznego. </w:t>
      </w:r>
      <w:r w:rsidR="00AF7FEB">
        <w:t xml:space="preserve">W ankietach proszono </w:t>
      </w:r>
      <w:r>
        <w:t xml:space="preserve">tylko </w:t>
      </w:r>
      <w:r w:rsidR="00AF7FEB">
        <w:t>o dan</w:t>
      </w:r>
      <w:r>
        <w:t>e</w:t>
      </w:r>
      <w:r w:rsidR="00AF7FEB">
        <w:t xml:space="preserve"> dotycząc</w:t>
      </w:r>
      <w:r>
        <w:t>e</w:t>
      </w:r>
      <w:r w:rsidR="00AF7FEB">
        <w:t xml:space="preserve"> roku 2017, który uznano za rok wejściowy przed realizacją projektów POIiŚ 2014-2020. </w:t>
      </w:r>
      <w:r w:rsidR="00D80F61">
        <w:t>Przed ukończeniem raportu uzyskano przynajmniej częściową odpowiedź od 4</w:t>
      </w:r>
      <w:r w:rsidR="00AF7FEB">
        <w:t>4</w:t>
      </w:r>
      <w:r w:rsidR="00D80F61">
        <w:t xml:space="preserve"> miast</w:t>
      </w:r>
      <w:r w:rsidR="00D80F61">
        <w:rPr>
          <w:rStyle w:val="Odwoanieprzypisudolnego"/>
        </w:rPr>
        <w:footnoteReference w:id="10"/>
      </w:r>
      <w:r w:rsidR="00CC0C24">
        <w:t>, a w przypadku miast POIiŚ nie uzyskano zwrotu ankiety od Katowic (Me</w:t>
      </w:r>
      <w:r w:rsidR="003772DF">
        <w:t>tropolia</w:t>
      </w:r>
      <w:r w:rsidR="00CC0C24">
        <w:t xml:space="preserve"> GZM</w:t>
      </w:r>
      <w:r w:rsidR="003772DF">
        <w:t xml:space="preserve">, brak zwrotu </w:t>
      </w:r>
      <w:r w:rsidR="003772DF">
        <w:lastRenderedPageBreak/>
        <w:t>związany ze zmianą wielkości sieci i powołaniem ZTM GZM na miejsce KZK GOP na przełomie 2017 i 2018 roku oraz brakiem możliwości wyodrębnienia danych dla pojedynczego miasta</w:t>
      </w:r>
      <w:r w:rsidR="00CC0C24">
        <w:t>)</w:t>
      </w:r>
      <w:r w:rsidR="00D80F61">
        <w:t xml:space="preserve">. </w:t>
      </w:r>
      <w:r w:rsidR="00D80F61" w:rsidRPr="006A3DAB">
        <w:rPr>
          <w:color w:val="000000" w:themeColor="text1"/>
        </w:rPr>
        <w:t xml:space="preserve">Oceniając rzetelność i kompletność wypełnionych kwestionariuszy, należy stwierdzić, że </w:t>
      </w:r>
      <w:r w:rsidRPr="006A3DAB">
        <w:rPr>
          <w:color w:val="000000" w:themeColor="text1"/>
        </w:rPr>
        <w:t>nadal większość z</w:t>
      </w:r>
      <w:r>
        <w:rPr>
          <w:color w:val="000000" w:themeColor="text1"/>
        </w:rPr>
        <w:t> </w:t>
      </w:r>
      <w:r w:rsidRPr="006A3DAB">
        <w:rPr>
          <w:color w:val="000000" w:themeColor="text1"/>
        </w:rPr>
        <w:t xml:space="preserve">nich nie zawierała kompletu odpowiedzi. </w:t>
      </w:r>
      <w:r>
        <w:rPr>
          <w:color w:val="000000" w:themeColor="text1"/>
        </w:rPr>
        <w:t xml:space="preserve">Ankiety powracały do Wykonawcy z informacją o braku danych lub brakiem możliwości uzupełnienia przez ankietowaną instytucję. </w:t>
      </w:r>
    </w:p>
    <w:p w14:paraId="72042BFC" w14:textId="4ED840F0" w:rsidR="006A3DAB" w:rsidRDefault="006A3DAB" w:rsidP="00D80F61">
      <w:pPr>
        <w:rPr>
          <w:color w:val="000000" w:themeColor="text1"/>
        </w:rPr>
      </w:pPr>
      <w:r>
        <w:rPr>
          <w:color w:val="000000" w:themeColor="text1"/>
        </w:rPr>
        <w:t xml:space="preserve">Niepowodzeniem zakończyło się gromadzenie nowych zmiennych w wyniku ankiety. Jednostki miejskie, po przeniesieniu kompetencji zarządzania fotoradarami i odcinkowymi pomiarami prędkości do GITD, nie są w stanie określić liczby urządzeń </w:t>
      </w:r>
      <w:r w:rsidR="00CC0C24">
        <w:rPr>
          <w:color w:val="000000" w:themeColor="text1"/>
        </w:rPr>
        <w:t>tego typu</w:t>
      </w:r>
      <w:r>
        <w:rPr>
          <w:color w:val="000000" w:themeColor="text1"/>
        </w:rPr>
        <w:t xml:space="preserve"> znajdujących się na ich terenie funkcjonowania. Bardzo trudne okazało się również określenie średniego czasu likwidacji zdarzeń w sieci transportowej i przywracania ruchu. Nieliczni organizatorzy transportu, którzy ten parametr wyznaczyli, wskazali na różne </w:t>
      </w:r>
      <w:r w:rsidR="00CC0C24">
        <w:rPr>
          <w:color w:val="000000" w:themeColor="text1"/>
        </w:rPr>
        <w:t>zbiory uwzględnianych zdarzeń. Nie należy więc porównywać wartości określonego czasu między poszczególnymi miastami.</w:t>
      </w:r>
    </w:p>
    <w:p w14:paraId="5E6FD01C" w14:textId="60CCC3EB" w:rsidR="00CC0C24" w:rsidRPr="006A3DAB" w:rsidRDefault="00CC0C24" w:rsidP="00D80F61">
      <w:pPr>
        <w:rPr>
          <w:color w:val="000000" w:themeColor="text1"/>
        </w:rPr>
      </w:pPr>
      <w:r>
        <w:rPr>
          <w:color w:val="000000" w:themeColor="text1"/>
        </w:rPr>
        <w:t xml:space="preserve">W zapytaniach, ze względu na niejednoznaczność wyniku, zmieniono parametry dotyczący liczby dróg na ich długość. Długość dróg (rowerowych, </w:t>
      </w:r>
      <w:r w:rsidR="00F23947">
        <w:rPr>
          <w:color w:val="000000" w:themeColor="text1"/>
        </w:rPr>
        <w:t xml:space="preserve">w strefie </w:t>
      </w:r>
      <w:r>
        <w:rPr>
          <w:color w:val="000000" w:themeColor="text1"/>
        </w:rPr>
        <w:t>temp</w:t>
      </w:r>
      <w:r w:rsidR="00F23947">
        <w:rPr>
          <w:color w:val="000000" w:themeColor="text1"/>
        </w:rPr>
        <w:t>o</w:t>
      </w:r>
      <w:r>
        <w:rPr>
          <w:color w:val="000000" w:themeColor="text1"/>
        </w:rPr>
        <w:t xml:space="preserve"> 30, dla ruchu pieszego lub rowerowego) została uznana za lepszy parametr do porównywania ze sobą wartości występujących w różnych miastach.</w:t>
      </w:r>
      <w:r w:rsidR="00ED74CB">
        <w:rPr>
          <w:color w:val="000000" w:themeColor="text1"/>
        </w:rPr>
        <w:t xml:space="preserve"> </w:t>
      </w:r>
      <w:r w:rsidR="00F23947">
        <w:rPr>
          <w:color w:val="000000" w:themeColor="text1"/>
        </w:rPr>
        <w:t>Zmiana wynika z sytuacji, w której w jednym z miast na kilkukilometrowym ciągu zmieniają się nazwy ulic i w takim przypadku ulice zliczone zostałyby wielokrotnie, a w drugim mieście to nadal jedna ulica. W</w:t>
      </w:r>
      <w:r w:rsidR="00ED74CB">
        <w:rPr>
          <w:color w:val="000000" w:themeColor="text1"/>
        </w:rPr>
        <w:t xml:space="preserve"> bazie uzupełniono również dane o długości buspasów w poszczególnych miastach (na podstawie BDL GUS) oraz o wypadkach drogowych i z udziałem pojazdów komunikacji miejskiej (na podstawie bazy SEWIK).</w:t>
      </w:r>
    </w:p>
    <w:tbl>
      <w:tblPr>
        <w:tblStyle w:val="Box"/>
        <w:tblW w:w="10192" w:type="dxa"/>
        <w:tblLook w:val="05A0" w:firstRow="1" w:lastRow="0" w:firstColumn="1" w:lastColumn="1" w:noHBand="0" w:noVBand="1"/>
      </w:tblPr>
      <w:tblGrid>
        <w:gridCol w:w="993"/>
        <w:gridCol w:w="9199"/>
      </w:tblGrid>
      <w:tr w:rsidR="00D80F61" w:rsidRPr="00D84512" w14:paraId="38E7E366" w14:textId="77777777" w:rsidTr="006D3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1B039D3E" w14:textId="77777777" w:rsidR="00D80F61" w:rsidRPr="001703EA" w:rsidRDefault="00D80F61" w:rsidP="007951D9">
            <w:pPr>
              <w:jc w:val="center"/>
              <w:rPr>
                <w:sz w:val="44"/>
                <w:szCs w:val="44"/>
              </w:rPr>
            </w:pPr>
            <w:r w:rsidRPr="001703EA">
              <w:rPr>
                <w:sz w:val="44"/>
                <w:szCs w:val="44"/>
              </w:rPr>
              <w:t>!</w:t>
            </w:r>
          </w:p>
        </w:tc>
        <w:tc>
          <w:tcPr>
            <w:cnfStyle w:val="000100000000" w:firstRow="0" w:lastRow="0" w:firstColumn="0" w:lastColumn="1" w:oddVBand="0" w:evenVBand="0" w:oddHBand="0" w:evenHBand="0" w:firstRowFirstColumn="0" w:firstRowLastColumn="0" w:lastRowFirstColumn="0" w:lastRowLastColumn="0"/>
            <w:tcW w:w="9199" w:type="dxa"/>
          </w:tcPr>
          <w:p w14:paraId="74B4031A" w14:textId="6D857852" w:rsidR="00D80F61" w:rsidRPr="00731D0C" w:rsidRDefault="00D80F61" w:rsidP="007951D9">
            <w:pPr>
              <w:rPr>
                <w:b/>
              </w:rPr>
            </w:pPr>
            <w:r w:rsidRPr="00731D0C">
              <w:rPr>
                <w:b/>
              </w:rPr>
              <w:t xml:space="preserve">Braki w uzyskanych danych świadczą o </w:t>
            </w:r>
            <w:r w:rsidR="00CC0C24" w:rsidRPr="00731D0C">
              <w:rPr>
                <w:b/>
              </w:rPr>
              <w:t xml:space="preserve">dalszym </w:t>
            </w:r>
            <w:r w:rsidRPr="00731D0C">
              <w:rPr>
                <w:b/>
              </w:rPr>
              <w:t>braku zintegrowanego monitoringu wdrażania i</w:t>
            </w:r>
            <w:r w:rsidRPr="00731D0C">
              <w:rPr>
                <w:rFonts w:ascii="Calibri" w:hAnsi="Calibri"/>
                <w:b/>
              </w:rPr>
              <w:t> </w:t>
            </w:r>
            <w:r w:rsidRPr="00731D0C">
              <w:rPr>
                <w:b/>
              </w:rPr>
              <w:t>skuteczności polityk transportowych w skali pojedynczych miast – pomimo ogromnych nakładów środków finansowych na te cele zarówno z budżetów samorządów, jak i środków unijnych. Należy również podkreślić, że zapytania o dane były wysyłane bezpośrednio z IP POIiŚ.</w:t>
            </w:r>
          </w:p>
        </w:tc>
      </w:tr>
    </w:tbl>
    <w:p w14:paraId="78AA0697" w14:textId="0D388E81" w:rsidR="00671EAE" w:rsidRDefault="00671EAE" w:rsidP="00903109">
      <w:pPr>
        <w:pStyle w:val="Podtytu"/>
        <w:rPr>
          <w:color w:val="FF0000"/>
        </w:rPr>
      </w:pPr>
      <w:r w:rsidRPr="00027A16">
        <w:t xml:space="preserve">BAZA DANYCH </w:t>
      </w:r>
      <w:r w:rsidRPr="00AE21D2">
        <w:rPr>
          <w:i/>
        </w:rPr>
        <w:t>BIG</w:t>
      </w:r>
      <w:r w:rsidR="00AE21D2" w:rsidRPr="00AE21D2">
        <w:rPr>
          <w:i/>
        </w:rPr>
        <w:t xml:space="preserve"> </w:t>
      </w:r>
      <w:r w:rsidRPr="00AE21D2">
        <w:rPr>
          <w:i/>
        </w:rPr>
        <w:t>DATA</w:t>
      </w:r>
      <w:r w:rsidRPr="00027A16">
        <w:t xml:space="preserve"> O PŁYNNOŚCI RUCHU</w:t>
      </w:r>
    </w:p>
    <w:p w14:paraId="3991B5A7" w14:textId="5A170DFC" w:rsidR="00605011" w:rsidRDefault="00605011" w:rsidP="00671EAE">
      <w:pPr>
        <w:rPr>
          <w:color w:val="000000" w:themeColor="text1"/>
        </w:rPr>
      </w:pPr>
      <w:r>
        <w:rPr>
          <w:color w:val="000000" w:themeColor="text1"/>
        </w:rPr>
        <w:t xml:space="preserve">Czasy przejazdu na podstawie API Google </w:t>
      </w:r>
      <w:proofErr w:type="spellStart"/>
      <w:r>
        <w:rPr>
          <w:color w:val="000000" w:themeColor="text1"/>
        </w:rPr>
        <w:t>Maps</w:t>
      </w:r>
      <w:proofErr w:type="spellEnd"/>
      <w:r>
        <w:rPr>
          <w:color w:val="000000" w:themeColor="text1"/>
        </w:rPr>
        <w:t xml:space="preserve"> wyznaczono dla wszystkich badanych relacji. </w:t>
      </w:r>
      <w:r w:rsidRPr="00605011">
        <w:rPr>
          <w:color w:val="000000" w:themeColor="text1"/>
        </w:rPr>
        <w:t>Odpytywanie o czas przejazdu dla ruchu indywidualnego odbywało się w okresie między 1-31 października 2019 r. (31 dni), 30 razy na dobę</w:t>
      </w:r>
      <w:r w:rsidR="00814470">
        <w:rPr>
          <w:color w:val="000000" w:themeColor="text1"/>
        </w:rPr>
        <w:t xml:space="preserve"> – była to zmiana w stosunku do pierwotnych założeń, jednak</w:t>
      </w:r>
      <w:r w:rsidR="00A32CAF">
        <w:rPr>
          <w:color w:val="000000" w:themeColor="text1"/>
        </w:rPr>
        <w:t xml:space="preserve"> łączna liczba ponad 360 000 odpytań została zrealizowana na poziomie zamierzonym, gdyż zrezygnowano z niereprezentatywnych danych wrześniowych i zastąpiono je większą liczbą relacji</w:t>
      </w:r>
      <w:r w:rsidRPr="00605011">
        <w:rPr>
          <w:color w:val="000000" w:themeColor="text1"/>
        </w:rPr>
        <w:t>.</w:t>
      </w:r>
      <w:r>
        <w:rPr>
          <w:color w:val="000000" w:themeColor="text1"/>
        </w:rPr>
        <w:t xml:space="preserve"> </w:t>
      </w:r>
      <w:r w:rsidR="007305D6">
        <w:rPr>
          <w:color w:val="000000" w:themeColor="text1"/>
        </w:rPr>
        <w:t xml:space="preserve">Zebrana baza </w:t>
      </w:r>
      <w:r w:rsidR="000342F0">
        <w:rPr>
          <w:color w:val="000000" w:themeColor="text1"/>
        </w:rPr>
        <w:t>pozwoliła wyznacz</w:t>
      </w:r>
      <w:r w:rsidR="007305D6">
        <w:rPr>
          <w:color w:val="000000" w:themeColor="text1"/>
        </w:rPr>
        <w:t>yć</w:t>
      </w:r>
      <w:r w:rsidR="000342F0">
        <w:rPr>
          <w:color w:val="000000" w:themeColor="text1"/>
        </w:rPr>
        <w:t xml:space="preserve"> śred</w:t>
      </w:r>
      <w:r w:rsidR="007305D6">
        <w:rPr>
          <w:color w:val="000000" w:themeColor="text1"/>
        </w:rPr>
        <w:t>nie</w:t>
      </w:r>
      <w:r w:rsidR="000342F0">
        <w:rPr>
          <w:color w:val="000000" w:themeColor="text1"/>
        </w:rPr>
        <w:t xml:space="preserve"> czas</w:t>
      </w:r>
      <w:r w:rsidR="007305D6">
        <w:rPr>
          <w:color w:val="000000" w:themeColor="text1"/>
        </w:rPr>
        <w:t>y</w:t>
      </w:r>
      <w:r w:rsidR="000342F0">
        <w:rPr>
          <w:color w:val="000000" w:themeColor="text1"/>
        </w:rPr>
        <w:t xml:space="preserve"> przejazdu oraz </w:t>
      </w:r>
      <w:r w:rsidR="00C15B25">
        <w:rPr>
          <w:color w:val="000000" w:themeColor="text1"/>
        </w:rPr>
        <w:t>decyle: pierwszy i</w:t>
      </w:r>
      <w:r w:rsidR="001A6891">
        <w:rPr>
          <w:color w:val="000000" w:themeColor="text1"/>
        </w:rPr>
        <w:t> </w:t>
      </w:r>
      <w:r w:rsidR="00C15B25">
        <w:rPr>
          <w:color w:val="000000" w:themeColor="text1"/>
        </w:rPr>
        <w:t xml:space="preserve">dziewiąty </w:t>
      </w:r>
      <w:r w:rsidR="000342F0">
        <w:rPr>
          <w:color w:val="000000" w:themeColor="text1"/>
        </w:rPr>
        <w:t>tego czasu, odzwierciedlając</w:t>
      </w:r>
      <w:r w:rsidR="00C15B25">
        <w:rPr>
          <w:color w:val="000000" w:themeColor="text1"/>
        </w:rPr>
        <w:t>e</w:t>
      </w:r>
      <w:r w:rsidR="000342F0">
        <w:rPr>
          <w:color w:val="000000" w:themeColor="text1"/>
        </w:rPr>
        <w:t xml:space="preserve"> zmienność wartości w</w:t>
      </w:r>
      <w:r w:rsidR="007305D6">
        <w:rPr>
          <w:color w:val="000000" w:themeColor="text1"/>
        </w:rPr>
        <w:t> populacji</w:t>
      </w:r>
      <w:r w:rsidR="00F4356D">
        <w:rPr>
          <w:color w:val="000000" w:themeColor="text1"/>
        </w:rPr>
        <w:t xml:space="preserve"> i odcinających wartości skrajne</w:t>
      </w:r>
      <w:r w:rsidR="007305D6">
        <w:rPr>
          <w:color w:val="000000" w:themeColor="text1"/>
        </w:rPr>
        <w:t>.</w:t>
      </w:r>
      <w:r w:rsidR="000342F0">
        <w:rPr>
          <w:color w:val="000000" w:themeColor="text1"/>
        </w:rPr>
        <w:t xml:space="preserve"> </w:t>
      </w:r>
      <w:r w:rsidR="00A32CAF">
        <w:rPr>
          <w:color w:val="000000" w:themeColor="text1"/>
        </w:rPr>
        <w:t>Pilotaż wykazał również, że specyfiką systemów informatycznych jest brak odpowiedzi systemów w nielicznych przypadkach (na poziomie kilku procent), co jednak przy ponad 900 zapytaniach na odcinek nie wpływa negatywnie na możliwość wnioskowania.</w:t>
      </w:r>
    </w:p>
    <w:p w14:paraId="1F490E43" w14:textId="7EDD1060" w:rsidR="00671EAE" w:rsidRPr="00671EAE" w:rsidRDefault="00605011" w:rsidP="00671EAE">
      <w:pPr>
        <w:rPr>
          <w:color w:val="000000" w:themeColor="text1"/>
        </w:rPr>
      </w:pPr>
      <w:r>
        <w:rPr>
          <w:color w:val="000000" w:themeColor="text1"/>
        </w:rPr>
        <w:t xml:space="preserve">W przypadku rzeczywistych czasów przejazdu transportu publicznego dane udało się pozyskać od 8 miast. </w:t>
      </w:r>
      <w:r w:rsidR="007305D6">
        <w:rPr>
          <w:color w:val="000000" w:themeColor="text1"/>
        </w:rPr>
        <w:t>W większości przypadków uzyskano tabelaryczne raporty czasu przejazdu dla linii objętych badaniem, osobno za okres dni powszednich (14-18 października) oraz sobot</w:t>
      </w:r>
      <w:r w:rsidR="00B04351">
        <w:rPr>
          <w:color w:val="000000" w:themeColor="text1"/>
        </w:rPr>
        <w:t>ę</w:t>
      </w:r>
      <w:r w:rsidR="007305D6">
        <w:rPr>
          <w:color w:val="000000" w:themeColor="text1"/>
        </w:rPr>
        <w:t xml:space="preserve"> (19 października) i niedziel</w:t>
      </w:r>
      <w:r w:rsidR="00B04351">
        <w:rPr>
          <w:color w:val="000000" w:themeColor="text1"/>
        </w:rPr>
        <w:t>ę</w:t>
      </w:r>
      <w:r w:rsidR="007305D6">
        <w:rPr>
          <w:color w:val="000000" w:themeColor="text1"/>
        </w:rPr>
        <w:t xml:space="preserve"> (20 października). </w:t>
      </w:r>
      <w:r w:rsidR="00C802A1">
        <w:rPr>
          <w:color w:val="000000" w:themeColor="text1"/>
        </w:rPr>
        <w:t xml:space="preserve">Dane mają różną postać, co utrudnia ich przetworzenie jedną metodą i jest bardzo pracochłonne. W przypadku Łodzi i Zielonej Góry utrwalono raporty zawierające średnie czasy międzyprzystankowe, które można łatwo przetworzyć. </w:t>
      </w:r>
      <w:r w:rsidR="00B04351">
        <w:rPr>
          <w:color w:val="000000" w:themeColor="text1"/>
        </w:rPr>
        <w:t xml:space="preserve">W przypadku Poznania utrwalono </w:t>
      </w:r>
      <w:r w:rsidR="00C802A1">
        <w:rPr>
          <w:color w:val="000000" w:themeColor="text1"/>
        </w:rPr>
        <w:t xml:space="preserve">wręcz </w:t>
      </w:r>
      <w:r w:rsidR="00B04351">
        <w:rPr>
          <w:color w:val="000000" w:themeColor="text1"/>
        </w:rPr>
        <w:t xml:space="preserve">całą bazę zgłoszeń pojazdów transportu publicznego w mieście w dniu </w:t>
      </w:r>
      <w:r w:rsidR="00B04351">
        <w:rPr>
          <w:color w:val="000000" w:themeColor="text1"/>
        </w:rPr>
        <w:lastRenderedPageBreak/>
        <w:t>14 października 2019</w:t>
      </w:r>
      <w:r w:rsidR="00C802A1">
        <w:rPr>
          <w:color w:val="000000" w:themeColor="text1"/>
        </w:rPr>
        <w:t xml:space="preserve">, co wymaga </w:t>
      </w:r>
      <w:r w:rsidR="0036607F">
        <w:rPr>
          <w:color w:val="000000" w:themeColor="text1"/>
        </w:rPr>
        <w:t xml:space="preserve">rozbudowanej </w:t>
      </w:r>
      <w:r w:rsidR="00C802A1">
        <w:rPr>
          <w:color w:val="000000" w:themeColor="text1"/>
        </w:rPr>
        <w:t>filtracji danych do wyznaczenia pożądanych wartości</w:t>
      </w:r>
      <w:r w:rsidR="00B04351">
        <w:rPr>
          <w:color w:val="000000" w:themeColor="text1"/>
        </w:rPr>
        <w:t xml:space="preserve">. </w:t>
      </w:r>
      <w:r>
        <w:rPr>
          <w:color w:val="000000" w:themeColor="text1"/>
        </w:rPr>
        <w:t xml:space="preserve">Rozkładowe czasy przejazdu utrwalono </w:t>
      </w:r>
      <w:r w:rsidR="007305D6">
        <w:rPr>
          <w:color w:val="000000" w:themeColor="text1"/>
        </w:rPr>
        <w:t xml:space="preserve">natomiast </w:t>
      </w:r>
      <w:r>
        <w:rPr>
          <w:color w:val="000000" w:themeColor="text1"/>
        </w:rPr>
        <w:t>dla wszystkich 155 relacji dnia 15 października 2019 r.</w:t>
      </w:r>
    </w:p>
    <w:p w14:paraId="62219107" w14:textId="77777777" w:rsidR="007966FB" w:rsidRDefault="005D736C" w:rsidP="005D736C">
      <w:pPr>
        <w:pStyle w:val="Nagwek3"/>
      </w:pPr>
      <w:bookmarkStart w:id="115" w:name="_Toc27125343"/>
      <w:r>
        <w:t>Studia przypadku</w:t>
      </w:r>
      <w:bookmarkEnd w:id="115"/>
    </w:p>
    <w:p w14:paraId="1361AF7D" w14:textId="05299994" w:rsidR="00EA3F66" w:rsidRDefault="00F64682" w:rsidP="007966FB">
      <w:r>
        <w:t xml:space="preserve">Studia przypadku objęły 8 węzłów przesiadkowych, w tym 6 poddawanych interwencji POIiŚ 2014-2020 oraz 2 niepoddawane interwencji (węzeł Toruń Miasto przebudowany został w ramach POIiŚ 2007-2013). </w:t>
      </w:r>
      <w:r w:rsidR="00AB4256">
        <w:t xml:space="preserve">Węzły integrowały różne środki transportu: tramwaje, autobusy, trolejbusy, koleje, rowery miejskie, samochody (parkingi </w:t>
      </w:r>
      <w:r w:rsidR="00552334" w:rsidRPr="00307E9E">
        <w:rPr>
          <w:i/>
        </w:rPr>
        <w:t>P</w:t>
      </w:r>
      <w:r w:rsidR="00AB4256" w:rsidRPr="00307E9E">
        <w:rPr>
          <w:i/>
        </w:rPr>
        <w:t>ark</w:t>
      </w:r>
      <w:r w:rsidR="00552334" w:rsidRPr="00307E9E">
        <w:rPr>
          <w:i/>
        </w:rPr>
        <w:t xml:space="preserve"> </w:t>
      </w:r>
      <w:r w:rsidR="00AB4256" w:rsidRPr="00307E9E">
        <w:rPr>
          <w:i/>
        </w:rPr>
        <w:t>&amp;</w:t>
      </w:r>
      <w:r w:rsidR="00552334" w:rsidRPr="00307E9E">
        <w:rPr>
          <w:i/>
        </w:rPr>
        <w:t xml:space="preserve"> </w:t>
      </w:r>
      <w:proofErr w:type="spellStart"/>
      <w:r w:rsidR="00552334" w:rsidRPr="00307E9E">
        <w:rPr>
          <w:i/>
        </w:rPr>
        <w:t>R</w:t>
      </w:r>
      <w:r w:rsidR="00AB4256" w:rsidRPr="00307E9E">
        <w:rPr>
          <w:i/>
        </w:rPr>
        <w:t>ide</w:t>
      </w:r>
      <w:proofErr w:type="spellEnd"/>
      <w:r w:rsidR="00AB4256">
        <w:t xml:space="preserve"> lub </w:t>
      </w:r>
      <w:r w:rsidR="00552334" w:rsidRPr="00307E9E">
        <w:rPr>
          <w:i/>
        </w:rPr>
        <w:t>K</w:t>
      </w:r>
      <w:r w:rsidR="00AB4256" w:rsidRPr="00307E9E">
        <w:rPr>
          <w:i/>
        </w:rPr>
        <w:t>iss</w:t>
      </w:r>
      <w:r w:rsidR="00552334" w:rsidRPr="00307E9E">
        <w:rPr>
          <w:i/>
        </w:rPr>
        <w:t xml:space="preserve"> </w:t>
      </w:r>
      <w:r w:rsidR="00AB4256" w:rsidRPr="00307E9E">
        <w:rPr>
          <w:i/>
        </w:rPr>
        <w:t>&amp;</w:t>
      </w:r>
      <w:r w:rsidR="00552334" w:rsidRPr="00307E9E">
        <w:rPr>
          <w:i/>
        </w:rPr>
        <w:t xml:space="preserve"> </w:t>
      </w:r>
      <w:proofErr w:type="spellStart"/>
      <w:r w:rsidR="00552334" w:rsidRPr="00307E9E">
        <w:rPr>
          <w:i/>
        </w:rPr>
        <w:t>R</w:t>
      </w:r>
      <w:r w:rsidR="00AB4256" w:rsidRPr="00307E9E">
        <w:rPr>
          <w:i/>
        </w:rPr>
        <w:t>ide</w:t>
      </w:r>
      <w:proofErr w:type="spellEnd"/>
      <w:r w:rsidR="00AB4256">
        <w:t>).</w:t>
      </w:r>
    </w:p>
    <w:p w14:paraId="3DA3A7A9" w14:textId="058B5A15" w:rsidR="001F0F07" w:rsidRDefault="001F0F07" w:rsidP="001F0F07">
      <w:r>
        <w:t>W ramach kryterium 1 – Integracji przestrzennej - a</w:t>
      </w:r>
      <w:r w:rsidR="00F64682">
        <w:t xml:space="preserve">nalizie poddano drogi przejścia przy przesiadce między poszczególnymi przystankami komunikacji miejskiej, kolei oraz stacjami rowerów miejskich. </w:t>
      </w:r>
      <w:r w:rsidR="00F87146">
        <w:t xml:space="preserve">Za warunki spełniające kryterium zwartego węzła przesiadkowego uznano maksymalną drogę dojścia między przystankami komunikacji miejskiej wynoszącą 250 metrów </w:t>
      </w:r>
      <w:r w:rsidR="00C90E4A">
        <w:t>lub</w:t>
      </w:r>
      <w:r w:rsidR="00F87146">
        <w:t xml:space="preserve"> 3 minut</w:t>
      </w:r>
      <w:r w:rsidR="00C90E4A">
        <w:t>y</w:t>
      </w:r>
      <w:r w:rsidR="00F87146">
        <w:t xml:space="preserve"> czasu przejścia i 400 metrów dla przesiadki z koleją </w:t>
      </w:r>
      <w:r w:rsidR="00C90E4A">
        <w:t>lub</w:t>
      </w:r>
      <w:r w:rsidR="00F87146">
        <w:t xml:space="preserve"> 5 minut czasu przejścia. </w:t>
      </w:r>
      <w:r w:rsidR="00F64682">
        <w:t>Przykładowe schematy, na których oznaczono przystanki wraz ze ścieżkami analizowanych dróg przejścia zawiera</w:t>
      </w:r>
      <w:r w:rsidR="00ED74CB">
        <w:t xml:space="preserve"> </w:t>
      </w:r>
      <w:r w:rsidR="00ED74CB">
        <w:fldChar w:fldCharType="begin"/>
      </w:r>
      <w:r w:rsidR="00ED74CB">
        <w:instrText xml:space="preserve"> REF _Ref25170199 \h </w:instrText>
      </w:r>
      <w:r w:rsidR="00ED74CB">
        <w:fldChar w:fldCharType="separate"/>
      </w:r>
      <w:r w:rsidR="00C93FD7">
        <w:t xml:space="preserve">Tabela </w:t>
      </w:r>
      <w:r w:rsidR="00C93FD7">
        <w:rPr>
          <w:noProof/>
        </w:rPr>
        <w:t>11</w:t>
      </w:r>
      <w:r w:rsidR="00ED74CB">
        <w:fldChar w:fldCharType="end"/>
      </w:r>
      <w:r w:rsidR="00F64682">
        <w:t>.</w:t>
      </w:r>
      <w:r w:rsidR="00F87146">
        <w:t xml:space="preserve"> Odległości przejścia między przystankami zagregowano w macierze dróg dojścia</w:t>
      </w:r>
      <w:r w:rsidR="00ED74CB">
        <w:t xml:space="preserve"> </w:t>
      </w:r>
      <w:r w:rsidR="00700B0E">
        <w:t xml:space="preserve">(por. </w:t>
      </w:r>
      <w:r w:rsidR="00700B0E">
        <w:fldChar w:fldCharType="begin"/>
      </w:r>
      <w:r w:rsidR="00700B0E">
        <w:instrText xml:space="preserve"> REF _Ref24799784 \h </w:instrText>
      </w:r>
      <w:r w:rsidR="00700B0E">
        <w:fldChar w:fldCharType="separate"/>
      </w:r>
      <w:r w:rsidR="00C93FD7">
        <w:t xml:space="preserve">Tabela </w:t>
      </w:r>
      <w:r w:rsidR="00C93FD7">
        <w:rPr>
          <w:noProof/>
        </w:rPr>
        <w:t>12</w:t>
      </w:r>
      <w:r w:rsidR="00700B0E">
        <w:fldChar w:fldCharType="end"/>
      </w:r>
      <w:r w:rsidR="00700B0E">
        <w:t xml:space="preserve">), które następnie przemnażano przez </w:t>
      </w:r>
      <w:r w:rsidR="00700B0E" w:rsidRPr="00700B0E">
        <w:t>macierz</w:t>
      </w:r>
      <w:r w:rsidR="00700B0E">
        <w:t>e</w:t>
      </w:r>
      <w:r w:rsidR="00700B0E" w:rsidRPr="00700B0E">
        <w:t xml:space="preserve"> sumy liczby kursów w godzinie szczytu na obu przystankach</w:t>
      </w:r>
      <w:r w:rsidR="00700B0E">
        <w:t xml:space="preserve">, uzyskując </w:t>
      </w:r>
      <w:r w:rsidR="00700B0E" w:rsidRPr="00700B0E">
        <w:t>macierz</w:t>
      </w:r>
      <w:r w:rsidR="00700B0E">
        <w:t>e iloczynów</w:t>
      </w:r>
      <w:r w:rsidR="00700B0E" w:rsidRPr="00700B0E">
        <w:t xml:space="preserve"> odległości i liczby kursów [m • </w:t>
      </w:r>
      <w:proofErr w:type="spellStart"/>
      <w:r w:rsidR="00700B0E" w:rsidRPr="00700B0E">
        <w:t>l.k</w:t>
      </w:r>
      <w:proofErr w:type="spellEnd"/>
      <w:r w:rsidR="00700B0E" w:rsidRPr="00700B0E">
        <w:t>./h].</w:t>
      </w:r>
      <w:bookmarkStart w:id="116" w:name="_Ref24799306"/>
    </w:p>
    <w:p w14:paraId="35190997" w14:textId="448DC72C" w:rsidR="00F23947" w:rsidRDefault="00F23947" w:rsidP="00F23947">
      <w:r>
        <w:t xml:space="preserve">W badanej grupie znalazły się zarówno węzły bardzo zwarte przestrzennie: Kraków Krowodrza Górka i Toruń Dworzec Miasto, ale też bardzo rozległe: Łódź Chojny, Warszawa Dworzec Zachodni i Warszawa Plac Unii Lubelskiej. Te trzy węzły mają istotnie zmienić się po realizacji projektów POIiŚ 2014-2020, dlatego należy spodziewać się znacznie lepszego wyniku w badaniu </w:t>
      </w:r>
      <w:r w:rsidRPr="00307E9E">
        <w:rPr>
          <w:i/>
        </w:rPr>
        <w:t>ex</w:t>
      </w:r>
      <w:r w:rsidR="00760E00">
        <w:rPr>
          <w:i/>
        </w:rPr>
        <w:t xml:space="preserve"> </w:t>
      </w:r>
      <w:r w:rsidRPr="00307E9E">
        <w:rPr>
          <w:i/>
        </w:rPr>
        <w:t>post</w:t>
      </w:r>
      <w:r>
        <w:t>.</w:t>
      </w:r>
    </w:p>
    <w:p w14:paraId="1C91B701" w14:textId="7BE89B1B" w:rsidR="00F23947" w:rsidRDefault="00F23947" w:rsidP="00F23947">
      <w:r>
        <w:t xml:space="preserve">Drugim analizowanym kryterium były warunki ruchu panujące na obszarze węzłów oraz w ich pobliżu oraz przepustowość układu komunikacyjnego. Ocena w tej kategorii uzależniona była też od tego czy środki komunikacji poruszają się w ruchu ogólnym (z reguły komunikacja autobusowa, por. </w:t>
      </w:r>
      <w:r>
        <w:fldChar w:fldCharType="begin"/>
      </w:r>
      <w:r>
        <w:instrText xml:space="preserve"> REF _Ref24801792 \h </w:instrText>
      </w:r>
      <w:r>
        <w:fldChar w:fldCharType="separate"/>
      </w:r>
      <w:r w:rsidR="00C93FD7">
        <w:t xml:space="preserve">Zdjęcie </w:t>
      </w:r>
      <w:r w:rsidR="00C93FD7">
        <w:rPr>
          <w:noProof/>
        </w:rPr>
        <w:t>1</w:t>
      </w:r>
      <w:r>
        <w:fldChar w:fldCharType="end"/>
      </w:r>
      <w:r>
        <w:t xml:space="preserve">) czy na wydzielonych korytarzach (z reguły torowiska tramwajowe, por. </w:t>
      </w:r>
      <w:r>
        <w:fldChar w:fldCharType="begin"/>
      </w:r>
      <w:r>
        <w:instrText xml:space="preserve"> REF _Ref24801948 \h </w:instrText>
      </w:r>
      <w:r>
        <w:fldChar w:fldCharType="separate"/>
      </w:r>
      <w:r w:rsidR="00C93FD7">
        <w:t xml:space="preserve">Zdjęcie </w:t>
      </w:r>
      <w:r w:rsidR="00C93FD7">
        <w:rPr>
          <w:noProof/>
        </w:rPr>
        <w:t>2</w:t>
      </w:r>
      <w:r>
        <w:fldChar w:fldCharType="end"/>
      </w:r>
      <w:r>
        <w:t xml:space="preserve">). </w:t>
      </w:r>
    </w:p>
    <w:p w14:paraId="1D267057" w14:textId="087C8195" w:rsidR="00F23947" w:rsidRDefault="00F23947" w:rsidP="00F23947">
      <w:pPr>
        <w:rPr>
          <w:rFonts w:ascii="Lora" w:eastAsia="Lora" w:hAnsi="Lora" w:cs="Times New Roman"/>
          <w:iCs/>
          <w:color w:val="000000"/>
          <w:szCs w:val="18"/>
        </w:rPr>
      </w:pPr>
      <w:r>
        <w:t xml:space="preserve">Trzecie analizowane kryterium dotyczyło bezpieczeństwa ruchu, w szczególności ruchu pieszego. Negatywnie oceniano konieczność pokonywania przez pieszych wielopasowych jezdni bez możliwości zatrzymania się na azylu pośrednim. Obserwowano też niedozwolone miejsca przekraczania jezdni przez pieszych, co wskazywało na brak wystarczającej liczby dojść i przejść do krawędzi przystankowych, chociażby z obu ich stron lub zbyt długie drogi dojścia (por. </w:t>
      </w:r>
      <w:r>
        <w:fldChar w:fldCharType="begin"/>
      </w:r>
      <w:r>
        <w:instrText xml:space="preserve"> REF _Ref24805170 \h </w:instrText>
      </w:r>
      <w:r>
        <w:fldChar w:fldCharType="separate"/>
      </w:r>
      <w:r w:rsidR="00C93FD7">
        <w:t xml:space="preserve">Zdjęcie </w:t>
      </w:r>
      <w:r w:rsidR="00C93FD7">
        <w:rPr>
          <w:noProof/>
        </w:rPr>
        <w:t>3</w:t>
      </w:r>
      <w:r>
        <w:fldChar w:fldCharType="end"/>
      </w:r>
      <w:r>
        <w:t xml:space="preserve">). </w:t>
      </w:r>
      <w:r>
        <w:rPr>
          <w:rFonts w:ascii="Lora" w:eastAsia="Lora" w:hAnsi="Lora" w:cs="Times New Roman"/>
          <w:iCs/>
          <w:color w:val="000000"/>
          <w:szCs w:val="18"/>
        </w:rPr>
        <w:t xml:space="preserve">Przy krawędziach przystanków często zauważano też parkujące samochody osobowe i dostawcze, ograniczające widoczność przy wsiadaniu z jezdni (por. </w:t>
      </w:r>
      <w:r>
        <w:rPr>
          <w:rFonts w:ascii="Lora" w:eastAsia="Lora" w:hAnsi="Lora" w:cs="Times New Roman"/>
          <w:iCs/>
          <w:color w:val="000000"/>
          <w:szCs w:val="18"/>
        </w:rPr>
        <w:fldChar w:fldCharType="begin"/>
      </w:r>
      <w:r>
        <w:rPr>
          <w:rFonts w:ascii="Lora" w:eastAsia="Lora" w:hAnsi="Lora" w:cs="Times New Roman"/>
          <w:iCs/>
          <w:color w:val="000000"/>
          <w:szCs w:val="18"/>
        </w:rPr>
        <w:instrText xml:space="preserve"> REF _Ref24805040 \h </w:instrText>
      </w:r>
      <w:r>
        <w:rPr>
          <w:rFonts w:ascii="Lora" w:eastAsia="Lora" w:hAnsi="Lora" w:cs="Times New Roman"/>
          <w:iCs/>
          <w:color w:val="000000"/>
          <w:szCs w:val="18"/>
        </w:rPr>
      </w:r>
      <w:r>
        <w:rPr>
          <w:rFonts w:ascii="Lora" w:eastAsia="Lora" w:hAnsi="Lora" w:cs="Times New Roman"/>
          <w:iCs/>
          <w:color w:val="000000"/>
          <w:szCs w:val="18"/>
        </w:rPr>
        <w:fldChar w:fldCharType="separate"/>
      </w:r>
      <w:r w:rsidR="00C93FD7">
        <w:t xml:space="preserve">Zdjęcie </w:t>
      </w:r>
      <w:r w:rsidR="00C93FD7">
        <w:rPr>
          <w:noProof/>
        </w:rPr>
        <w:t>4</w:t>
      </w:r>
      <w:r>
        <w:rPr>
          <w:rFonts w:ascii="Lora" w:eastAsia="Lora" w:hAnsi="Lora" w:cs="Times New Roman"/>
          <w:iCs/>
          <w:color w:val="000000"/>
          <w:szCs w:val="18"/>
        </w:rPr>
        <w:fldChar w:fldCharType="end"/>
      </w:r>
      <w:r>
        <w:rPr>
          <w:rFonts w:ascii="Lora" w:eastAsia="Lora" w:hAnsi="Lora" w:cs="Times New Roman"/>
          <w:iCs/>
          <w:color w:val="000000"/>
          <w:szCs w:val="18"/>
        </w:rPr>
        <w:t>).</w:t>
      </w:r>
    </w:p>
    <w:p w14:paraId="07B6D3A6" w14:textId="6CF8C6D7" w:rsidR="00F23947" w:rsidRDefault="00F23947" w:rsidP="00F23947">
      <w:r>
        <w:t xml:space="preserve">Kolejnym badanym kryterium było bezpieczeństwo osobiste pasażerów. Często na węzłach brakowało podstawowego wyposażenia, za jakie można uznać monitoring wizyjny. Niewiele z nich posiadało też ogrzewane poczekalnie, wpływające na komfort dłuższego oczekiwania w okresie zimowym. Węzły zazwyczaj były oświetlone, a ochronę przed opadami i wiatrem zapewniają z reguły niewielkie wiaty przystankowe. Żaden z analizowanych węzłów nie był wyposażony w kompletne zadaszenie, przynajmniej nad drogami przejścia przesiadających się pasażerów (np. </w:t>
      </w:r>
      <w:r>
        <w:fldChar w:fldCharType="begin"/>
      </w:r>
      <w:r>
        <w:instrText xml:space="preserve"> REF _Ref24805976 \h </w:instrText>
      </w:r>
      <w:r>
        <w:fldChar w:fldCharType="separate"/>
      </w:r>
      <w:r w:rsidR="00C93FD7">
        <w:t xml:space="preserve">Zdjęcie </w:t>
      </w:r>
      <w:r w:rsidR="00C93FD7">
        <w:rPr>
          <w:noProof/>
        </w:rPr>
        <w:t>5</w:t>
      </w:r>
      <w:r>
        <w:fldChar w:fldCharType="end"/>
      </w:r>
      <w:r>
        <w:t>). Nie pozwala to przejść pasażerom między przystankami tzw. „suchą stopą”.</w:t>
      </w:r>
    </w:p>
    <w:p w14:paraId="5B02FA6F" w14:textId="152CA260" w:rsidR="00F23947" w:rsidRDefault="00F23947" w:rsidP="00F23947">
      <w:pPr>
        <w:spacing w:before="0"/>
      </w:pPr>
      <w:r>
        <w:t xml:space="preserve">Piąte kryterium analizy dotyczyło wewnętrznej logiki węzła. Oceniono w nim procentowy udział średniej liczby widocznych </w:t>
      </w:r>
      <w:r w:rsidR="003772DF">
        <w:t xml:space="preserve">z danego przystanku </w:t>
      </w:r>
      <w:r>
        <w:t>innych słupków przystankowych lub dróg prowadzących do nich. Dla każdego węzła sprawdzono też dwie przykładowe relacje przesiadkowe pod względem możliwości zorientowania się pasażera w drodze dojścia na inny przystanek.</w:t>
      </w:r>
    </w:p>
    <w:p w14:paraId="0DD4EDCB" w14:textId="359D5B6C" w:rsidR="00E777DE" w:rsidRDefault="00E777DE" w:rsidP="002071E4">
      <w:pPr>
        <w:pStyle w:val="rdo"/>
      </w:pPr>
      <w:bookmarkStart w:id="117" w:name="_Ref25170199"/>
      <w:bookmarkStart w:id="118" w:name="_Toc27125369"/>
      <w:r>
        <w:lastRenderedPageBreak/>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11</w:t>
      </w:r>
      <w:r w:rsidR="003C20BE">
        <w:rPr>
          <w:noProof/>
        </w:rPr>
        <w:fldChar w:fldCharType="end"/>
      </w:r>
      <w:bookmarkEnd w:id="116"/>
      <w:bookmarkEnd w:id="117"/>
      <w:r>
        <w:t>. Przykładowe schematy węzłów przesiadkowych: lokalizacji przystanków i dróg przejścia.</w:t>
      </w:r>
      <w:bookmarkEnd w:id="118"/>
    </w:p>
    <w:tbl>
      <w:tblPr>
        <w:tblStyle w:val="WolanskiCorpTabela3"/>
        <w:tblW w:w="0" w:type="auto"/>
        <w:tblLook w:val="04A0" w:firstRow="1" w:lastRow="0" w:firstColumn="1" w:lastColumn="0" w:noHBand="0" w:noVBand="1"/>
      </w:tblPr>
      <w:tblGrid>
        <w:gridCol w:w="4689"/>
        <w:gridCol w:w="4382"/>
      </w:tblGrid>
      <w:tr w:rsidR="00304798" w14:paraId="70C0656A" w14:textId="77777777" w:rsidTr="00073D8B">
        <w:trPr>
          <w:cnfStyle w:val="100000000000" w:firstRow="1" w:lastRow="0" w:firstColumn="0" w:lastColumn="0" w:oddVBand="0" w:evenVBand="0" w:oddHBand="0" w:evenHBand="0" w:firstRowFirstColumn="0" w:firstRowLastColumn="0" w:lastRowFirstColumn="0" w:lastRowLastColumn="0"/>
        </w:trPr>
        <w:tc>
          <w:tcPr>
            <w:tcW w:w="9071" w:type="dxa"/>
            <w:gridSpan w:val="2"/>
          </w:tcPr>
          <w:p w14:paraId="34E92F17" w14:textId="1CE87AD3" w:rsidR="00304798" w:rsidRDefault="00304798" w:rsidP="00024ECA">
            <w:pPr>
              <w:pStyle w:val="Legenda"/>
              <w:spacing w:before="120"/>
            </w:pPr>
            <w:r>
              <w:t>Węzł</w:t>
            </w:r>
            <w:r w:rsidR="00F77CE1">
              <w:t>Y</w:t>
            </w:r>
            <w:r>
              <w:t xml:space="preserve"> integrują</w:t>
            </w:r>
            <w:r w:rsidR="00F77CE1">
              <w:t>CE</w:t>
            </w:r>
            <w:r>
              <w:t xml:space="preserve"> komunikację miejską</w:t>
            </w:r>
            <w:r w:rsidR="00F77CE1">
              <w:t xml:space="preserve"> i KOLEJ</w:t>
            </w:r>
          </w:p>
        </w:tc>
      </w:tr>
      <w:tr w:rsidR="00593F1A" w14:paraId="72B324D6" w14:textId="77777777" w:rsidTr="00304798">
        <w:trPr>
          <w:cnfStyle w:val="000000100000" w:firstRow="0" w:lastRow="0" w:firstColumn="0" w:lastColumn="0" w:oddVBand="0" w:evenVBand="0" w:oddHBand="1" w:evenHBand="0" w:firstRowFirstColumn="0" w:firstRowLastColumn="0" w:lastRowFirstColumn="0" w:lastRowLastColumn="0"/>
        </w:trPr>
        <w:tc>
          <w:tcPr>
            <w:tcW w:w="4689" w:type="dxa"/>
          </w:tcPr>
          <w:p w14:paraId="1FFF7F1B" w14:textId="2A044A99" w:rsidR="00304798" w:rsidRDefault="00304798" w:rsidP="00024ECA">
            <w:pPr>
              <w:pStyle w:val="Legenda"/>
              <w:spacing w:before="120"/>
              <w:jc w:val="center"/>
            </w:pPr>
            <w:r>
              <w:t>Warszawa, Dworzec Zachodni</w:t>
            </w:r>
          </w:p>
        </w:tc>
        <w:tc>
          <w:tcPr>
            <w:tcW w:w="4382" w:type="dxa"/>
          </w:tcPr>
          <w:p w14:paraId="27BC025B" w14:textId="7902633C" w:rsidR="00304798" w:rsidRDefault="00304798" w:rsidP="00024ECA">
            <w:pPr>
              <w:pStyle w:val="Legenda"/>
              <w:spacing w:before="120"/>
              <w:jc w:val="center"/>
            </w:pPr>
            <w:r>
              <w:t>Toruń, Dworzec Miasto</w:t>
            </w:r>
          </w:p>
        </w:tc>
      </w:tr>
      <w:tr w:rsidR="00593F1A" w14:paraId="034E5D1A" w14:textId="77777777" w:rsidTr="00304798">
        <w:tc>
          <w:tcPr>
            <w:tcW w:w="4689" w:type="dxa"/>
          </w:tcPr>
          <w:p w14:paraId="5D992665" w14:textId="3ACDC99B" w:rsidR="00E777DE" w:rsidRPr="00E777DE" w:rsidRDefault="00304798" w:rsidP="00990748">
            <w:pPr>
              <w:pStyle w:val="Legenda"/>
            </w:pPr>
            <w:r>
              <w:rPr>
                <w:rFonts w:ascii="Lora" w:eastAsia="Lora" w:hAnsi="Lora" w:cs="Times New Roman"/>
                <w:b/>
                <w:iCs w:val="0"/>
                <w:caps/>
                <w:noProof/>
                <w:color w:val="000000"/>
                <w:lang w:eastAsia="pl-PL"/>
              </w:rPr>
              <w:drawing>
                <wp:inline distT="0" distB="0" distL="0" distR="0" wp14:anchorId="795796D6" wp14:editId="7DD5A07E">
                  <wp:extent cx="2840802" cy="2921591"/>
                  <wp:effectExtent l="0" t="0" r="0" b="0"/>
                  <wp:docPr id="26" name="Obraz 26" descr="Rysunek przedstawiający przystanki transportu publicznego w obszarze węzła Dworzec Zachodni wraz z drogami dojścia pomiędzy n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wezel_zachodnia.PNG"/>
                          <pic:cNvPicPr/>
                        </pic:nvPicPr>
                        <pic:blipFill>
                          <a:blip r:embed="rId30">
                            <a:extLst>
                              <a:ext uri="{28A0092B-C50C-407E-A947-70E740481C1C}">
                                <a14:useLocalDpi xmlns:a14="http://schemas.microsoft.com/office/drawing/2010/main" val="0"/>
                              </a:ext>
                            </a:extLst>
                          </a:blip>
                          <a:stretch>
                            <a:fillRect/>
                          </a:stretch>
                        </pic:blipFill>
                        <pic:spPr>
                          <a:xfrm>
                            <a:off x="0" y="0"/>
                            <a:ext cx="2895334" cy="2977673"/>
                          </a:xfrm>
                          <a:prstGeom prst="rect">
                            <a:avLst/>
                          </a:prstGeom>
                        </pic:spPr>
                      </pic:pic>
                    </a:graphicData>
                  </a:graphic>
                </wp:inline>
              </w:drawing>
            </w:r>
          </w:p>
        </w:tc>
        <w:tc>
          <w:tcPr>
            <w:tcW w:w="4382" w:type="dxa"/>
            <w:vAlign w:val="center"/>
          </w:tcPr>
          <w:p w14:paraId="5762C5E2" w14:textId="70B9E138" w:rsidR="00E777DE" w:rsidRPr="00E777DE" w:rsidRDefault="00304798" w:rsidP="00990748">
            <w:pPr>
              <w:pStyle w:val="Legenda"/>
              <w:jc w:val="center"/>
            </w:pPr>
            <w:r>
              <w:rPr>
                <w:noProof/>
                <w:lang w:eastAsia="pl-PL"/>
              </w:rPr>
              <w:drawing>
                <wp:inline distT="0" distB="0" distL="0" distR="0" wp14:anchorId="444FBB4F" wp14:editId="5C490DD5">
                  <wp:extent cx="2615609" cy="2893060"/>
                  <wp:effectExtent l="0" t="0" r="0" b="2540"/>
                  <wp:docPr id="27" name="Obraz 27" descr="Rysunek przedstawiający przystanki transportu publicznego w obszarze węzła Toruń Dworzec Miasto wraz z drogami dojścia pomiędzy n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072" r="11543"/>
                          <a:stretch/>
                        </pic:blipFill>
                        <pic:spPr bwMode="auto">
                          <a:xfrm>
                            <a:off x="0" y="0"/>
                            <a:ext cx="2669056" cy="2952176"/>
                          </a:xfrm>
                          <a:prstGeom prst="rect">
                            <a:avLst/>
                          </a:prstGeom>
                          <a:ln>
                            <a:noFill/>
                          </a:ln>
                          <a:extLst>
                            <a:ext uri="{53640926-AAD7-44D8-BBD7-CCE9431645EC}">
                              <a14:shadowObscured xmlns:a14="http://schemas.microsoft.com/office/drawing/2010/main"/>
                            </a:ext>
                          </a:extLst>
                        </pic:spPr>
                      </pic:pic>
                    </a:graphicData>
                  </a:graphic>
                </wp:inline>
              </w:drawing>
            </w:r>
          </w:p>
        </w:tc>
      </w:tr>
      <w:tr w:rsidR="00990748" w14:paraId="2A09FD33" w14:textId="77777777" w:rsidTr="00304798">
        <w:trPr>
          <w:cnfStyle w:val="000000100000" w:firstRow="0" w:lastRow="0" w:firstColumn="0" w:lastColumn="0" w:oddVBand="0" w:evenVBand="0" w:oddHBand="1" w:evenHBand="0" w:firstRowFirstColumn="0" w:firstRowLastColumn="0" w:lastRowFirstColumn="0" w:lastRowLastColumn="0"/>
        </w:trPr>
        <w:tc>
          <w:tcPr>
            <w:tcW w:w="4689" w:type="dxa"/>
          </w:tcPr>
          <w:p w14:paraId="54D89297" w14:textId="20F2920C" w:rsidR="00990748" w:rsidRDefault="00990748" w:rsidP="00990748">
            <w:pPr>
              <w:pStyle w:val="Legenda"/>
              <w:jc w:val="center"/>
              <w:rPr>
                <w:rFonts w:ascii="Lora" w:eastAsia="Lora" w:hAnsi="Lora" w:cs="Times New Roman"/>
                <w:b/>
                <w:iCs w:val="0"/>
                <w:caps/>
                <w:noProof/>
                <w:color w:val="000000"/>
              </w:rPr>
            </w:pPr>
            <w:r>
              <w:t>Najdłuższa droga przejścia: 980 m</w:t>
            </w:r>
          </w:p>
        </w:tc>
        <w:tc>
          <w:tcPr>
            <w:tcW w:w="4382" w:type="dxa"/>
            <w:vAlign w:val="center"/>
          </w:tcPr>
          <w:p w14:paraId="137C7E67" w14:textId="247790A8" w:rsidR="00990748" w:rsidRDefault="00990748" w:rsidP="00990748">
            <w:pPr>
              <w:pStyle w:val="Legenda"/>
              <w:jc w:val="center"/>
              <w:rPr>
                <w:noProof/>
              </w:rPr>
            </w:pPr>
            <w:r>
              <w:t>Najdłuższa droga przejścia: 200 m</w:t>
            </w:r>
          </w:p>
        </w:tc>
      </w:tr>
      <w:tr w:rsidR="00304798" w14:paraId="1C8B1F0F" w14:textId="77777777" w:rsidTr="00304798">
        <w:tc>
          <w:tcPr>
            <w:tcW w:w="9071" w:type="dxa"/>
            <w:gridSpan w:val="2"/>
            <w:shd w:val="clear" w:color="auto" w:fill="FFC800"/>
          </w:tcPr>
          <w:p w14:paraId="2E8AC3ED" w14:textId="0C836DBE" w:rsidR="00304798" w:rsidRPr="00446E9F" w:rsidRDefault="00304798" w:rsidP="00024ECA">
            <w:pPr>
              <w:pStyle w:val="Legenda"/>
              <w:spacing w:before="120"/>
              <w:rPr>
                <w:b/>
              </w:rPr>
            </w:pPr>
            <w:r w:rsidRPr="00446E9F">
              <w:rPr>
                <w:b/>
              </w:rPr>
              <w:t>WĘZŁ</w:t>
            </w:r>
            <w:r w:rsidR="00F77CE1" w:rsidRPr="00446E9F">
              <w:rPr>
                <w:b/>
              </w:rPr>
              <w:t>Y</w:t>
            </w:r>
            <w:r w:rsidRPr="00446E9F">
              <w:rPr>
                <w:b/>
              </w:rPr>
              <w:t xml:space="preserve"> INTEGRUJĄC</w:t>
            </w:r>
            <w:r w:rsidR="00F77CE1" w:rsidRPr="00446E9F">
              <w:rPr>
                <w:b/>
              </w:rPr>
              <w:t>E KOMUNIKACJĘ MIEJSKĄ:</w:t>
            </w:r>
            <w:r w:rsidRPr="00446E9F">
              <w:rPr>
                <w:b/>
              </w:rPr>
              <w:t xml:space="preserve"> AUTOBUSY I TRAMWAJE</w:t>
            </w:r>
          </w:p>
        </w:tc>
      </w:tr>
      <w:tr w:rsidR="00593F1A" w14:paraId="71844DED" w14:textId="77777777" w:rsidTr="00304798">
        <w:trPr>
          <w:cnfStyle w:val="000000100000" w:firstRow="0" w:lastRow="0" w:firstColumn="0" w:lastColumn="0" w:oddVBand="0" w:evenVBand="0" w:oddHBand="1" w:evenHBand="0" w:firstRowFirstColumn="0" w:firstRowLastColumn="0" w:lastRowFirstColumn="0" w:lastRowLastColumn="0"/>
        </w:trPr>
        <w:tc>
          <w:tcPr>
            <w:tcW w:w="4689" w:type="dxa"/>
          </w:tcPr>
          <w:p w14:paraId="7056546E" w14:textId="5F8656FB" w:rsidR="00304798" w:rsidRDefault="00304798" w:rsidP="00024ECA">
            <w:pPr>
              <w:pStyle w:val="Legenda"/>
              <w:spacing w:before="120"/>
              <w:jc w:val="center"/>
            </w:pPr>
            <w:r>
              <w:t>Warszawa, Wiatraczna</w:t>
            </w:r>
          </w:p>
        </w:tc>
        <w:tc>
          <w:tcPr>
            <w:tcW w:w="4382" w:type="dxa"/>
          </w:tcPr>
          <w:p w14:paraId="3AF203B0" w14:textId="7EDAE19E" w:rsidR="00304798" w:rsidRDefault="00304798" w:rsidP="00024ECA">
            <w:pPr>
              <w:pStyle w:val="Legenda"/>
              <w:spacing w:before="120"/>
              <w:jc w:val="center"/>
            </w:pPr>
            <w:r>
              <w:t>Kraków, Krowodrza Górka</w:t>
            </w:r>
          </w:p>
        </w:tc>
      </w:tr>
      <w:tr w:rsidR="00593F1A" w14:paraId="578F5FDB" w14:textId="77777777" w:rsidTr="00304798">
        <w:tc>
          <w:tcPr>
            <w:tcW w:w="4689" w:type="dxa"/>
            <w:vAlign w:val="center"/>
          </w:tcPr>
          <w:p w14:paraId="7BAE78E0" w14:textId="6919782B" w:rsidR="00E777DE" w:rsidRPr="00E777DE" w:rsidRDefault="00304798" w:rsidP="00990748">
            <w:pPr>
              <w:pStyle w:val="Legenda"/>
              <w:jc w:val="center"/>
            </w:pPr>
            <w:r>
              <w:rPr>
                <w:rFonts w:ascii="Lora" w:eastAsia="Lora" w:hAnsi="Lora" w:cs="Times New Roman"/>
                <w:b/>
                <w:iCs w:val="0"/>
                <w:caps/>
                <w:noProof/>
                <w:color w:val="000000"/>
                <w:lang w:eastAsia="pl-PL"/>
              </w:rPr>
              <w:drawing>
                <wp:inline distT="0" distB="0" distL="0" distR="0" wp14:anchorId="5EEA3F25" wp14:editId="15020732">
                  <wp:extent cx="2840355" cy="2189440"/>
                  <wp:effectExtent l="0" t="0" r="0" b="0"/>
                  <wp:docPr id="29" name="Obraz 29" descr="Rysunek przedstawiający przystanki transportu publicznego w obszarze węzła Warszawa Wiatraczna wraz z drogami przejścia pomiędzy n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_wiatraczek.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0355" cy="2189440"/>
                          </a:xfrm>
                          <a:prstGeom prst="rect">
                            <a:avLst/>
                          </a:prstGeom>
                        </pic:spPr>
                      </pic:pic>
                    </a:graphicData>
                  </a:graphic>
                </wp:inline>
              </w:drawing>
            </w:r>
          </w:p>
        </w:tc>
        <w:tc>
          <w:tcPr>
            <w:tcW w:w="4382" w:type="dxa"/>
            <w:vAlign w:val="center"/>
          </w:tcPr>
          <w:p w14:paraId="6F602C46" w14:textId="1781C96F" w:rsidR="00E777DE" w:rsidRPr="00E777DE" w:rsidRDefault="00E777DE" w:rsidP="00990748">
            <w:pPr>
              <w:pStyle w:val="Legenda"/>
              <w:jc w:val="center"/>
            </w:pPr>
            <w:r>
              <w:rPr>
                <w:noProof/>
                <w:lang w:eastAsia="pl-PL"/>
              </w:rPr>
              <w:drawing>
                <wp:inline distT="0" distB="0" distL="0" distR="0" wp14:anchorId="3D7A1302" wp14:editId="0C8375F0">
                  <wp:extent cx="2573035" cy="2214063"/>
                  <wp:effectExtent l="0" t="0" r="0" b="0"/>
                  <wp:docPr id="34" name="Obraz 34" descr="Rysunek przedstawiający przystanki transportu publicznego w obszarze węzła Kraków Krowodrza Górka wraz z drogami przejścia pomiędzy ni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rakow-wezel krowodrza02.png"/>
                          <pic:cNvPicPr/>
                        </pic:nvPicPr>
                        <pic:blipFill rotWithShape="1">
                          <a:blip r:embed="rId33" cstate="print">
                            <a:extLst>
                              <a:ext uri="{28A0092B-C50C-407E-A947-70E740481C1C}">
                                <a14:useLocalDpi xmlns:a14="http://schemas.microsoft.com/office/drawing/2010/main" val="0"/>
                              </a:ext>
                            </a:extLst>
                          </a:blip>
                          <a:srcRect l="18453" t="7894" r="15945"/>
                          <a:stretch/>
                        </pic:blipFill>
                        <pic:spPr bwMode="auto">
                          <a:xfrm>
                            <a:off x="0" y="0"/>
                            <a:ext cx="2588701" cy="2227544"/>
                          </a:xfrm>
                          <a:prstGeom prst="rect">
                            <a:avLst/>
                          </a:prstGeom>
                          <a:ln>
                            <a:noFill/>
                          </a:ln>
                          <a:extLst>
                            <a:ext uri="{53640926-AAD7-44D8-BBD7-CCE9431645EC}">
                              <a14:shadowObscured xmlns:a14="http://schemas.microsoft.com/office/drawing/2010/main"/>
                            </a:ext>
                          </a:extLst>
                        </pic:spPr>
                      </pic:pic>
                    </a:graphicData>
                  </a:graphic>
                </wp:inline>
              </w:drawing>
            </w:r>
          </w:p>
        </w:tc>
      </w:tr>
      <w:tr w:rsidR="00990748" w14:paraId="636C51D2" w14:textId="77777777" w:rsidTr="00304798">
        <w:trPr>
          <w:cnfStyle w:val="000000100000" w:firstRow="0" w:lastRow="0" w:firstColumn="0" w:lastColumn="0" w:oddVBand="0" w:evenVBand="0" w:oddHBand="1" w:evenHBand="0" w:firstRowFirstColumn="0" w:firstRowLastColumn="0" w:lastRowFirstColumn="0" w:lastRowLastColumn="0"/>
        </w:trPr>
        <w:tc>
          <w:tcPr>
            <w:tcW w:w="4689" w:type="dxa"/>
            <w:vAlign w:val="center"/>
          </w:tcPr>
          <w:p w14:paraId="1E5D5633" w14:textId="6C7872C4" w:rsidR="00990748" w:rsidRDefault="00990748" w:rsidP="00304798">
            <w:pPr>
              <w:pStyle w:val="Legenda"/>
              <w:jc w:val="center"/>
              <w:rPr>
                <w:rFonts w:ascii="Lora" w:eastAsia="Lora" w:hAnsi="Lora" w:cs="Times New Roman"/>
                <w:b/>
                <w:iCs w:val="0"/>
                <w:caps/>
                <w:noProof/>
                <w:color w:val="000000"/>
              </w:rPr>
            </w:pPr>
            <w:r>
              <w:t>Najdłuższa droga przejścia: 465 m</w:t>
            </w:r>
          </w:p>
        </w:tc>
        <w:tc>
          <w:tcPr>
            <w:tcW w:w="4382" w:type="dxa"/>
            <w:vAlign w:val="center"/>
          </w:tcPr>
          <w:p w14:paraId="7DC0AAFB" w14:textId="3C018F9D" w:rsidR="00990748" w:rsidRDefault="00990748" w:rsidP="00304798">
            <w:pPr>
              <w:pStyle w:val="Legenda"/>
              <w:jc w:val="center"/>
              <w:rPr>
                <w:noProof/>
              </w:rPr>
            </w:pPr>
            <w:r>
              <w:t>Najdłuższa droga przejścia: 180 m</w:t>
            </w:r>
          </w:p>
        </w:tc>
      </w:tr>
    </w:tbl>
    <w:p w14:paraId="502D6BE4" w14:textId="37EF3EBE" w:rsidR="00E777DE" w:rsidRDefault="00E777DE" w:rsidP="00024ECA">
      <w:pPr>
        <w:pStyle w:val="rdo"/>
        <w:spacing w:after="0"/>
      </w:pPr>
      <w:r>
        <w:t>Źródło: opracowanie własne na bazie podkładów mapowych ukosne.um.warszawa.pl lub openstreetmap.org.</w:t>
      </w:r>
    </w:p>
    <w:p w14:paraId="3AFC6DEA" w14:textId="324BFFF9" w:rsidR="00F87146" w:rsidRDefault="00F87146" w:rsidP="00F23947">
      <w:pPr>
        <w:pStyle w:val="Legenda"/>
        <w:spacing w:before="0" w:after="120"/>
      </w:pPr>
      <w:bookmarkStart w:id="119" w:name="_Ref24799784"/>
      <w:bookmarkStart w:id="120" w:name="_Toc27125370"/>
      <w:r>
        <w:lastRenderedPageBreak/>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12</w:t>
      </w:r>
      <w:r w:rsidR="003C20BE">
        <w:rPr>
          <w:noProof/>
        </w:rPr>
        <w:fldChar w:fldCharType="end"/>
      </w:r>
      <w:bookmarkEnd w:id="119"/>
      <w:r>
        <w:t>. Macierz odległości [m] w ocenie integracji przestrzennej - Warszawa, pl. Unii Lubelskiej.</w:t>
      </w:r>
      <w:bookmarkEnd w:id="120"/>
    </w:p>
    <w:tbl>
      <w:tblPr>
        <w:tblStyle w:val="Tabela-Siatka"/>
        <w:tblW w:w="8931" w:type="dxa"/>
        <w:jc w:val="center"/>
        <w:tblLayout w:type="fixed"/>
        <w:tblLook w:val="04A0" w:firstRow="1" w:lastRow="0" w:firstColumn="1" w:lastColumn="0" w:noHBand="0" w:noVBand="1"/>
      </w:tblPr>
      <w:tblGrid>
        <w:gridCol w:w="1347"/>
        <w:gridCol w:w="638"/>
        <w:gridCol w:w="567"/>
        <w:gridCol w:w="567"/>
        <w:gridCol w:w="567"/>
        <w:gridCol w:w="567"/>
        <w:gridCol w:w="567"/>
        <w:gridCol w:w="567"/>
        <w:gridCol w:w="567"/>
        <w:gridCol w:w="567"/>
        <w:gridCol w:w="567"/>
        <w:gridCol w:w="567"/>
        <w:gridCol w:w="567"/>
        <w:gridCol w:w="709"/>
      </w:tblGrid>
      <w:tr w:rsidR="00F87146" w:rsidRPr="00F87146" w14:paraId="3F69710E" w14:textId="77777777" w:rsidTr="00F87146">
        <w:trPr>
          <w:trHeight w:val="397"/>
          <w:jc w:val="center"/>
        </w:trPr>
        <w:tc>
          <w:tcPr>
            <w:tcW w:w="1347" w:type="dxa"/>
            <w:shd w:val="clear" w:color="auto" w:fill="FFC000"/>
            <w:vAlign w:val="center"/>
          </w:tcPr>
          <w:p w14:paraId="1E28B7CD"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 xml:space="preserve">Przystanek </w:t>
            </w:r>
            <w:r w:rsidRPr="00D415F4">
              <w:rPr>
                <w:rFonts w:asciiTheme="majorHAnsi" w:hAnsiTheme="majorHAnsi"/>
                <w:b/>
                <w:sz w:val="18"/>
              </w:rPr>
              <w:br/>
              <w:t>od \ do</w:t>
            </w:r>
          </w:p>
        </w:tc>
        <w:tc>
          <w:tcPr>
            <w:tcW w:w="638" w:type="dxa"/>
            <w:shd w:val="clear" w:color="auto" w:fill="FFC000"/>
            <w:vAlign w:val="center"/>
          </w:tcPr>
          <w:p w14:paraId="1B1FEC45" w14:textId="796B0CD2" w:rsidR="00F87146" w:rsidRPr="00D415F4" w:rsidRDefault="00F87146" w:rsidP="00073D8B">
            <w:pPr>
              <w:jc w:val="center"/>
              <w:rPr>
                <w:rFonts w:asciiTheme="majorHAnsi" w:hAnsiTheme="majorHAnsi"/>
                <w:b/>
                <w:sz w:val="18"/>
              </w:rPr>
            </w:pPr>
            <w:r w:rsidRPr="00D415F4">
              <w:rPr>
                <w:rFonts w:asciiTheme="majorHAnsi" w:hAnsiTheme="majorHAnsi"/>
                <w:b/>
                <w:sz w:val="18"/>
              </w:rPr>
              <w:t>UL</w:t>
            </w:r>
            <w:r w:rsidRPr="00D415F4">
              <w:rPr>
                <w:rFonts w:asciiTheme="majorHAnsi" w:hAnsiTheme="majorHAnsi"/>
                <w:b/>
                <w:sz w:val="18"/>
              </w:rPr>
              <w:br/>
              <w:t>01</w:t>
            </w:r>
          </w:p>
        </w:tc>
        <w:tc>
          <w:tcPr>
            <w:tcW w:w="567" w:type="dxa"/>
            <w:shd w:val="clear" w:color="auto" w:fill="FFC000"/>
            <w:vAlign w:val="center"/>
          </w:tcPr>
          <w:p w14:paraId="32B7E0C5"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UL02</w:t>
            </w:r>
          </w:p>
        </w:tc>
        <w:tc>
          <w:tcPr>
            <w:tcW w:w="567" w:type="dxa"/>
            <w:shd w:val="clear" w:color="auto" w:fill="FFC000"/>
            <w:vAlign w:val="center"/>
          </w:tcPr>
          <w:p w14:paraId="5336A6E7"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UL04</w:t>
            </w:r>
          </w:p>
        </w:tc>
        <w:tc>
          <w:tcPr>
            <w:tcW w:w="567" w:type="dxa"/>
            <w:shd w:val="clear" w:color="auto" w:fill="FFC000"/>
            <w:vAlign w:val="center"/>
          </w:tcPr>
          <w:p w14:paraId="72ADD4BD"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UL05</w:t>
            </w:r>
          </w:p>
        </w:tc>
        <w:tc>
          <w:tcPr>
            <w:tcW w:w="567" w:type="dxa"/>
            <w:shd w:val="clear" w:color="auto" w:fill="FFC000"/>
            <w:vAlign w:val="center"/>
          </w:tcPr>
          <w:p w14:paraId="11C75B49"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UL06</w:t>
            </w:r>
          </w:p>
        </w:tc>
        <w:tc>
          <w:tcPr>
            <w:tcW w:w="567" w:type="dxa"/>
            <w:shd w:val="clear" w:color="auto" w:fill="FFC000"/>
            <w:vAlign w:val="center"/>
          </w:tcPr>
          <w:p w14:paraId="2805C67A"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UL07</w:t>
            </w:r>
          </w:p>
        </w:tc>
        <w:tc>
          <w:tcPr>
            <w:tcW w:w="567" w:type="dxa"/>
            <w:shd w:val="clear" w:color="auto" w:fill="FFC000"/>
            <w:vAlign w:val="center"/>
          </w:tcPr>
          <w:p w14:paraId="009C10B0"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RA01</w:t>
            </w:r>
          </w:p>
        </w:tc>
        <w:tc>
          <w:tcPr>
            <w:tcW w:w="567" w:type="dxa"/>
            <w:shd w:val="clear" w:color="auto" w:fill="FFC000"/>
            <w:vAlign w:val="center"/>
          </w:tcPr>
          <w:p w14:paraId="7E38E5A8"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RA02</w:t>
            </w:r>
          </w:p>
        </w:tc>
        <w:tc>
          <w:tcPr>
            <w:tcW w:w="567" w:type="dxa"/>
            <w:shd w:val="clear" w:color="auto" w:fill="FFC000"/>
            <w:vAlign w:val="center"/>
          </w:tcPr>
          <w:p w14:paraId="67CF674D"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RA03</w:t>
            </w:r>
          </w:p>
        </w:tc>
        <w:tc>
          <w:tcPr>
            <w:tcW w:w="567" w:type="dxa"/>
            <w:shd w:val="clear" w:color="auto" w:fill="FFC000"/>
            <w:vAlign w:val="center"/>
          </w:tcPr>
          <w:p w14:paraId="1ABAD15D"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RA04</w:t>
            </w:r>
          </w:p>
        </w:tc>
        <w:tc>
          <w:tcPr>
            <w:tcW w:w="567" w:type="dxa"/>
            <w:shd w:val="clear" w:color="auto" w:fill="FFC000"/>
            <w:vAlign w:val="center"/>
          </w:tcPr>
          <w:p w14:paraId="0BFE8ED7"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RA05</w:t>
            </w:r>
          </w:p>
        </w:tc>
        <w:tc>
          <w:tcPr>
            <w:tcW w:w="567" w:type="dxa"/>
            <w:shd w:val="clear" w:color="auto" w:fill="FFC000"/>
            <w:vAlign w:val="center"/>
          </w:tcPr>
          <w:p w14:paraId="3FBA8E78"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RA06</w:t>
            </w:r>
          </w:p>
        </w:tc>
        <w:tc>
          <w:tcPr>
            <w:tcW w:w="709" w:type="dxa"/>
            <w:shd w:val="clear" w:color="auto" w:fill="FFC000"/>
            <w:vAlign w:val="center"/>
          </w:tcPr>
          <w:p w14:paraId="72F86C8E" w14:textId="77777777" w:rsidR="00F87146" w:rsidRPr="00D415F4" w:rsidRDefault="00F87146" w:rsidP="00073D8B">
            <w:pPr>
              <w:jc w:val="center"/>
              <w:rPr>
                <w:rFonts w:asciiTheme="majorHAnsi" w:hAnsiTheme="majorHAnsi"/>
                <w:b/>
                <w:sz w:val="18"/>
              </w:rPr>
            </w:pPr>
            <w:r w:rsidRPr="00D415F4">
              <w:rPr>
                <w:rFonts w:asciiTheme="majorHAnsi" w:hAnsiTheme="majorHAnsi"/>
                <w:b/>
                <w:sz w:val="18"/>
              </w:rPr>
              <w:t>VET</w:t>
            </w:r>
          </w:p>
        </w:tc>
      </w:tr>
      <w:tr w:rsidR="00F87146" w:rsidRPr="00F87146" w14:paraId="482C1C35" w14:textId="77777777" w:rsidTr="00F87146">
        <w:trPr>
          <w:trHeight w:val="340"/>
          <w:jc w:val="center"/>
        </w:trPr>
        <w:tc>
          <w:tcPr>
            <w:tcW w:w="1347" w:type="dxa"/>
            <w:shd w:val="clear" w:color="auto" w:fill="FFC000"/>
            <w:vAlign w:val="center"/>
          </w:tcPr>
          <w:p w14:paraId="4B230E76" w14:textId="77777777" w:rsidR="00F87146" w:rsidRPr="00D415F4" w:rsidRDefault="00F87146" w:rsidP="00F23947">
            <w:pPr>
              <w:spacing w:before="0"/>
              <w:jc w:val="center"/>
              <w:rPr>
                <w:rFonts w:asciiTheme="majorHAnsi" w:hAnsiTheme="majorHAnsi"/>
                <w:b/>
                <w:sz w:val="18"/>
              </w:rPr>
            </w:pPr>
            <w:bookmarkStart w:id="121" w:name="_Hlk13835101"/>
            <w:bookmarkStart w:id="122" w:name="_Hlk13839598"/>
            <w:r w:rsidRPr="00D415F4">
              <w:rPr>
                <w:rFonts w:asciiTheme="majorHAnsi" w:hAnsiTheme="majorHAnsi"/>
                <w:b/>
                <w:sz w:val="18"/>
              </w:rPr>
              <w:t>UL01</w:t>
            </w:r>
          </w:p>
        </w:tc>
        <w:tc>
          <w:tcPr>
            <w:tcW w:w="638" w:type="dxa"/>
            <w:shd w:val="clear" w:color="auto" w:fill="000000" w:themeFill="text1"/>
            <w:vAlign w:val="center"/>
          </w:tcPr>
          <w:p w14:paraId="1AEE9FAF"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4F70B5BE" w14:textId="77777777" w:rsidR="00F87146" w:rsidRPr="00F87146" w:rsidRDefault="00F87146" w:rsidP="00F23947">
            <w:pPr>
              <w:spacing w:before="0"/>
              <w:jc w:val="center"/>
              <w:rPr>
                <w:rFonts w:ascii="Lora" w:hAnsi="Lora"/>
                <w:sz w:val="18"/>
              </w:rPr>
            </w:pPr>
            <w:r w:rsidRPr="00F87146">
              <w:rPr>
                <w:rFonts w:ascii="Lora" w:hAnsi="Lora"/>
                <w:sz w:val="18"/>
              </w:rPr>
              <w:t>165</w:t>
            </w:r>
          </w:p>
        </w:tc>
        <w:tc>
          <w:tcPr>
            <w:tcW w:w="567" w:type="dxa"/>
            <w:shd w:val="clear" w:color="auto" w:fill="FFFF00"/>
            <w:vAlign w:val="center"/>
          </w:tcPr>
          <w:p w14:paraId="31F92A91" w14:textId="77777777" w:rsidR="00F87146" w:rsidRPr="00F87146" w:rsidRDefault="00F87146" w:rsidP="00F23947">
            <w:pPr>
              <w:spacing w:before="0"/>
              <w:jc w:val="center"/>
              <w:rPr>
                <w:rFonts w:ascii="Lora" w:hAnsi="Lora"/>
                <w:sz w:val="18"/>
              </w:rPr>
            </w:pPr>
            <w:r w:rsidRPr="00F87146">
              <w:rPr>
                <w:rFonts w:ascii="Lora" w:hAnsi="Lora"/>
                <w:sz w:val="18"/>
              </w:rPr>
              <w:t>375</w:t>
            </w:r>
          </w:p>
        </w:tc>
        <w:tc>
          <w:tcPr>
            <w:tcW w:w="567" w:type="dxa"/>
            <w:shd w:val="clear" w:color="auto" w:fill="FFFF00"/>
            <w:vAlign w:val="center"/>
          </w:tcPr>
          <w:p w14:paraId="3EE2CFC6" w14:textId="77777777" w:rsidR="00F87146" w:rsidRPr="00F87146" w:rsidRDefault="00F87146" w:rsidP="00F23947">
            <w:pPr>
              <w:spacing w:before="0"/>
              <w:jc w:val="center"/>
              <w:rPr>
                <w:rFonts w:ascii="Lora" w:hAnsi="Lora"/>
                <w:sz w:val="18"/>
              </w:rPr>
            </w:pPr>
            <w:r w:rsidRPr="00F87146">
              <w:rPr>
                <w:rFonts w:ascii="Lora" w:hAnsi="Lora"/>
                <w:sz w:val="18"/>
              </w:rPr>
              <w:t>370</w:t>
            </w:r>
          </w:p>
        </w:tc>
        <w:tc>
          <w:tcPr>
            <w:tcW w:w="567" w:type="dxa"/>
            <w:shd w:val="clear" w:color="auto" w:fill="FFFF00"/>
            <w:vAlign w:val="center"/>
          </w:tcPr>
          <w:p w14:paraId="1E49A344" w14:textId="77777777" w:rsidR="00F87146" w:rsidRPr="00F87146" w:rsidRDefault="00F87146" w:rsidP="00F23947">
            <w:pPr>
              <w:spacing w:before="0"/>
              <w:jc w:val="center"/>
              <w:rPr>
                <w:rFonts w:ascii="Lora" w:hAnsi="Lora"/>
                <w:sz w:val="18"/>
              </w:rPr>
            </w:pPr>
            <w:r w:rsidRPr="00F87146">
              <w:rPr>
                <w:rFonts w:ascii="Lora" w:hAnsi="Lora"/>
                <w:sz w:val="18"/>
              </w:rPr>
              <w:t>400</w:t>
            </w:r>
          </w:p>
        </w:tc>
        <w:tc>
          <w:tcPr>
            <w:tcW w:w="567" w:type="dxa"/>
            <w:shd w:val="clear" w:color="auto" w:fill="000000" w:themeFill="text1"/>
            <w:vAlign w:val="center"/>
          </w:tcPr>
          <w:p w14:paraId="0A09345C"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E2A59E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9C8D541"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8A9F7A2"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B8DAD3B"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53BB729"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EEE43C9" w14:textId="77777777" w:rsidR="00F87146" w:rsidRPr="00F87146" w:rsidRDefault="00F87146" w:rsidP="00F23947">
            <w:pPr>
              <w:spacing w:before="0"/>
              <w:jc w:val="center"/>
              <w:rPr>
                <w:rFonts w:ascii="Lora" w:hAnsi="Lora"/>
                <w:sz w:val="18"/>
              </w:rPr>
            </w:pPr>
          </w:p>
        </w:tc>
        <w:tc>
          <w:tcPr>
            <w:tcW w:w="709" w:type="dxa"/>
            <w:shd w:val="clear" w:color="auto" w:fill="FFFF00"/>
            <w:vAlign w:val="center"/>
          </w:tcPr>
          <w:p w14:paraId="75AB5015" w14:textId="77777777" w:rsidR="00F87146" w:rsidRPr="00F87146" w:rsidRDefault="00F87146" w:rsidP="00F23947">
            <w:pPr>
              <w:spacing w:before="0"/>
              <w:jc w:val="center"/>
              <w:rPr>
                <w:rFonts w:ascii="Lora" w:hAnsi="Lora"/>
                <w:sz w:val="18"/>
              </w:rPr>
            </w:pPr>
            <w:r w:rsidRPr="00F87146">
              <w:rPr>
                <w:rFonts w:ascii="Lora" w:hAnsi="Lora"/>
                <w:sz w:val="18"/>
              </w:rPr>
              <w:t>280</w:t>
            </w:r>
          </w:p>
        </w:tc>
      </w:tr>
      <w:tr w:rsidR="00F87146" w:rsidRPr="00F87146" w14:paraId="7D7D9115" w14:textId="77777777" w:rsidTr="00F87146">
        <w:trPr>
          <w:trHeight w:val="340"/>
          <w:jc w:val="center"/>
        </w:trPr>
        <w:tc>
          <w:tcPr>
            <w:tcW w:w="1347" w:type="dxa"/>
            <w:shd w:val="clear" w:color="auto" w:fill="FFC000"/>
            <w:vAlign w:val="center"/>
          </w:tcPr>
          <w:p w14:paraId="5F42EA5B"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UL02</w:t>
            </w:r>
          </w:p>
        </w:tc>
        <w:tc>
          <w:tcPr>
            <w:tcW w:w="638" w:type="dxa"/>
            <w:shd w:val="clear" w:color="auto" w:fill="92D050"/>
            <w:vAlign w:val="center"/>
          </w:tcPr>
          <w:p w14:paraId="25257B61" w14:textId="77777777" w:rsidR="00F87146" w:rsidRPr="00F87146" w:rsidRDefault="00F87146" w:rsidP="00F23947">
            <w:pPr>
              <w:spacing w:before="0"/>
              <w:jc w:val="center"/>
              <w:rPr>
                <w:rFonts w:ascii="Lora" w:hAnsi="Lora"/>
                <w:sz w:val="18"/>
              </w:rPr>
            </w:pPr>
            <w:r w:rsidRPr="00F87146">
              <w:rPr>
                <w:rFonts w:ascii="Lora" w:hAnsi="Lora"/>
                <w:sz w:val="18"/>
              </w:rPr>
              <w:t>165</w:t>
            </w:r>
          </w:p>
        </w:tc>
        <w:tc>
          <w:tcPr>
            <w:tcW w:w="567" w:type="dxa"/>
            <w:shd w:val="clear" w:color="auto" w:fill="000000" w:themeFill="text1"/>
            <w:vAlign w:val="center"/>
          </w:tcPr>
          <w:p w14:paraId="29FAF54E"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1BA18C9A" w14:textId="77777777" w:rsidR="00F87146" w:rsidRPr="00F87146" w:rsidRDefault="00F87146" w:rsidP="00F23947">
            <w:pPr>
              <w:spacing w:before="0"/>
              <w:jc w:val="center"/>
              <w:rPr>
                <w:rFonts w:ascii="Lora" w:hAnsi="Lora"/>
                <w:sz w:val="18"/>
              </w:rPr>
            </w:pPr>
            <w:r w:rsidRPr="00F87146">
              <w:rPr>
                <w:rFonts w:ascii="Lora" w:hAnsi="Lora"/>
                <w:sz w:val="18"/>
              </w:rPr>
              <w:t>210</w:t>
            </w:r>
          </w:p>
        </w:tc>
        <w:tc>
          <w:tcPr>
            <w:tcW w:w="567" w:type="dxa"/>
            <w:shd w:val="clear" w:color="auto" w:fill="FFFF00"/>
            <w:vAlign w:val="center"/>
          </w:tcPr>
          <w:p w14:paraId="1F9BAC91" w14:textId="77777777" w:rsidR="00F87146" w:rsidRPr="00F87146" w:rsidRDefault="00F87146" w:rsidP="00F23947">
            <w:pPr>
              <w:spacing w:before="0"/>
              <w:jc w:val="center"/>
              <w:rPr>
                <w:rFonts w:ascii="Lora" w:hAnsi="Lora"/>
                <w:sz w:val="18"/>
              </w:rPr>
            </w:pPr>
            <w:r w:rsidRPr="00F87146">
              <w:rPr>
                <w:rFonts w:ascii="Lora" w:hAnsi="Lora"/>
                <w:sz w:val="18"/>
              </w:rPr>
              <w:t>385</w:t>
            </w:r>
          </w:p>
        </w:tc>
        <w:tc>
          <w:tcPr>
            <w:tcW w:w="567" w:type="dxa"/>
            <w:shd w:val="clear" w:color="auto" w:fill="FFFF00"/>
            <w:vAlign w:val="center"/>
          </w:tcPr>
          <w:p w14:paraId="3237E821" w14:textId="77777777" w:rsidR="00F87146" w:rsidRPr="00F87146" w:rsidRDefault="00F87146" w:rsidP="00F23947">
            <w:pPr>
              <w:spacing w:before="0"/>
              <w:jc w:val="center"/>
              <w:rPr>
                <w:rFonts w:ascii="Lora" w:hAnsi="Lora"/>
                <w:sz w:val="18"/>
              </w:rPr>
            </w:pPr>
            <w:r w:rsidRPr="00F87146">
              <w:rPr>
                <w:rFonts w:ascii="Lora" w:hAnsi="Lora"/>
                <w:sz w:val="18"/>
              </w:rPr>
              <w:t>415</w:t>
            </w:r>
          </w:p>
        </w:tc>
        <w:tc>
          <w:tcPr>
            <w:tcW w:w="567" w:type="dxa"/>
            <w:shd w:val="clear" w:color="auto" w:fill="FFFF00"/>
            <w:vAlign w:val="center"/>
          </w:tcPr>
          <w:p w14:paraId="25D10F55"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000000" w:themeFill="text1"/>
            <w:vAlign w:val="center"/>
          </w:tcPr>
          <w:p w14:paraId="60460572"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794BD0E2"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FFFF00"/>
            <w:vAlign w:val="center"/>
          </w:tcPr>
          <w:p w14:paraId="6C997293" w14:textId="77777777" w:rsidR="00F87146" w:rsidRPr="00F87146" w:rsidRDefault="00F87146" w:rsidP="00F23947">
            <w:pPr>
              <w:spacing w:before="0"/>
              <w:jc w:val="center"/>
              <w:rPr>
                <w:rFonts w:ascii="Lora" w:hAnsi="Lora"/>
                <w:sz w:val="18"/>
              </w:rPr>
            </w:pPr>
            <w:r w:rsidRPr="00F87146">
              <w:rPr>
                <w:rFonts w:ascii="Lora" w:hAnsi="Lora"/>
                <w:sz w:val="18"/>
              </w:rPr>
              <w:t>480</w:t>
            </w:r>
          </w:p>
        </w:tc>
        <w:tc>
          <w:tcPr>
            <w:tcW w:w="567" w:type="dxa"/>
            <w:shd w:val="clear" w:color="auto" w:fill="FFE999" w:themeFill="accent2" w:themeFillTint="66"/>
            <w:vAlign w:val="center"/>
          </w:tcPr>
          <w:p w14:paraId="55CD50A3" w14:textId="77777777" w:rsidR="00F87146" w:rsidRPr="00F87146" w:rsidRDefault="00F87146" w:rsidP="00F23947">
            <w:pPr>
              <w:spacing w:before="0"/>
              <w:jc w:val="center"/>
              <w:rPr>
                <w:rFonts w:ascii="Lora" w:hAnsi="Lora"/>
                <w:sz w:val="18"/>
              </w:rPr>
            </w:pPr>
            <w:r w:rsidRPr="00F87146">
              <w:rPr>
                <w:rFonts w:ascii="Lora" w:hAnsi="Lora"/>
                <w:sz w:val="18"/>
              </w:rPr>
              <w:t>500</w:t>
            </w:r>
          </w:p>
        </w:tc>
        <w:tc>
          <w:tcPr>
            <w:tcW w:w="567" w:type="dxa"/>
            <w:shd w:val="clear" w:color="auto" w:fill="FFFF00"/>
            <w:vAlign w:val="center"/>
          </w:tcPr>
          <w:p w14:paraId="409B51F6" w14:textId="77777777" w:rsidR="00F87146" w:rsidRPr="00F87146" w:rsidRDefault="00F87146" w:rsidP="00F23947">
            <w:pPr>
              <w:spacing w:before="0"/>
              <w:jc w:val="center"/>
              <w:rPr>
                <w:rFonts w:ascii="Lora" w:hAnsi="Lora"/>
                <w:sz w:val="18"/>
              </w:rPr>
            </w:pPr>
            <w:r w:rsidRPr="00F87146">
              <w:rPr>
                <w:rFonts w:ascii="Lora" w:hAnsi="Lora"/>
                <w:sz w:val="18"/>
              </w:rPr>
              <w:t>440</w:t>
            </w:r>
          </w:p>
        </w:tc>
        <w:tc>
          <w:tcPr>
            <w:tcW w:w="567" w:type="dxa"/>
            <w:shd w:val="clear" w:color="auto" w:fill="FFFF00"/>
            <w:vAlign w:val="center"/>
          </w:tcPr>
          <w:p w14:paraId="21A40E8E" w14:textId="77777777" w:rsidR="00F87146" w:rsidRPr="00F87146" w:rsidRDefault="00F87146" w:rsidP="00F23947">
            <w:pPr>
              <w:spacing w:before="0"/>
              <w:jc w:val="center"/>
              <w:rPr>
                <w:rFonts w:ascii="Lora" w:hAnsi="Lora"/>
                <w:sz w:val="18"/>
              </w:rPr>
            </w:pPr>
            <w:r w:rsidRPr="00F87146">
              <w:rPr>
                <w:rFonts w:ascii="Lora" w:hAnsi="Lora"/>
                <w:sz w:val="18"/>
              </w:rPr>
              <w:t>410</w:t>
            </w:r>
          </w:p>
        </w:tc>
        <w:tc>
          <w:tcPr>
            <w:tcW w:w="709" w:type="dxa"/>
            <w:shd w:val="clear" w:color="auto" w:fill="92D050"/>
            <w:vAlign w:val="center"/>
          </w:tcPr>
          <w:p w14:paraId="2DCF1C4D" w14:textId="77777777" w:rsidR="00F87146" w:rsidRPr="00F87146" w:rsidRDefault="00F87146" w:rsidP="00F23947">
            <w:pPr>
              <w:spacing w:before="0"/>
              <w:jc w:val="center"/>
              <w:rPr>
                <w:rFonts w:ascii="Lora" w:hAnsi="Lora"/>
                <w:sz w:val="18"/>
              </w:rPr>
            </w:pPr>
            <w:r w:rsidRPr="00F87146">
              <w:rPr>
                <w:rFonts w:ascii="Lora" w:hAnsi="Lora"/>
                <w:sz w:val="18"/>
              </w:rPr>
              <w:t>210</w:t>
            </w:r>
          </w:p>
        </w:tc>
      </w:tr>
      <w:tr w:rsidR="00F87146" w:rsidRPr="00F87146" w14:paraId="0DBF4E96" w14:textId="77777777" w:rsidTr="00F87146">
        <w:trPr>
          <w:trHeight w:val="340"/>
          <w:jc w:val="center"/>
        </w:trPr>
        <w:tc>
          <w:tcPr>
            <w:tcW w:w="1347" w:type="dxa"/>
            <w:shd w:val="clear" w:color="auto" w:fill="FFC000"/>
            <w:vAlign w:val="center"/>
          </w:tcPr>
          <w:p w14:paraId="5533CE09"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UL04</w:t>
            </w:r>
          </w:p>
        </w:tc>
        <w:tc>
          <w:tcPr>
            <w:tcW w:w="638" w:type="dxa"/>
            <w:shd w:val="clear" w:color="auto" w:fill="FFFF00"/>
            <w:vAlign w:val="center"/>
          </w:tcPr>
          <w:p w14:paraId="3F740F67" w14:textId="77777777" w:rsidR="00F87146" w:rsidRPr="00F87146" w:rsidRDefault="00F87146" w:rsidP="00F23947">
            <w:pPr>
              <w:spacing w:before="0"/>
              <w:jc w:val="center"/>
              <w:rPr>
                <w:rFonts w:ascii="Lora" w:hAnsi="Lora"/>
                <w:sz w:val="18"/>
              </w:rPr>
            </w:pPr>
            <w:r w:rsidRPr="00F87146">
              <w:rPr>
                <w:rFonts w:ascii="Lora" w:hAnsi="Lora"/>
                <w:sz w:val="18"/>
              </w:rPr>
              <w:t>375</w:t>
            </w:r>
          </w:p>
        </w:tc>
        <w:tc>
          <w:tcPr>
            <w:tcW w:w="567" w:type="dxa"/>
            <w:shd w:val="clear" w:color="auto" w:fill="92D050"/>
            <w:vAlign w:val="center"/>
          </w:tcPr>
          <w:p w14:paraId="627FBDFB" w14:textId="77777777" w:rsidR="00F87146" w:rsidRPr="00F87146" w:rsidRDefault="00F87146" w:rsidP="00F23947">
            <w:pPr>
              <w:spacing w:before="0"/>
              <w:jc w:val="center"/>
              <w:rPr>
                <w:rFonts w:ascii="Lora" w:hAnsi="Lora"/>
                <w:sz w:val="18"/>
              </w:rPr>
            </w:pPr>
            <w:r w:rsidRPr="00F87146">
              <w:rPr>
                <w:rFonts w:ascii="Lora" w:hAnsi="Lora"/>
                <w:sz w:val="18"/>
              </w:rPr>
              <w:t>210</w:t>
            </w:r>
          </w:p>
        </w:tc>
        <w:tc>
          <w:tcPr>
            <w:tcW w:w="567" w:type="dxa"/>
            <w:shd w:val="clear" w:color="auto" w:fill="000000" w:themeFill="text1"/>
            <w:vAlign w:val="center"/>
          </w:tcPr>
          <w:p w14:paraId="59A81EAC"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21AD9A2E" w14:textId="77777777" w:rsidR="00F87146" w:rsidRPr="00F87146" w:rsidRDefault="00F87146" w:rsidP="00F23947">
            <w:pPr>
              <w:spacing w:before="0"/>
              <w:jc w:val="center"/>
              <w:rPr>
                <w:rFonts w:ascii="Lora" w:hAnsi="Lora"/>
                <w:sz w:val="18"/>
              </w:rPr>
            </w:pPr>
            <w:r w:rsidRPr="00F87146">
              <w:rPr>
                <w:rFonts w:ascii="Lora" w:hAnsi="Lora"/>
                <w:sz w:val="18"/>
              </w:rPr>
              <w:t>190</w:t>
            </w:r>
          </w:p>
        </w:tc>
        <w:tc>
          <w:tcPr>
            <w:tcW w:w="567" w:type="dxa"/>
            <w:shd w:val="clear" w:color="auto" w:fill="92D050"/>
            <w:vAlign w:val="center"/>
          </w:tcPr>
          <w:p w14:paraId="1C00AD8E" w14:textId="77777777" w:rsidR="00F87146" w:rsidRPr="00F87146" w:rsidRDefault="00F87146" w:rsidP="00F23947">
            <w:pPr>
              <w:spacing w:before="0"/>
              <w:jc w:val="center"/>
              <w:rPr>
                <w:rFonts w:ascii="Lora" w:hAnsi="Lora"/>
                <w:sz w:val="18"/>
              </w:rPr>
            </w:pPr>
            <w:r w:rsidRPr="00F87146">
              <w:rPr>
                <w:rFonts w:ascii="Lora" w:hAnsi="Lora"/>
                <w:sz w:val="18"/>
              </w:rPr>
              <w:t>220</w:t>
            </w:r>
          </w:p>
        </w:tc>
        <w:tc>
          <w:tcPr>
            <w:tcW w:w="567" w:type="dxa"/>
            <w:shd w:val="clear" w:color="auto" w:fill="000000" w:themeFill="text1"/>
            <w:vAlign w:val="center"/>
          </w:tcPr>
          <w:p w14:paraId="610EE811"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3E9B8F5"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8694E3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4AEB860D"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48827F48"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159CFD6"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D87270B" w14:textId="77777777" w:rsidR="00F87146" w:rsidRPr="00F87146" w:rsidRDefault="00F87146" w:rsidP="00F23947">
            <w:pPr>
              <w:spacing w:before="0"/>
              <w:jc w:val="center"/>
              <w:rPr>
                <w:rFonts w:ascii="Lora" w:hAnsi="Lora"/>
                <w:sz w:val="18"/>
              </w:rPr>
            </w:pPr>
          </w:p>
        </w:tc>
        <w:tc>
          <w:tcPr>
            <w:tcW w:w="709" w:type="dxa"/>
            <w:shd w:val="clear" w:color="auto" w:fill="92D050"/>
            <w:vAlign w:val="center"/>
          </w:tcPr>
          <w:p w14:paraId="44F1DD30" w14:textId="77777777" w:rsidR="00F87146" w:rsidRPr="00F87146" w:rsidRDefault="00F87146" w:rsidP="00F23947">
            <w:pPr>
              <w:spacing w:before="0"/>
              <w:jc w:val="center"/>
              <w:rPr>
                <w:rFonts w:ascii="Lora" w:hAnsi="Lora"/>
                <w:sz w:val="18"/>
              </w:rPr>
            </w:pPr>
            <w:r w:rsidRPr="00F87146">
              <w:rPr>
                <w:rFonts w:ascii="Lora" w:hAnsi="Lora"/>
                <w:sz w:val="18"/>
              </w:rPr>
              <w:t>95</w:t>
            </w:r>
          </w:p>
        </w:tc>
      </w:tr>
      <w:tr w:rsidR="00F87146" w:rsidRPr="00F87146" w14:paraId="3111A278" w14:textId="77777777" w:rsidTr="00F87146">
        <w:trPr>
          <w:trHeight w:val="340"/>
          <w:jc w:val="center"/>
        </w:trPr>
        <w:tc>
          <w:tcPr>
            <w:tcW w:w="1347" w:type="dxa"/>
            <w:shd w:val="clear" w:color="auto" w:fill="FFC000"/>
            <w:vAlign w:val="center"/>
          </w:tcPr>
          <w:p w14:paraId="7F36834A"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UL05</w:t>
            </w:r>
          </w:p>
        </w:tc>
        <w:tc>
          <w:tcPr>
            <w:tcW w:w="638" w:type="dxa"/>
            <w:shd w:val="clear" w:color="auto" w:fill="FFFF00"/>
            <w:vAlign w:val="center"/>
          </w:tcPr>
          <w:p w14:paraId="6957B3ED" w14:textId="77777777" w:rsidR="00F87146" w:rsidRPr="00F87146" w:rsidRDefault="00F87146" w:rsidP="00F23947">
            <w:pPr>
              <w:spacing w:before="0"/>
              <w:jc w:val="center"/>
              <w:rPr>
                <w:rFonts w:ascii="Lora" w:hAnsi="Lora"/>
                <w:sz w:val="18"/>
              </w:rPr>
            </w:pPr>
            <w:r w:rsidRPr="00F87146">
              <w:rPr>
                <w:rFonts w:ascii="Lora" w:hAnsi="Lora"/>
                <w:sz w:val="18"/>
              </w:rPr>
              <w:t>370</w:t>
            </w:r>
          </w:p>
        </w:tc>
        <w:tc>
          <w:tcPr>
            <w:tcW w:w="567" w:type="dxa"/>
            <w:shd w:val="clear" w:color="auto" w:fill="FFFF00"/>
            <w:vAlign w:val="center"/>
          </w:tcPr>
          <w:p w14:paraId="649E89A6" w14:textId="77777777" w:rsidR="00F87146" w:rsidRPr="00F87146" w:rsidRDefault="00F87146" w:rsidP="00F23947">
            <w:pPr>
              <w:spacing w:before="0"/>
              <w:jc w:val="center"/>
              <w:rPr>
                <w:rFonts w:ascii="Lora" w:hAnsi="Lora"/>
                <w:sz w:val="18"/>
              </w:rPr>
            </w:pPr>
            <w:r w:rsidRPr="00F87146">
              <w:rPr>
                <w:rFonts w:ascii="Lora" w:hAnsi="Lora"/>
                <w:sz w:val="18"/>
              </w:rPr>
              <w:t>385</w:t>
            </w:r>
          </w:p>
        </w:tc>
        <w:tc>
          <w:tcPr>
            <w:tcW w:w="567" w:type="dxa"/>
            <w:shd w:val="clear" w:color="auto" w:fill="92D050"/>
            <w:vAlign w:val="center"/>
          </w:tcPr>
          <w:p w14:paraId="31139D7E" w14:textId="77777777" w:rsidR="00F87146" w:rsidRPr="00F87146" w:rsidRDefault="00F87146" w:rsidP="00F23947">
            <w:pPr>
              <w:spacing w:before="0"/>
              <w:jc w:val="center"/>
              <w:rPr>
                <w:rFonts w:ascii="Lora" w:hAnsi="Lora"/>
                <w:sz w:val="18"/>
              </w:rPr>
            </w:pPr>
            <w:r w:rsidRPr="00F87146">
              <w:rPr>
                <w:rFonts w:ascii="Lora" w:hAnsi="Lora"/>
                <w:sz w:val="18"/>
              </w:rPr>
              <w:t>190</w:t>
            </w:r>
          </w:p>
        </w:tc>
        <w:tc>
          <w:tcPr>
            <w:tcW w:w="567" w:type="dxa"/>
            <w:shd w:val="clear" w:color="auto" w:fill="000000" w:themeFill="text1"/>
            <w:vAlign w:val="center"/>
          </w:tcPr>
          <w:p w14:paraId="588DABBC"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4E0237A5"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461D8171" w14:textId="77777777" w:rsidR="00F87146" w:rsidRPr="00F87146" w:rsidRDefault="00F87146" w:rsidP="00F23947">
            <w:pPr>
              <w:spacing w:before="0"/>
              <w:jc w:val="center"/>
              <w:rPr>
                <w:rFonts w:ascii="Lora" w:hAnsi="Lora"/>
                <w:sz w:val="18"/>
              </w:rPr>
            </w:pPr>
            <w:r w:rsidRPr="00F87146">
              <w:rPr>
                <w:rFonts w:ascii="Lora" w:hAnsi="Lora"/>
                <w:sz w:val="18"/>
              </w:rPr>
              <w:t>460</w:t>
            </w:r>
          </w:p>
        </w:tc>
        <w:tc>
          <w:tcPr>
            <w:tcW w:w="567" w:type="dxa"/>
            <w:shd w:val="clear" w:color="auto" w:fill="000000" w:themeFill="text1"/>
            <w:vAlign w:val="center"/>
          </w:tcPr>
          <w:p w14:paraId="74FBB758"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7B5AF5D"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015817E"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2415783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66B2C893"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3C59860" w14:textId="77777777" w:rsidR="00F87146" w:rsidRPr="00F87146" w:rsidRDefault="00F87146" w:rsidP="00F23947">
            <w:pPr>
              <w:spacing w:before="0"/>
              <w:jc w:val="center"/>
              <w:rPr>
                <w:rFonts w:ascii="Lora" w:hAnsi="Lora"/>
                <w:sz w:val="18"/>
              </w:rPr>
            </w:pPr>
          </w:p>
        </w:tc>
        <w:tc>
          <w:tcPr>
            <w:tcW w:w="709" w:type="dxa"/>
            <w:shd w:val="clear" w:color="auto" w:fill="92D050"/>
            <w:vAlign w:val="center"/>
          </w:tcPr>
          <w:p w14:paraId="7E738711" w14:textId="77777777" w:rsidR="00F87146" w:rsidRPr="00F87146" w:rsidRDefault="00F87146" w:rsidP="00F23947">
            <w:pPr>
              <w:spacing w:before="0"/>
              <w:jc w:val="center"/>
              <w:rPr>
                <w:rFonts w:ascii="Lora" w:hAnsi="Lora"/>
                <w:sz w:val="18"/>
              </w:rPr>
            </w:pPr>
            <w:r w:rsidRPr="00F87146">
              <w:rPr>
                <w:rFonts w:ascii="Lora" w:hAnsi="Lora"/>
                <w:sz w:val="18"/>
              </w:rPr>
              <w:t>115</w:t>
            </w:r>
          </w:p>
        </w:tc>
      </w:tr>
      <w:tr w:rsidR="00F87146" w:rsidRPr="00F87146" w14:paraId="4B0C72AE" w14:textId="77777777" w:rsidTr="00F87146">
        <w:trPr>
          <w:trHeight w:val="340"/>
          <w:jc w:val="center"/>
        </w:trPr>
        <w:tc>
          <w:tcPr>
            <w:tcW w:w="1347" w:type="dxa"/>
            <w:shd w:val="clear" w:color="auto" w:fill="FFC000"/>
            <w:vAlign w:val="center"/>
          </w:tcPr>
          <w:p w14:paraId="0C92A2D9"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UL06</w:t>
            </w:r>
          </w:p>
        </w:tc>
        <w:tc>
          <w:tcPr>
            <w:tcW w:w="638" w:type="dxa"/>
            <w:shd w:val="clear" w:color="auto" w:fill="FFFF00"/>
            <w:vAlign w:val="center"/>
          </w:tcPr>
          <w:p w14:paraId="707E1CB8" w14:textId="77777777" w:rsidR="00F87146" w:rsidRPr="00F87146" w:rsidRDefault="00F87146" w:rsidP="00F23947">
            <w:pPr>
              <w:spacing w:before="0"/>
              <w:jc w:val="center"/>
              <w:rPr>
                <w:rFonts w:ascii="Lora" w:hAnsi="Lora"/>
                <w:sz w:val="18"/>
              </w:rPr>
            </w:pPr>
            <w:r w:rsidRPr="00F87146">
              <w:rPr>
                <w:rFonts w:ascii="Lora" w:hAnsi="Lora"/>
                <w:sz w:val="18"/>
              </w:rPr>
              <w:t>400</w:t>
            </w:r>
          </w:p>
        </w:tc>
        <w:tc>
          <w:tcPr>
            <w:tcW w:w="567" w:type="dxa"/>
            <w:shd w:val="clear" w:color="auto" w:fill="FFFF00"/>
            <w:vAlign w:val="center"/>
          </w:tcPr>
          <w:p w14:paraId="3120C065" w14:textId="77777777" w:rsidR="00F87146" w:rsidRPr="00F87146" w:rsidRDefault="00F87146" w:rsidP="00F23947">
            <w:pPr>
              <w:spacing w:before="0"/>
              <w:jc w:val="center"/>
              <w:rPr>
                <w:rFonts w:ascii="Lora" w:hAnsi="Lora"/>
                <w:sz w:val="18"/>
              </w:rPr>
            </w:pPr>
            <w:r w:rsidRPr="00F87146">
              <w:rPr>
                <w:rFonts w:ascii="Lora" w:hAnsi="Lora"/>
                <w:sz w:val="18"/>
              </w:rPr>
              <w:t>415</w:t>
            </w:r>
          </w:p>
        </w:tc>
        <w:tc>
          <w:tcPr>
            <w:tcW w:w="567" w:type="dxa"/>
            <w:shd w:val="clear" w:color="auto" w:fill="92D050"/>
            <w:vAlign w:val="center"/>
          </w:tcPr>
          <w:p w14:paraId="5081BEC7" w14:textId="77777777" w:rsidR="00F87146" w:rsidRPr="00F87146" w:rsidRDefault="00F87146" w:rsidP="00F23947">
            <w:pPr>
              <w:spacing w:before="0"/>
              <w:jc w:val="center"/>
              <w:rPr>
                <w:rFonts w:ascii="Lora" w:hAnsi="Lora"/>
                <w:sz w:val="18"/>
              </w:rPr>
            </w:pPr>
            <w:r w:rsidRPr="00F87146">
              <w:rPr>
                <w:rFonts w:ascii="Lora" w:hAnsi="Lora"/>
                <w:sz w:val="18"/>
              </w:rPr>
              <w:t>220</w:t>
            </w:r>
          </w:p>
        </w:tc>
        <w:tc>
          <w:tcPr>
            <w:tcW w:w="567" w:type="dxa"/>
            <w:shd w:val="clear" w:color="auto" w:fill="000000" w:themeFill="text1"/>
            <w:vAlign w:val="center"/>
          </w:tcPr>
          <w:p w14:paraId="1C80BB33"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19A6461"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6B099056"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68F32ECC"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457362E"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30C65608"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43DF4A25"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682C5417"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7A2F0B8" w14:textId="77777777" w:rsidR="00F87146" w:rsidRPr="00F87146" w:rsidRDefault="00F87146" w:rsidP="00F23947">
            <w:pPr>
              <w:spacing w:before="0"/>
              <w:jc w:val="center"/>
              <w:rPr>
                <w:rFonts w:ascii="Lora" w:hAnsi="Lora"/>
                <w:sz w:val="18"/>
              </w:rPr>
            </w:pPr>
          </w:p>
        </w:tc>
        <w:tc>
          <w:tcPr>
            <w:tcW w:w="709" w:type="dxa"/>
            <w:shd w:val="clear" w:color="auto" w:fill="92D050"/>
            <w:vAlign w:val="center"/>
          </w:tcPr>
          <w:p w14:paraId="10F967B6" w14:textId="77777777" w:rsidR="00F87146" w:rsidRPr="00F87146" w:rsidRDefault="00F87146" w:rsidP="00F23947">
            <w:pPr>
              <w:spacing w:before="0"/>
              <w:jc w:val="center"/>
              <w:rPr>
                <w:rFonts w:ascii="Lora" w:hAnsi="Lora"/>
                <w:sz w:val="18"/>
              </w:rPr>
            </w:pPr>
            <w:r w:rsidRPr="00F87146">
              <w:rPr>
                <w:rFonts w:ascii="Lora" w:hAnsi="Lora"/>
                <w:sz w:val="18"/>
              </w:rPr>
              <w:t>150</w:t>
            </w:r>
          </w:p>
        </w:tc>
      </w:tr>
      <w:tr w:rsidR="00F87146" w:rsidRPr="00F87146" w14:paraId="0CB5300A" w14:textId="77777777" w:rsidTr="00F87146">
        <w:trPr>
          <w:trHeight w:val="340"/>
          <w:jc w:val="center"/>
        </w:trPr>
        <w:tc>
          <w:tcPr>
            <w:tcW w:w="1347" w:type="dxa"/>
            <w:shd w:val="clear" w:color="auto" w:fill="FFC000"/>
            <w:vAlign w:val="center"/>
          </w:tcPr>
          <w:p w14:paraId="37985494"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UL07</w:t>
            </w:r>
          </w:p>
        </w:tc>
        <w:tc>
          <w:tcPr>
            <w:tcW w:w="638" w:type="dxa"/>
            <w:shd w:val="clear" w:color="auto" w:fill="000000" w:themeFill="text1"/>
            <w:vAlign w:val="center"/>
          </w:tcPr>
          <w:p w14:paraId="69F183A9"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7154D8B0"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000000" w:themeFill="text1"/>
            <w:vAlign w:val="center"/>
          </w:tcPr>
          <w:p w14:paraId="5F09C029"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141DD836" w14:textId="77777777" w:rsidR="00F87146" w:rsidRPr="00F87146" w:rsidRDefault="00F87146" w:rsidP="00F23947">
            <w:pPr>
              <w:spacing w:before="0"/>
              <w:jc w:val="center"/>
              <w:rPr>
                <w:rFonts w:ascii="Lora" w:hAnsi="Lora"/>
                <w:sz w:val="18"/>
              </w:rPr>
            </w:pPr>
            <w:r w:rsidRPr="00F87146">
              <w:rPr>
                <w:rFonts w:ascii="Lora" w:hAnsi="Lora"/>
                <w:sz w:val="18"/>
              </w:rPr>
              <w:t>460</w:t>
            </w:r>
          </w:p>
        </w:tc>
        <w:tc>
          <w:tcPr>
            <w:tcW w:w="567" w:type="dxa"/>
            <w:shd w:val="clear" w:color="auto" w:fill="000000" w:themeFill="text1"/>
            <w:vAlign w:val="center"/>
          </w:tcPr>
          <w:p w14:paraId="57FC57F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6C8BD50"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5E135A36" w14:textId="77777777" w:rsidR="00F87146" w:rsidRPr="00F87146" w:rsidRDefault="00F87146" w:rsidP="00F23947">
            <w:pPr>
              <w:spacing w:before="0"/>
              <w:jc w:val="center"/>
              <w:rPr>
                <w:rFonts w:ascii="Lora" w:hAnsi="Lora"/>
                <w:sz w:val="18"/>
              </w:rPr>
            </w:pPr>
            <w:r w:rsidRPr="00F87146">
              <w:rPr>
                <w:rFonts w:ascii="Lora" w:hAnsi="Lora"/>
                <w:sz w:val="18"/>
              </w:rPr>
              <w:t>295</w:t>
            </w:r>
          </w:p>
        </w:tc>
        <w:tc>
          <w:tcPr>
            <w:tcW w:w="567" w:type="dxa"/>
            <w:shd w:val="clear" w:color="auto" w:fill="92D050"/>
            <w:vAlign w:val="center"/>
          </w:tcPr>
          <w:p w14:paraId="2778B3A4" w14:textId="77777777" w:rsidR="00F87146" w:rsidRPr="00F87146" w:rsidRDefault="00F87146" w:rsidP="00F23947">
            <w:pPr>
              <w:spacing w:before="0"/>
              <w:jc w:val="center"/>
              <w:rPr>
                <w:rFonts w:ascii="Lora" w:hAnsi="Lora"/>
                <w:sz w:val="18"/>
              </w:rPr>
            </w:pPr>
            <w:r w:rsidRPr="00F87146">
              <w:rPr>
                <w:rFonts w:ascii="Lora" w:hAnsi="Lora"/>
                <w:sz w:val="18"/>
              </w:rPr>
              <w:t>90</w:t>
            </w:r>
          </w:p>
        </w:tc>
        <w:tc>
          <w:tcPr>
            <w:tcW w:w="567" w:type="dxa"/>
            <w:shd w:val="clear" w:color="auto" w:fill="FFFF00"/>
            <w:vAlign w:val="center"/>
          </w:tcPr>
          <w:p w14:paraId="5C90753D" w14:textId="77777777" w:rsidR="00F87146" w:rsidRPr="00F87146" w:rsidRDefault="00F87146" w:rsidP="00F23947">
            <w:pPr>
              <w:spacing w:before="0"/>
              <w:jc w:val="center"/>
              <w:rPr>
                <w:rFonts w:ascii="Lora" w:hAnsi="Lora"/>
                <w:sz w:val="18"/>
              </w:rPr>
            </w:pPr>
            <w:r w:rsidRPr="00F87146">
              <w:rPr>
                <w:rFonts w:ascii="Lora" w:hAnsi="Lora"/>
                <w:sz w:val="18"/>
              </w:rPr>
              <w:t>280</w:t>
            </w:r>
          </w:p>
        </w:tc>
        <w:tc>
          <w:tcPr>
            <w:tcW w:w="567" w:type="dxa"/>
            <w:shd w:val="clear" w:color="auto" w:fill="FFFF00"/>
            <w:vAlign w:val="center"/>
          </w:tcPr>
          <w:p w14:paraId="2CEE9D1F"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92D050"/>
            <w:vAlign w:val="center"/>
          </w:tcPr>
          <w:p w14:paraId="590E80AE" w14:textId="77777777" w:rsidR="00F87146" w:rsidRPr="00F87146" w:rsidRDefault="00F87146" w:rsidP="00F23947">
            <w:pPr>
              <w:spacing w:before="0"/>
              <w:jc w:val="center"/>
              <w:rPr>
                <w:rFonts w:ascii="Lora" w:hAnsi="Lora"/>
                <w:sz w:val="18"/>
              </w:rPr>
            </w:pPr>
            <w:r w:rsidRPr="00F87146">
              <w:rPr>
                <w:rFonts w:ascii="Lora" w:hAnsi="Lora"/>
                <w:sz w:val="18"/>
              </w:rPr>
              <w:t>240</w:t>
            </w:r>
          </w:p>
        </w:tc>
        <w:tc>
          <w:tcPr>
            <w:tcW w:w="567" w:type="dxa"/>
            <w:shd w:val="clear" w:color="auto" w:fill="92D050"/>
            <w:vAlign w:val="center"/>
          </w:tcPr>
          <w:p w14:paraId="1C6B8BEC" w14:textId="77777777" w:rsidR="00F87146" w:rsidRPr="00F87146" w:rsidRDefault="00F87146" w:rsidP="00F23947">
            <w:pPr>
              <w:spacing w:before="0"/>
              <w:jc w:val="center"/>
              <w:rPr>
                <w:rFonts w:ascii="Lora" w:hAnsi="Lora"/>
                <w:sz w:val="18"/>
              </w:rPr>
            </w:pPr>
            <w:r w:rsidRPr="00F87146">
              <w:rPr>
                <w:rFonts w:ascii="Lora" w:hAnsi="Lora"/>
                <w:sz w:val="18"/>
              </w:rPr>
              <w:t>210</w:t>
            </w:r>
          </w:p>
        </w:tc>
        <w:tc>
          <w:tcPr>
            <w:tcW w:w="709" w:type="dxa"/>
            <w:shd w:val="clear" w:color="auto" w:fill="FFFF00"/>
            <w:vAlign w:val="center"/>
          </w:tcPr>
          <w:p w14:paraId="64E3A81C" w14:textId="77777777" w:rsidR="00F87146" w:rsidRPr="00F87146" w:rsidRDefault="00F87146" w:rsidP="00F23947">
            <w:pPr>
              <w:spacing w:before="0"/>
              <w:jc w:val="center"/>
              <w:rPr>
                <w:rFonts w:ascii="Lora" w:hAnsi="Lora"/>
                <w:sz w:val="18"/>
              </w:rPr>
            </w:pPr>
            <w:r w:rsidRPr="00F87146">
              <w:rPr>
                <w:rFonts w:ascii="Lora" w:hAnsi="Lora"/>
                <w:sz w:val="18"/>
              </w:rPr>
              <w:t>365</w:t>
            </w:r>
          </w:p>
        </w:tc>
      </w:tr>
      <w:tr w:rsidR="00F87146" w:rsidRPr="00F87146" w14:paraId="5B525AF2" w14:textId="77777777" w:rsidTr="00F87146">
        <w:trPr>
          <w:trHeight w:val="340"/>
          <w:jc w:val="center"/>
        </w:trPr>
        <w:tc>
          <w:tcPr>
            <w:tcW w:w="1347" w:type="dxa"/>
            <w:shd w:val="clear" w:color="auto" w:fill="FFC000"/>
            <w:vAlign w:val="center"/>
          </w:tcPr>
          <w:p w14:paraId="1E009865"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RA01</w:t>
            </w:r>
          </w:p>
        </w:tc>
        <w:tc>
          <w:tcPr>
            <w:tcW w:w="638" w:type="dxa"/>
            <w:shd w:val="clear" w:color="auto" w:fill="000000" w:themeFill="text1"/>
            <w:vAlign w:val="center"/>
          </w:tcPr>
          <w:p w14:paraId="17E32D57"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14F237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4117E27"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3E216ECB"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23A431C6"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6D162C1A" w14:textId="77777777" w:rsidR="00F87146" w:rsidRPr="00F87146" w:rsidRDefault="00F87146" w:rsidP="00F23947">
            <w:pPr>
              <w:spacing w:before="0"/>
              <w:jc w:val="center"/>
              <w:rPr>
                <w:rFonts w:ascii="Lora" w:hAnsi="Lora"/>
                <w:sz w:val="18"/>
              </w:rPr>
            </w:pPr>
            <w:r w:rsidRPr="00F87146">
              <w:rPr>
                <w:rFonts w:ascii="Lora" w:hAnsi="Lora"/>
                <w:sz w:val="18"/>
              </w:rPr>
              <w:t>295</w:t>
            </w:r>
          </w:p>
        </w:tc>
        <w:tc>
          <w:tcPr>
            <w:tcW w:w="567" w:type="dxa"/>
            <w:shd w:val="clear" w:color="auto" w:fill="000000" w:themeFill="text1"/>
            <w:vAlign w:val="center"/>
          </w:tcPr>
          <w:p w14:paraId="06A6E3F9"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4B848B1E" w14:textId="77777777" w:rsidR="00F87146" w:rsidRPr="00F87146" w:rsidRDefault="00F87146" w:rsidP="00F23947">
            <w:pPr>
              <w:spacing w:before="0"/>
              <w:jc w:val="center"/>
              <w:rPr>
                <w:rFonts w:ascii="Lora" w:hAnsi="Lora"/>
                <w:sz w:val="18"/>
              </w:rPr>
            </w:pPr>
            <w:r w:rsidRPr="00F87146">
              <w:rPr>
                <w:rFonts w:ascii="Lora" w:hAnsi="Lora"/>
                <w:sz w:val="18"/>
              </w:rPr>
              <w:t>200</w:t>
            </w:r>
          </w:p>
        </w:tc>
        <w:tc>
          <w:tcPr>
            <w:tcW w:w="567" w:type="dxa"/>
            <w:shd w:val="clear" w:color="auto" w:fill="92D050"/>
            <w:vAlign w:val="center"/>
          </w:tcPr>
          <w:p w14:paraId="36D9D890"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92D050"/>
            <w:vAlign w:val="center"/>
          </w:tcPr>
          <w:p w14:paraId="5E55DDE8" w14:textId="77777777" w:rsidR="00F87146" w:rsidRPr="00F87146" w:rsidRDefault="00F87146" w:rsidP="00F23947">
            <w:pPr>
              <w:spacing w:before="0"/>
              <w:jc w:val="center"/>
              <w:rPr>
                <w:rFonts w:ascii="Lora" w:hAnsi="Lora"/>
                <w:sz w:val="18"/>
              </w:rPr>
            </w:pPr>
            <w:r w:rsidRPr="00F87146">
              <w:rPr>
                <w:rFonts w:ascii="Lora" w:hAnsi="Lora"/>
                <w:sz w:val="18"/>
              </w:rPr>
              <w:t>120</w:t>
            </w:r>
          </w:p>
        </w:tc>
        <w:tc>
          <w:tcPr>
            <w:tcW w:w="567" w:type="dxa"/>
            <w:shd w:val="clear" w:color="auto" w:fill="92D050"/>
            <w:vAlign w:val="center"/>
          </w:tcPr>
          <w:p w14:paraId="1F2F0611" w14:textId="77777777" w:rsidR="00F87146" w:rsidRPr="00F87146" w:rsidRDefault="00F87146" w:rsidP="00F23947">
            <w:pPr>
              <w:spacing w:before="0"/>
              <w:jc w:val="center"/>
              <w:rPr>
                <w:rFonts w:ascii="Lora" w:hAnsi="Lora"/>
                <w:sz w:val="18"/>
              </w:rPr>
            </w:pPr>
            <w:r w:rsidRPr="00F87146">
              <w:rPr>
                <w:rFonts w:ascii="Lora" w:hAnsi="Lora"/>
                <w:sz w:val="18"/>
              </w:rPr>
              <w:t>155</w:t>
            </w:r>
          </w:p>
        </w:tc>
        <w:tc>
          <w:tcPr>
            <w:tcW w:w="567" w:type="dxa"/>
            <w:shd w:val="clear" w:color="auto" w:fill="92D050"/>
            <w:vAlign w:val="center"/>
          </w:tcPr>
          <w:p w14:paraId="6A088C85" w14:textId="77777777" w:rsidR="00F87146" w:rsidRPr="00F87146" w:rsidRDefault="00F87146" w:rsidP="00F23947">
            <w:pPr>
              <w:spacing w:before="0"/>
              <w:jc w:val="center"/>
              <w:rPr>
                <w:rFonts w:ascii="Lora" w:hAnsi="Lora"/>
                <w:sz w:val="18"/>
              </w:rPr>
            </w:pPr>
            <w:r w:rsidRPr="00F87146">
              <w:rPr>
                <w:rFonts w:ascii="Lora" w:hAnsi="Lora"/>
                <w:sz w:val="18"/>
              </w:rPr>
              <w:t>140</w:t>
            </w:r>
          </w:p>
        </w:tc>
        <w:tc>
          <w:tcPr>
            <w:tcW w:w="709" w:type="dxa"/>
            <w:shd w:val="clear" w:color="auto" w:fill="FFE999" w:themeFill="accent2" w:themeFillTint="66"/>
            <w:vAlign w:val="center"/>
          </w:tcPr>
          <w:p w14:paraId="6503BC0E" w14:textId="77777777" w:rsidR="00F87146" w:rsidRPr="00F87146" w:rsidRDefault="00F87146" w:rsidP="00F23947">
            <w:pPr>
              <w:spacing w:before="0"/>
              <w:jc w:val="center"/>
              <w:rPr>
                <w:rFonts w:ascii="Lora" w:hAnsi="Lora"/>
                <w:sz w:val="18"/>
              </w:rPr>
            </w:pPr>
            <w:r w:rsidRPr="00F87146">
              <w:rPr>
                <w:rFonts w:ascii="Lora" w:hAnsi="Lora"/>
                <w:sz w:val="18"/>
              </w:rPr>
              <w:t>530</w:t>
            </w:r>
          </w:p>
        </w:tc>
      </w:tr>
      <w:tr w:rsidR="00F87146" w:rsidRPr="00F87146" w14:paraId="557F2540" w14:textId="77777777" w:rsidTr="00F87146">
        <w:trPr>
          <w:trHeight w:val="340"/>
          <w:jc w:val="center"/>
        </w:trPr>
        <w:tc>
          <w:tcPr>
            <w:tcW w:w="1347" w:type="dxa"/>
            <w:shd w:val="clear" w:color="auto" w:fill="FFC000"/>
            <w:vAlign w:val="center"/>
          </w:tcPr>
          <w:p w14:paraId="0177EB68"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RA02</w:t>
            </w:r>
          </w:p>
        </w:tc>
        <w:tc>
          <w:tcPr>
            <w:tcW w:w="638" w:type="dxa"/>
            <w:shd w:val="clear" w:color="auto" w:fill="000000" w:themeFill="text1"/>
            <w:vAlign w:val="center"/>
          </w:tcPr>
          <w:p w14:paraId="708EA110"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2AC5CA11"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000000" w:themeFill="text1"/>
            <w:vAlign w:val="center"/>
          </w:tcPr>
          <w:p w14:paraId="00E5B8BC"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07ECAD83"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DC92A53"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496965D1" w14:textId="77777777" w:rsidR="00F87146" w:rsidRPr="00F87146" w:rsidRDefault="00F87146" w:rsidP="00F23947">
            <w:pPr>
              <w:spacing w:before="0"/>
              <w:jc w:val="center"/>
              <w:rPr>
                <w:rFonts w:ascii="Lora" w:hAnsi="Lora"/>
                <w:sz w:val="18"/>
              </w:rPr>
            </w:pPr>
            <w:r w:rsidRPr="00F87146">
              <w:rPr>
                <w:rFonts w:ascii="Lora" w:hAnsi="Lora"/>
                <w:sz w:val="18"/>
              </w:rPr>
              <w:t>90</w:t>
            </w:r>
          </w:p>
        </w:tc>
        <w:tc>
          <w:tcPr>
            <w:tcW w:w="567" w:type="dxa"/>
            <w:shd w:val="clear" w:color="auto" w:fill="92D050"/>
            <w:vAlign w:val="center"/>
          </w:tcPr>
          <w:p w14:paraId="6B73D2D6" w14:textId="77777777" w:rsidR="00F87146" w:rsidRPr="00F87146" w:rsidRDefault="00F87146" w:rsidP="00F23947">
            <w:pPr>
              <w:spacing w:before="0"/>
              <w:jc w:val="center"/>
              <w:rPr>
                <w:rFonts w:ascii="Lora" w:hAnsi="Lora"/>
                <w:sz w:val="18"/>
              </w:rPr>
            </w:pPr>
            <w:r w:rsidRPr="00F87146">
              <w:rPr>
                <w:rFonts w:ascii="Lora" w:hAnsi="Lora"/>
                <w:sz w:val="18"/>
              </w:rPr>
              <w:t>200</w:t>
            </w:r>
          </w:p>
        </w:tc>
        <w:tc>
          <w:tcPr>
            <w:tcW w:w="567" w:type="dxa"/>
            <w:shd w:val="clear" w:color="auto" w:fill="000000" w:themeFill="text1"/>
            <w:vAlign w:val="center"/>
          </w:tcPr>
          <w:p w14:paraId="556C3E0C"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34953830" w14:textId="77777777" w:rsidR="00F87146" w:rsidRPr="00F87146" w:rsidRDefault="00F87146" w:rsidP="00F23947">
            <w:pPr>
              <w:spacing w:before="0"/>
              <w:jc w:val="center"/>
              <w:rPr>
                <w:rFonts w:ascii="Lora" w:hAnsi="Lora"/>
                <w:sz w:val="18"/>
              </w:rPr>
            </w:pPr>
            <w:r w:rsidRPr="00F87146">
              <w:rPr>
                <w:rFonts w:ascii="Lora" w:hAnsi="Lora"/>
                <w:sz w:val="18"/>
              </w:rPr>
              <w:t>185</w:t>
            </w:r>
          </w:p>
        </w:tc>
        <w:tc>
          <w:tcPr>
            <w:tcW w:w="567" w:type="dxa"/>
            <w:shd w:val="clear" w:color="auto" w:fill="92D050"/>
            <w:vAlign w:val="center"/>
          </w:tcPr>
          <w:p w14:paraId="5B995D81" w14:textId="77777777" w:rsidR="00F87146" w:rsidRPr="00F87146" w:rsidRDefault="00F87146" w:rsidP="00F23947">
            <w:pPr>
              <w:spacing w:before="0"/>
              <w:jc w:val="center"/>
              <w:rPr>
                <w:rFonts w:ascii="Lora" w:hAnsi="Lora"/>
                <w:sz w:val="18"/>
              </w:rPr>
            </w:pPr>
            <w:r w:rsidRPr="00F87146">
              <w:rPr>
                <w:rFonts w:ascii="Lora" w:hAnsi="Lora"/>
                <w:sz w:val="18"/>
              </w:rPr>
              <w:t>200</w:t>
            </w:r>
          </w:p>
        </w:tc>
        <w:tc>
          <w:tcPr>
            <w:tcW w:w="567" w:type="dxa"/>
            <w:shd w:val="clear" w:color="auto" w:fill="92D050"/>
            <w:vAlign w:val="center"/>
          </w:tcPr>
          <w:p w14:paraId="25A5166D"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92D050"/>
            <w:vAlign w:val="center"/>
          </w:tcPr>
          <w:p w14:paraId="495A110A" w14:textId="77777777" w:rsidR="00F87146" w:rsidRPr="00F87146" w:rsidRDefault="00F87146" w:rsidP="00F23947">
            <w:pPr>
              <w:spacing w:before="0"/>
              <w:jc w:val="center"/>
              <w:rPr>
                <w:rFonts w:ascii="Lora" w:hAnsi="Lora"/>
                <w:sz w:val="18"/>
              </w:rPr>
            </w:pPr>
            <w:r w:rsidRPr="00F87146">
              <w:rPr>
                <w:rFonts w:ascii="Lora" w:hAnsi="Lora"/>
                <w:sz w:val="18"/>
              </w:rPr>
              <w:t>110</w:t>
            </w:r>
          </w:p>
        </w:tc>
        <w:tc>
          <w:tcPr>
            <w:tcW w:w="709" w:type="dxa"/>
            <w:shd w:val="clear" w:color="auto" w:fill="FFFF00"/>
            <w:vAlign w:val="center"/>
          </w:tcPr>
          <w:p w14:paraId="1F4C8460" w14:textId="77777777" w:rsidR="00F87146" w:rsidRPr="00F87146" w:rsidRDefault="00F87146" w:rsidP="00F23947">
            <w:pPr>
              <w:spacing w:before="0"/>
              <w:jc w:val="center"/>
              <w:rPr>
                <w:rFonts w:ascii="Lora" w:hAnsi="Lora"/>
                <w:sz w:val="18"/>
              </w:rPr>
            </w:pPr>
            <w:r w:rsidRPr="00F87146">
              <w:rPr>
                <w:rFonts w:ascii="Lora" w:hAnsi="Lora"/>
                <w:sz w:val="18"/>
              </w:rPr>
              <w:t>355</w:t>
            </w:r>
          </w:p>
        </w:tc>
      </w:tr>
      <w:tr w:rsidR="00F87146" w:rsidRPr="00F87146" w14:paraId="2EE80F85" w14:textId="77777777" w:rsidTr="00F87146">
        <w:trPr>
          <w:trHeight w:val="340"/>
          <w:jc w:val="center"/>
        </w:trPr>
        <w:tc>
          <w:tcPr>
            <w:tcW w:w="1347" w:type="dxa"/>
            <w:shd w:val="clear" w:color="auto" w:fill="FFC000"/>
            <w:vAlign w:val="center"/>
          </w:tcPr>
          <w:p w14:paraId="09C4E1F1"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RA03</w:t>
            </w:r>
          </w:p>
        </w:tc>
        <w:tc>
          <w:tcPr>
            <w:tcW w:w="638" w:type="dxa"/>
            <w:shd w:val="clear" w:color="auto" w:fill="000000" w:themeFill="text1"/>
            <w:vAlign w:val="center"/>
          </w:tcPr>
          <w:p w14:paraId="611C9E49"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21F13827" w14:textId="77777777" w:rsidR="00F87146" w:rsidRPr="00F87146" w:rsidRDefault="00F87146" w:rsidP="00F23947">
            <w:pPr>
              <w:spacing w:before="0"/>
              <w:jc w:val="center"/>
              <w:rPr>
                <w:rFonts w:ascii="Lora" w:hAnsi="Lora"/>
                <w:sz w:val="18"/>
              </w:rPr>
            </w:pPr>
            <w:r w:rsidRPr="00F87146">
              <w:rPr>
                <w:rFonts w:ascii="Lora" w:hAnsi="Lora"/>
                <w:sz w:val="18"/>
              </w:rPr>
              <w:t>480</w:t>
            </w:r>
          </w:p>
        </w:tc>
        <w:tc>
          <w:tcPr>
            <w:tcW w:w="567" w:type="dxa"/>
            <w:shd w:val="clear" w:color="auto" w:fill="000000" w:themeFill="text1"/>
            <w:vAlign w:val="center"/>
          </w:tcPr>
          <w:p w14:paraId="3E03FDA5"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3A2675BD"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07FA27B"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6B894C2E" w14:textId="77777777" w:rsidR="00F87146" w:rsidRPr="00F87146" w:rsidRDefault="00F87146" w:rsidP="00F23947">
            <w:pPr>
              <w:spacing w:before="0"/>
              <w:jc w:val="center"/>
              <w:rPr>
                <w:rFonts w:ascii="Lora" w:hAnsi="Lora"/>
                <w:sz w:val="18"/>
              </w:rPr>
            </w:pPr>
            <w:r w:rsidRPr="00F87146">
              <w:rPr>
                <w:rFonts w:ascii="Lora" w:hAnsi="Lora"/>
                <w:sz w:val="18"/>
              </w:rPr>
              <w:t>280</w:t>
            </w:r>
          </w:p>
        </w:tc>
        <w:tc>
          <w:tcPr>
            <w:tcW w:w="567" w:type="dxa"/>
            <w:shd w:val="clear" w:color="auto" w:fill="92D050"/>
            <w:vAlign w:val="center"/>
          </w:tcPr>
          <w:p w14:paraId="0D3C7886"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92D050"/>
            <w:vAlign w:val="center"/>
          </w:tcPr>
          <w:p w14:paraId="63E8713D" w14:textId="77777777" w:rsidR="00F87146" w:rsidRPr="00F87146" w:rsidRDefault="00F87146" w:rsidP="00F23947">
            <w:pPr>
              <w:spacing w:before="0"/>
              <w:jc w:val="center"/>
              <w:rPr>
                <w:rFonts w:ascii="Lora" w:hAnsi="Lora"/>
                <w:sz w:val="18"/>
              </w:rPr>
            </w:pPr>
            <w:r w:rsidRPr="00F87146">
              <w:rPr>
                <w:rFonts w:ascii="Lora" w:hAnsi="Lora"/>
                <w:sz w:val="18"/>
              </w:rPr>
              <w:t>185</w:t>
            </w:r>
          </w:p>
        </w:tc>
        <w:tc>
          <w:tcPr>
            <w:tcW w:w="567" w:type="dxa"/>
            <w:shd w:val="clear" w:color="auto" w:fill="000000" w:themeFill="text1"/>
            <w:vAlign w:val="center"/>
          </w:tcPr>
          <w:p w14:paraId="674D12B7"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12D3E35B"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92D050"/>
            <w:vAlign w:val="center"/>
          </w:tcPr>
          <w:p w14:paraId="65C5CA9C" w14:textId="77777777" w:rsidR="00F87146" w:rsidRPr="00F87146" w:rsidRDefault="00F87146" w:rsidP="00F23947">
            <w:pPr>
              <w:spacing w:before="0"/>
              <w:jc w:val="center"/>
              <w:rPr>
                <w:rFonts w:ascii="Lora" w:hAnsi="Lora"/>
                <w:sz w:val="18"/>
              </w:rPr>
            </w:pPr>
            <w:r w:rsidRPr="00F87146">
              <w:rPr>
                <w:rFonts w:ascii="Lora" w:hAnsi="Lora"/>
                <w:sz w:val="18"/>
              </w:rPr>
              <w:t>140</w:t>
            </w:r>
          </w:p>
        </w:tc>
        <w:tc>
          <w:tcPr>
            <w:tcW w:w="567" w:type="dxa"/>
            <w:shd w:val="clear" w:color="auto" w:fill="92D050"/>
            <w:vAlign w:val="center"/>
          </w:tcPr>
          <w:p w14:paraId="6FFAB77C" w14:textId="77777777" w:rsidR="00F87146" w:rsidRPr="00F87146" w:rsidRDefault="00F87146" w:rsidP="00F23947">
            <w:pPr>
              <w:spacing w:before="0"/>
              <w:jc w:val="center"/>
              <w:rPr>
                <w:rFonts w:ascii="Lora" w:hAnsi="Lora"/>
                <w:sz w:val="18"/>
              </w:rPr>
            </w:pPr>
            <w:r w:rsidRPr="00F87146">
              <w:rPr>
                <w:rFonts w:ascii="Lora" w:hAnsi="Lora"/>
                <w:sz w:val="18"/>
              </w:rPr>
              <w:t>125</w:t>
            </w:r>
          </w:p>
        </w:tc>
        <w:tc>
          <w:tcPr>
            <w:tcW w:w="709" w:type="dxa"/>
            <w:shd w:val="clear" w:color="auto" w:fill="FFE999" w:themeFill="accent2" w:themeFillTint="66"/>
            <w:vAlign w:val="center"/>
          </w:tcPr>
          <w:p w14:paraId="005DF0B5" w14:textId="77777777" w:rsidR="00F87146" w:rsidRPr="00F87146" w:rsidRDefault="00F87146" w:rsidP="00F23947">
            <w:pPr>
              <w:spacing w:before="0"/>
              <w:jc w:val="center"/>
              <w:rPr>
                <w:rFonts w:ascii="Lora" w:hAnsi="Lora"/>
                <w:sz w:val="18"/>
              </w:rPr>
            </w:pPr>
            <w:r w:rsidRPr="00F87146">
              <w:rPr>
                <w:rFonts w:ascii="Lora" w:hAnsi="Lora"/>
                <w:sz w:val="18"/>
              </w:rPr>
              <w:t>540</w:t>
            </w:r>
          </w:p>
        </w:tc>
      </w:tr>
      <w:tr w:rsidR="00F87146" w:rsidRPr="00F87146" w14:paraId="58CDAEAC" w14:textId="77777777" w:rsidTr="00F87146">
        <w:trPr>
          <w:trHeight w:val="340"/>
          <w:jc w:val="center"/>
        </w:trPr>
        <w:tc>
          <w:tcPr>
            <w:tcW w:w="1347" w:type="dxa"/>
            <w:shd w:val="clear" w:color="auto" w:fill="FFC000"/>
            <w:vAlign w:val="center"/>
          </w:tcPr>
          <w:p w14:paraId="17A82AE6"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RA04</w:t>
            </w:r>
          </w:p>
        </w:tc>
        <w:tc>
          <w:tcPr>
            <w:tcW w:w="638" w:type="dxa"/>
            <w:shd w:val="clear" w:color="auto" w:fill="000000" w:themeFill="text1"/>
            <w:vAlign w:val="center"/>
          </w:tcPr>
          <w:p w14:paraId="298289A8" w14:textId="77777777" w:rsidR="00F87146" w:rsidRPr="00F87146" w:rsidRDefault="00F87146" w:rsidP="00F23947">
            <w:pPr>
              <w:spacing w:before="0"/>
              <w:jc w:val="center"/>
              <w:rPr>
                <w:rFonts w:ascii="Lora" w:hAnsi="Lora"/>
                <w:sz w:val="18"/>
              </w:rPr>
            </w:pPr>
          </w:p>
        </w:tc>
        <w:tc>
          <w:tcPr>
            <w:tcW w:w="567" w:type="dxa"/>
            <w:shd w:val="clear" w:color="auto" w:fill="FFE999" w:themeFill="accent2" w:themeFillTint="66"/>
            <w:vAlign w:val="center"/>
          </w:tcPr>
          <w:p w14:paraId="0FE7AC2E" w14:textId="77777777" w:rsidR="00F87146" w:rsidRPr="00F87146" w:rsidRDefault="00F87146" w:rsidP="00F23947">
            <w:pPr>
              <w:spacing w:before="0"/>
              <w:jc w:val="center"/>
              <w:rPr>
                <w:rFonts w:ascii="Lora" w:hAnsi="Lora"/>
                <w:sz w:val="18"/>
              </w:rPr>
            </w:pPr>
            <w:r w:rsidRPr="00F87146">
              <w:rPr>
                <w:rFonts w:ascii="Lora" w:hAnsi="Lora"/>
                <w:sz w:val="18"/>
              </w:rPr>
              <w:t>500</w:t>
            </w:r>
          </w:p>
        </w:tc>
        <w:tc>
          <w:tcPr>
            <w:tcW w:w="567" w:type="dxa"/>
            <w:shd w:val="clear" w:color="auto" w:fill="000000" w:themeFill="text1"/>
            <w:vAlign w:val="center"/>
          </w:tcPr>
          <w:p w14:paraId="45C51263"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345F4A37"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46AEE92F"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3F349BAC" w14:textId="77777777" w:rsidR="00F87146" w:rsidRPr="00F87146" w:rsidRDefault="00F87146" w:rsidP="00F23947">
            <w:pPr>
              <w:spacing w:before="0"/>
              <w:jc w:val="center"/>
              <w:rPr>
                <w:rFonts w:ascii="Lora" w:hAnsi="Lora"/>
                <w:sz w:val="18"/>
              </w:rPr>
            </w:pPr>
            <w:r w:rsidRPr="00F87146">
              <w:rPr>
                <w:rFonts w:ascii="Lora" w:hAnsi="Lora"/>
                <w:sz w:val="18"/>
              </w:rPr>
              <w:t>290</w:t>
            </w:r>
          </w:p>
        </w:tc>
        <w:tc>
          <w:tcPr>
            <w:tcW w:w="567" w:type="dxa"/>
            <w:shd w:val="clear" w:color="auto" w:fill="92D050"/>
            <w:vAlign w:val="center"/>
          </w:tcPr>
          <w:p w14:paraId="6044E907" w14:textId="77777777" w:rsidR="00F87146" w:rsidRPr="00F87146" w:rsidRDefault="00F87146" w:rsidP="00F23947">
            <w:pPr>
              <w:spacing w:before="0"/>
              <w:jc w:val="center"/>
              <w:rPr>
                <w:rFonts w:ascii="Lora" w:hAnsi="Lora"/>
                <w:sz w:val="18"/>
              </w:rPr>
            </w:pPr>
            <w:r w:rsidRPr="00F87146">
              <w:rPr>
                <w:rFonts w:ascii="Lora" w:hAnsi="Lora"/>
                <w:sz w:val="18"/>
              </w:rPr>
              <w:t>120</w:t>
            </w:r>
          </w:p>
        </w:tc>
        <w:tc>
          <w:tcPr>
            <w:tcW w:w="567" w:type="dxa"/>
            <w:shd w:val="clear" w:color="auto" w:fill="92D050"/>
            <w:vAlign w:val="center"/>
          </w:tcPr>
          <w:p w14:paraId="4EAC9FB0" w14:textId="77777777" w:rsidR="00F87146" w:rsidRPr="00F87146" w:rsidRDefault="00F87146" w:rsidP="00F23947">
            <w:pPr>
              <w:spacing w:before="0"/>
              <w:jc w:val="center"/>
              <w:rPr>
                <w:rFonts w:ascii="Lora" w:hAnsi="Lora"/>
                <w:sz w:val="18"/>
              </w:rPr>
            </w:pPr>
            <w:r w:rsidRPr="00F87146">
              <w:rPr>
                <w:rFonts w:ascii="Lora" w:hAnsi="Lora"/>
                <w:sz w:val="18"/>
              </w:rPr>
              <w:t>200</w:t>
            </w:r>
          </w:p>
        </w:tc>
        <w:tc>
          <w:tcPr>
            <w:tcW w:w="567" w:type="dxa"/>
            <w:shd w:val="clear" w:color="auto" w:fill="92D050"/>
            <w:vAlign w:val="center"/>
          </w:tcPr>
          <w:p w14:paraId="4F76FD3A"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000000" w:themeFill="text1"/>
            <w:vAlign w:val="center"/>
          </w:tcPr>
          <w:p w14:paraId="22DD6F31"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23FF6B77" w14:textId="77777777" w:rsidR="00F87146" w:rsidRPr="00F87146" w:rsidRDefault="00F87146" w:rsidP="00F23947">
            <w:pPr>
              <w:spacing w:before="0"/>
              <w:jc w:val="center"/>
              <w:rPr>
                <w:rFonts w:ascii="Lora" w:hAnsi="Lora"/>
                <w:sz w:val="18"/>
              </w:rPr>
            </w:pPr>
            <w:r w:rsidRPr="00F87146">
              <w:rPr>
                <w:rFonts w:ascii="Lora" w:hAnsi="Lora"/>
                <w:sz w:val="18"/>
              </w:rPr>
              <w:t>160</w:t>
            </w:r>
          </w:p>
        </w:tc>
        <w:tc>
          <w:tcPr>
            <w:tcW w:w="567" w:type="dxa"/>
            <w:shd w:val="clear" w:color="auto" w:fill="92D050"/>
            <w:vAlign w:val="center"/>
          </w:tcPr>
          <w:p w14:paraId="18CA84B5" w14:textId="77777777" w:rsidR="00F87146" w:rsidRPr="00F87146" w:rsidRDefault="00F87146" w:rsidP="00F23947">
            <w:pPr>
              <w:spacing w:before="0"/>
              <w:jc w:val="center"/>
              <w:rPr>
                <w:rFonts w:ascii="Lora" w:hAnsi="Lora"/>
                <w:sz w:val="18"/>
              </w:rPr>
            </w:pPr>
            <w:r w:rsidRPr="00F87146">
              <w:rPr>
                <w:rFonts w:ascii="Lora" w:hAnsi="Lora"/>
                <w:sz w:val="18"/>
              </w:rPr>
              <w:t>145</w:t>
            </w:r>
          </w:p>
        </w:tc>
        <w:tc>
          <w:tcPr>
            <w:tcW w:w="709" w:type="dxa"/>
            <w:shd w:val="clear" w:color="auto" w:fill="FFE999" w:themeFill="accent2" w:themeFillTint="66"/>
            <w:vAlign w:val="center"/>
          </w:tcPr>
          <w:p w14:paraId="2C51CA61" w14:textId="77777777" w:rsidR="00F87146" w:rsidRPr="00F87146" w:rsidRDefault="00F87146" w:rsidP="00F23947">
            <w:pPr>
              <w:spacing w:before="0"/>
              <w:jc w:val="center"/>
              <w:rPr>
                <w:rFonts w:ascii="Lora" w:hAnsi="Lora"/>
                <w:sz w:val="18"/>
              </w:rPr>
            </w:pPr>
            <w:r w:rsidRPr="00F87146">
              <w:rPr>
                <w:rFonts w:ascii="Lora" w:hAnsi="Lora"/>
                <w:sz w:val="18"/>
              </w:rPr>
              <w:t>560</w:t>
            </w:r>
          </w:p>
        </w:tc>
      </w:tr>
      <w:tr w:rsidR="00F87146" w:rsidRPr="00F87146" w14:paraId="2BCAA57C" w14:textId="77777777" w:rsidTr="00F87146">
        <w:trPr>
          <w:trHeight w:val="340"/>
          <w:jc w:val="center"/>
        </w:trPr>
        <w:tc>
          <w:tcPr>
            <w:tcW w:w="1347" w:type="dxa"/>
            <w:shd w:val="clear" w:color="auto" w:fill="FFC000"/>
            <w:vAlign w:val="center"/>
          </w:tcPr>
          <w:p w14:paraId="65B2E89B"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RA05</w:t>
            </w:r>
          </w:p>
        </w:tc>
        <w:tc>
          <w:tcPr>
            <w:tcW w:w="638" w:type="dxa"/>
            <w:shd w:val="clear" w:color="auto" w:fill="000000" w:themeFill="text1"/>
            <w:vAlign w:val="center"/>
          </w:tcPr>
          <w:p w14:paraId="1B926045"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5984085D" w14:textId="77777777" w:rsidR="00F87146" w:rsidRPr="00F87146" w:rsidRDefault="00F87146" w:rsidP="00F23947">
            <w:pPr>
              <w:spacing w:before="0"/>
              <w:jc w:val="center"/>
              <w:rPr>
                <w:rFonts w:ascii="Lora" w:hAnsi="Lora"/>
                <w:sz w:val="18"/>
              </w:rPr>
            </w:pPr>
            <w:r w:rsidRPr="00F87146">
              <w:rPr>
                <w:rFonts w:ascii="Lora" w:hAnsi="Lora"/>
                <w:sz w:val="18"/>
              </w:rPr>
              <w:t>440</w:t>
            </w:r>
          </w:p>
        </w:tc>
        <w:tc>
          <w:tcPr>
            <w:tcW w:w="567" w:type="dxa"/>
            <w:shd w:val="clear" w:color="auto" w:fill="000000" w:themeFill="text1"/>
            <w:vAlign w:val="center"/>
          </w:tcPr>
          <w:p w14:paraId="3941B4B2"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28BDF37F"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1A331905"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35538C0A" w14:textId="77777777" w:rsidR="00F87146" w:rsidRPr="00F87146" w:rsidRDefault="00F87146" w:rsidP="00F23947">
            <w:pPr>
              <w:spacing w:before="0"/>
              <w:jc w:val="center"/>
              <w:rPr>
                <w:rFonts w:ascii="Lora" w:hAnsi="Lora"/>
                <w:sz w:val="18"/>
              </w:rPr>
            </w:pPr>
            <w:r w:rsidRPr="00F87146">
              <w:rPr>
                <w:rFonts w:ascii="Lora" w:hAnsi="Lora"/>
                <w:sz w:val="18"/>
              </w:rPr>
              <w:t>240</w:t>
            </w:r>
          </w:p>
        </w:tc>
        <w:tc>
          <w:tcPr>
            <w:tcW w:w="567" w:type="dxa"/>
            <w:shd w:val="clear" w:color="auto" w:fill="92D050"/>
            <w:vAlign w:val="center"/>
          </w:tcPr>
          <w:p w14:paraId="61303073" w14:textId="77777777" w:rsidR="00F87146" w:rsidRPr="00F87146" w:rsidRDefault="00F87146" w:rsidP="00F23947">
            <w:pPr>
              <w:spacing w:before="0"/>
              <w:jc w:val="center"/>
              <w:rPr>
                <w:rFonts w:ascii="Lora" w:hAnsi="Lora"/>
                <w:sz w:val="18"/>
              </w:rPr>
            </w:pPr>
            <w:r w:rsidRPr="00F87146">
              <w:rPr>
                <w:rFonts w:ascii="Lora" w:hAnsi="Lora"/>
                <w:sz w:val="18"/>
              </w:rPr>
              <w:t>155</w:t>
            </w:r>
          </w:p>
        </w:tc>
        <w:tc>
          <w:tcPr>
            <w:tcW w:w="567" w:type="dxa"/>
            <w:shd w:val="clear" w:color="auto" w:fill="92D050"/>
            <w:vAlign w:val="center"/>
          </w:tcPr>
          <w:p w14:paraId="10BF9D4C"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92D050"/>
            <w:vAlign w:val="center"/>
          </w:tcPr>
          <w:p w14:paraId="22022735" w14:textId="77777777" w:rsidR="00F87146" w:rsidRPr="00F87146" w:rsidRDefault="00F87146" w:rsidP="00F23947">
            <w:pPr>
              <w:spacing w:before="0"/>
              <w:jc w:val="center"/>
              <w:rPr>
                <w:rFonts w:ascii="Lora" w:hAnsi="Lora"/>
                <w:sz w:val="18"/>
              </w:rPr>
            </w:pPr>
            <w:r w:rsidRPr="00F87146">
              <w:rPr>
                <w:rFonts w:ascii="Lora" w:hAnsi="Lora"/>
                <w:sz w:val="18"/>
              </w:rPr>
              <w:t>140</w:t>
            </w:r>
          </w:p>
        </w:tc>
        <w:tc>
          <w:tcPr>
            <w:tcW w:w="567" w:type="dxa"/>
            <w:shd w:val="clear" w:color="auto" w:fill="92D050"/>
            <w:vAlign w:val="center"/>
          </w:tcPr>
          <w:p w14:paraId="47A6D161" w14:textId="77777777" w:rsidR="00F87146" w:rsidRPr="00F87146" w:rsidRDefault="00F87146" w:rsidP="00F23947">
            <w:pPr>
              <w:spacing w:before="0"/>
              <w:jc w:val="center"/>
              <w:rPr>
                <w:rFonts w:ascii="Lora" w:hAnsi="Lora"/>
                <w:sz w:val="18"/>
              </w:rPr>
            </w:pPr>
            <w:r w:rsidRPr="00F87146">
              <w:rPr>
                <w:rFonts w:ascii="Lora" w:hAnsi="Lora"/>
                <w:sz w:val="18"/>
              </w:rPr>
              <w:t>160</w:t>
            </w:r>
          </w:p>
        </w:tc>
        <w:tc>
          <w:tcPr>
            <w:tcW w:w="567" w:type="dxa"/>
            <w:shd w:val="clear" w:color="auto" w:fill="000000" w:themeFill="text1"/>
            <w:vAlign w:val="center"/>
          </w:tcPr>
          <w:p w14:paraId="65BB47C2"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5CBCCF4B" w14:textId="77777777" w:rsidR="00F87146" w:rsidRPr="00F87146" w:rsidRDefault="00F87146" w:rsidP="00F23947">
            <w:pPr>
              <w:spacing w:before="0"/>
              <w:jc w:val="center"/>
              <w:rPr>
                <w:rFonts w:ascii="Lora" w:hAnsi="Lora"/>
                <w:sz w:val="18"/>
              </w:rPr>
            </w:pPr>
          </w:p>
        </w:tc>
        <w:tc>
          <w:tcPr>
            <w:tcW w:w="709" w:type="dxa"/>
            <w:shd w:val="clear" w:color="auto" w:fill="FFE999" w:themeFill="accent2" w:themeFillTint="66"/>
            <w:vAlign w:val="center"/>
          </w:tcPr>
          <w:p w14:paraId="526946B6" w14:textId="77777777" w:rsidR="00F87146" w:rsidRPr="00F87146" w:rsidRDefault="00F87146" w:rsidP="00F23947">
            <w:pPr>
              <w:spacing w:before="0"/>
              <w:jc w:val="center"/>
              <w:rPr>
                <w:rFonts w:ascii="Lora" w:hAnsi="Lora"/>
                <w:sz w:val="18"/>
              </w:rPr>
            </w:pPr>
            <w:r w:rsidRPr="00F87146">
              <w:rPr>
                <w:rFonts w:ascii="Lora" w:hAnsi="Lora"/>
                <w:sz w:val="18"/>
              </w:rPr>
              <w:t>500</w:t>
            </w:r>
          </w:p>
        </w:tc>
      </w:tr>
      <w:tr w:rsidR="00F87146" w:rsidRPr="00F87146" w14:paraId="2655ABD0" w14:textId="77777777" w:rsidTr="00F87146">
        <w:trPr>
          <w:trHeight w:val="340"/>
          <w:jc w:val="center"/>
        </w:trPr>
        <w:tc>
          <w:tcPr>
            <w:tcW w:w="1347" w:type="dxa"/>
            <w:shd w:val="clear" w:color="auto" w:fill="FFC000"/>
            <w:vAlign w:val="center"/>
          </w:tcPr>
          <w:p w14:paraId="183B5912"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RA06</w:t>
            </w:r>
          </w:p>
        </w:tc>
        <w:tc>
          <w:tcPr>
            <w:tcW w:w="638" w:type="dxa"/>
            <w:shd w:val="clear" w:color="auto" w:fill="000000" w:themeFill="text1"/>
            <w:vAlign w:val="center"/>
          </w:tcPr>
          <w:p w14:paraId="37D4C4E8" w14:textId="77777777" w:rsidR="00F87146" w:rsidRPr="00F87146" w:rsidRDefault="00F87146" w:rsidP="00F23947">
            <w:pPr>
              <w:spacing w:before="0"/>
              <w:jc w:val="center"/>
              <w:rPr>
                <w:rFonts w:ascii="Lora" w:hAnsi="Lora"/>
                <w:sz w:val="18"/>
              </w:rPr>
            </w:pPr>
          </w:p>
        </w:tc>
        <w:tc>
          <w:tcPr>
            <w:tcW w:w="567" w:type="dxa"/>
            <w:shd w:val="clear" w:color="auto" w:fill="FFFF00"/>
            <w:vAlign w:val="center"/>
          </w:tcPr>
          <w:p w14:paraId="7892C90D" w14:textId="77777777" w:rsidR="00F87146" w:rsidRPr="00F87146" w:rsidRDefault="00F87146" w:rsidP="00F23947">
            <w:pPr>
              <w:spacing w:before="0"/>
              <w:jc w:val="center"/>
              <w:rPr>
                <w:rFonts w:ascii="Lora" w:hAnsi="Lora"/>
                <w:sz w:val="18"/>
              </w:rPr>
            </w:pPr>
            <w:r w:rsidRPr="00F87146">
              <w:rPr>
                <w:rFonts w:ascii="Lora" w:hAnsi="Lora"/>
                <w:sz w:val="18"/>
              </w:rPr>
              <w:t>410</w:t>
            </w:r>
          </w:p>
        </w:tc>
        <w:tc>
          <w:tcPr>
            <w:tcW w:w="567" w:type="dxa"/>
            <w:shd w:val="clear" w:color="auto" w:fill="000000" w:themeFill="text1"/>
            <w:vAlign w:val="center"/>
          </w:tcPr>
          <w:p w14:paraId="3237F095"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27155D85"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79B1858A" w14:textId="77777777" w:rsidR="00F87146" w:rsidRPr="00F87146" w:rsidRDefault="00F87146" w:rsidP="00F23947">
            <w:pPr>
              <w:spacing w:before="0"/>
              <w:jc w:val="center"/>
              <w:rPr>
                <w:rFonts w:ascii="Lora" w:hAnsi="Lora"/>
                <w:sz w:val="18"/>
              </w:rPr>
            </w:pPr>
          </w:p>
        </w:tc>
        <w:tc>
          <w:tcPr>
            <w:tcW w:w="567" w:type="dxa"/>
            <w:shd w:val="clear" w:color="auto" w:fill="92D050"/>
            <w:vAlign w:val="center"/>
          </w:tcPr>
          <w:p w14:paraId="2A5CF140" w14:textId="77777777" w:rsidR="00F87146" w:rsidRPr="00F87146" w:rsidRDefault="00F87146" w:rsidP="00F23947">
            <w:pPr>
              <w:spacing w:before="0"/>
              <w:jc w:val="center"/>
              <w:rPr>
                <w:rFonts w:ascii="Lora" w:hAnsi="Lora"/>
                <w:sz w:val="18"/>
              </w:rPr>
            </w:pPr>
            <w:r w:rsidRPr="00F87146">
              <w:rPr>
                <w:rFonts w:ascii="Lora" w:hAnsi="Lora"/>
                <w:sz w:val="18"/>
              </w:rPr>
              <w:t>210</w:t>
            </w:r>
          </w:p>
        </w:tc>
        <w:tc>
          <w:tcPr>
            <w:tcW w:w="567" w:type="dxa"/>
            <w:shd w:val="clear" w:color="auto" w:fill="92D050"/>
            <w:vAlign w:val="center"/>
          </w:tcPr>
          <w:p w14:paraId="4A9FF04D" w14:textId="77777777" w:rsidR="00F87146" w:rsidRPr="00F87146" w:rsidRDefault="00F87146" w:rsidP="00F23947">
            <w:pPr>
              <w:spacing w:before="0"/>
              <w:jc w:val="center"/>
              <w:rPr>
                <w:rFonts w:ascii="Lora" w:hAnsi="Lora"/>
                <w:sz w:val="18"/>
              </w:rPr>
            </w:pPr>
            <w:r w:rsidRPr="00F87146">
              <w:rPr>
                <w:rFonts w:ascii="Lora" w:hAnsi="Lora"/>
                <w:sz w:val="18"/>
              </w:rPr>
              <w:t>140</w:t>
            </w:r>
          </w:p>
        </w:tc>
        <w:tc>
          <w:tcPr>
            <w:tcW w:w="567" w:type="dxa"/>
            <w:shd w:val="clear" w:color="auto" w:fill="92D050"/>
            <w:vAlign w:val="center"/>
          </w:tcPr>
          <w:p w14:paraId="74D2A1D2" w14:textId="77777777" w:rsidR="00F87146" w:rsidRPr="00F87146" w:rsidRDefault="00F87146" w:rsidP="00F23947">
            <w:pPr>
              <w:spacing w:before="0"/>
              <w:jc w:val="center"/>
              <w:rPr>
                <w:rFonts w:ascii="Lora" w:hAnsi="Lora"/>
                <w:sz w:val="18"/>
              </w:rPr>
            </w:pPr>
            <w:r w:rsidRPr="00F87146">
              <w:rPr>
                <w:rFonts w:ascii="Lora" w:hAnsi="Lora"/>
                <w:sz w:val="18"/>
              </w:rPr>
              <w:t>110</w:t>
            </w:r>
          </w:p>
        </w:tc>
        <w:tc>
          <w:tcPr>
            <w:tcW w:w="567" w:type="dxa"/>
            <w:shd w:val="clear" w:color="auto" w:fill="92D050"/>
            <w:vAlign w:val="center"/>
          </w:tcPr>
          <w:p w14:paraId="4F96EC0D" w14:textId="77777777" w:rsidR="00F87146" w:rsidRPr="00F87146" w:rsidRDefault="00F87146" w:rsidP="00F23947">
            <w:pPr>
              <w:spacing w:before="0"/>
              <w:jc w:val="center"/>
              <w:rPr>
                <w:rFonts w:ascii="Lora" w:hAnsi="Lora"/>
                <w:sz w:val="18"/>
              </w:rPr>
            </w:pPr>
            <w:r w:rsidRPr="00F87146">
              <w:rPr>
                <w:rFonts w:ascii="Lora" w:hAnsi="Lora"/>
                <w:sz w:val="18"/>
              </w:rPr>
              <w:t>125</w:t>
            </w:r>
          </w:p>
        </w:tc>
        <w:tc>
          <w:tcPr>
            <w:tcW w:w="567" w:type="dxa"/>
            <w:shd w:val="clear" w:color="auto" w:fill="92D050"/>
            <w:vAlign w:val="center"/>
          </w:tcPr>
          <w:p w14:paraId="6BEA84D0" w14:textId="77777777" w:rsidR="00F87146" w:rsidRPr="00F87146" w:rsidRDefault="00F87146" w:rsidP="00F23947">
            <w:pPr>
              <w:spacing w:before="0"/>
              <w:jc w:val="center"/>
              <w:rPr>
                <w:rFonts w:ascii="Lora" w:hAnsi="Lora"/>
                <w:sz w:val="18"/>
              </w:rPr>
            </w:pPr>
            <w:r w:rsidRPr="00F87146">
              <w:rPr>
                <w:rFonts w:ascii="Lora" w:hAnsi="Lora"/>
                <w:sz w:val="18"/>
              </w:rPr>
              <w:t>145</w:t>
            </w:r>
          </w:p>
        </w:tc>
        <w:tc>
          <w:tcPr>
            <w:tcW w:w="567" w:type="dxa"/>
            <w:shd w:val="clear" w:color="auto" w:fill="000000" w:themeFill="text1"/>
            <w:vAlign w:val="center"/>
          </w:tcPr>
          <w:p w14:paraId="1EF61474" w14:textId="77777777" w:rsidR="00F87146" w:rsidRPr="00F87146" w:rsidRDefault="00F87146" w:rsidP="00F23947">
            <w:pPr>
              <w:spacing w:before="0"/>
              <w:jc w:val="center"/>
              <w:rPr>
                <w:rFonts w:ascii="Lora" w:hAnsi="Lora"/>
                <w:sz w:val="18"/>
              </w:rPr>
            </w:pPr>
          </w:p>
        </w:tc>
        <w:tc>
          <w:tcPr>
            <w:tcW w:w="567" w:type="dxa"/>
            <w:shd w:val="clear" w:color="auto" w:fill="000000" w:themeFill="text1"/>
            <w:vAlign w:val="center"/>
          </w:tcPr>
          <w:p w14:paraId="617B6767" w14:textId="77777777" w:rsidR="00F87146" w:rsidRPr="00F87146" w:rsidRDefault="00F87146" w:rsidP="00F23947">
            <w:pPr>
              <w:spacing w:before="0"/>
              <w:jc w:val="center"/>
              <w:rPr>
                <w:rFonts w:ascii="Lora" w:hAnsi="Lora"/>
                <w:sz w:val="18"/>
              </w:rPr>
            </w:pPr>
          </w:p>
        </w:tc>
        <w:tc>
          <w:tcPr>
            <w:tcW w:w="709" w:type="dxa"/>
            <w:shd w:val="clear" w:color="auto" w:fill="FFFF00"/>
            <w:vAlign w:val="center"/>
          </w:tcPr>
          <w:p w14:paraId="563ABC46" w14:textId="77777777" w:rsidR="00F87146" w:rsidRPr="00F87146" w:rsidRDefault="00F87146" w:rsidP="00F23947">
            <w:pPr>
              <w:spacing w:before="0"/>
              <w:jc w:val="center"/>
              <w:rPr>
                <w:rFonts w:ascii="Lora" w:hAnsi="Lora"/>
                <w:sz w:val="18"/>
              </w:rPr>
            </w:pPr>
            <w:r w:rsidRPr="00F87146">
              <w:rPr>
                <w:rFonts w:ascii="Lora" w:hAnsi="Lora"/>
                <w:sz w:val="18"/>
              </w:rPr>
              <w:t>470</w:t>
            </w:r>
          </w:p>
        </w:tc>
      </w:tr>
      <w:tr w:rsidR="00F87146" w:rsidRPr="00F87146" w14:paraId="4A4656E2" w14:textId="77777777" w:rsidTr="00F87146">
        <w:trPr>
          <w:trHeight w:val="340"/>
          <w:jc w:val="center"/>
        </w:trPr>
        <w:tc>
          <w:tcPr>
            <w:tcW w:w="1347" w:type="dxa"/>
            <w:shd w:val="clear" w:color="auto" w:fill="FFC000"/>
            <w:vAlign w:val="center"/>
          </w:tcPr>
          <w:p w14:paraId="3FAD10FF" w14:textId="77777777" w:rsidR="00F87146" w:rsidRPr="00D415F4" w:rsidRDefault="00F87146" w:rsidP="00F23947">
            <w:pPr>
              <w:spacing w:before="0"/>
              <w:jc w:val="center"/>
              <w:rPr>
                <w:rFonts w:asciiTheme="majorHAnsi" w:hAnsiTheme="majorHAnsi"/>
                <w:b/>
                <w:sz w:val="18"/>
              </w:rPr>
            </w:pPr>
            <w:r w:rsidRPr="00D415F4">
              <w:rPr>
                <w:rFonts w:asciiTheme="majorHAnsi" w:hAnsiTheme="majorHAnsi"/>
                <w:b/>
                <w:sz w:val="18"/>
              </w:rPr>
              <w:t>VET</w:t>
            </w:r>
          </w:p>
        </w:tc>
        <w:tc>
          <w:tcPr>
            <w:tcW w:w="638" w:type="dxa"/>
            <w:shd w:val="clear" w:color="auto" w:fill="FFFF00"/>
            <w:vAlign w:val="center"/>
          </w:tcPr>
          <w:p w14:paraId="6D71D695" w14:textId="77777777" w:rsidR="00F87146" w:rsidRPr="00F87146" w:rsidRDefault="00F87146" w:rsidP="00F23947">
            <w:pPr>
              <w:spacing w:before="0"/>
              <w:jc w:val="center"/>
              <w:rPr>
                <w:rFonts w:ascii="Lora" w:hAnsi="Lora"/>
                <w:sz w:val="18"/>
              </w:rPr>
            </w:pPr>
            <w:r w:rsidRPr="00F87146">
              <w:rPr>
                <w:rFonts w:ascii="Lora" w:hAnsi="Lora"/>
                <w:sz w:val="18"/>
              </w:rPr>
              <w:t>280</w:t>
            </w:r>
          </w:p>
        </w:tc>
        <w:tc>
          <w:tcPr>
            <w:tcW w:w="567" w:type="dxa"/>
            <w:shd w:val="clear" w:color="auto" w:fill="92D050"/>
            <w:vAlign w:val="center"/>
          </w:tcPr>
          <w:p w14:paraId="43420B10" w14:textId="77777777" w:rsidR="00F87146" w:rsidRPr="00F87146" w:rsidRDefault="00F87146" w:rsidP="00F23947">
            <w:pPr>
              <w:spacing w:before="0"/>
              <w:jc w:val="center"/>
              <w:rPr>
                <w:rFonts w:ascii="Lora" w:hAnsi="Lora"/>
                <w:sz w:val="18"/>
              </w:rPr>
            </w:pPr>
            <w:r w:rsidRPr="00F87146">
              <w:rPr>
                <w:rFonts w:ascii="Lora" w:hAnsi="Lora"/>
                <w:sz w:val="18"/>
              </w:rPr>
              <w:t>210</w:t>
            </w:r>
          </w:p>
        </w:tc>
        <w:tc>
          <w:tcPr>
            <w:tcW w:w="567" w:type="dxa"/>
            <w:shd w:val="clear" w:color="auto" w:fill="92D050"/>
            <w:vAlign w:val="center"/>
          </w:tcPr>
          <w:p w14:paraId="57AF453E" w14:textId="77777777" w:rsidR="00F87146" w:rsidRPr="00F87146" w:rsidRDefault="00F87146" w:rsidP="00F23947">
            <w:pPr>
              <w:spacing w:before="0"/>
              <w:jc w:val="center"/>
              <w:rPr>
                <w:rFonts w:ascii="Lora" w:hAnsi="Lora"/>
                <w:sz w:val="18"/>
              </w:rPr>
            </w:pPr>
            <w:r w:rsidRPr="00F87146">
              <w:rPr>
                <w:rFonts w:ascii="Lora" w:hAnsi="Lora"/>
                <w:sz w:val="18"/>
              </w:rPr>
              <w:t>95</w:t>
            </w:r>
          </w:p>
        </w:tc>
        <w:tc>
          <w:tcPr>
            <w:tcW w:w="567" w:type="dxa"/>
            <w:shd w:val="clear" w:color="auto" w:fill="92D050"/>
            <w:vAlign w:val="center"/>
          </w:tcPr>
          <w:p w14:paraId="7A0052F5" w14:textId="77777777" w:rsidR="00F87146" w:rsidRPr="00F87146" w:rsidRDefault="00F87146" w:rsidP="00F23947">
            <w:pPr>
              <w:spacing w:before="0"/>
              <w:jc w:val="center"/>
              <w:rPr>
                <w:rFonts w:ascii="Lora" w:hAnsi="Lora"/>
                <w:sz w:val="18"/>
              </w:rPr>
            </w:pPr>
            <w:r w:rsidRPr="00F87146">
              <w:rPr>
                <w:rFonts w:ascii="Lora" w:hAnsi="Lora"/>
                <w:sz w:val="18"/>
              </w:rPr>
              <w:t>115</w:t>
            </w:r>
          </w:p>
        </w:tc>
        <w:tc>
          <w:tcPr>
            <w:tcW w:w="567" w:type="dxa"/>
            <w:shd w:val="clear" w:color="auto" w:fill="92D050"/>
            <w:vAlign w:val="center"/>
          </w:tcPr>
          <w:p w14:paraId="797B6F5F" w14:textId="77777777" w:rsidR="00F87146" w:rsidRPr="00F87146" w:rsidRDefault="00F87146" w:rsidP="00F23947">
            <w:pPr>
              <w:spacing w:before="0"/>
              <w:jc w:val="center"/>
              <w:rPr>
                <w:rFonts w:ascii="Lora" w:hAnsi="Lora"/>
                <w:sz w:val="18"/>
              </w:rPr>
            </w:pPr>
            <w:r w:rsidRPr="00F87146">
              <w:rPr>
                <w:rFonts w:ascii="Lora" w:hAnsi="Lora"/>
                <w:sz w:val="18"/>
              </w:rPr>
              <w:t>150</w:t>
            </w:r>
          </w:p>
        </w:tc>
        <w:tc>
          <w:tcPr>
            <w:tcW w:w="567" w:type="dxa"/>
            <w:shd w:val="clear" w:color="auto" w:fill="FFFF00"/>
            <w:vAlign w:val="center"/>
          </w:tcPr>
          <w:p w14:paraId="0F6C7EC9" w14:textId="77777777" w:rsidR="00F87146" w:rsidRPr="00F87146" w:rsidRDefault="00F87146" w:rsidP="00F23947">
            <w:pPr>
              <w:spacing w:before="0"/>
              <w:jc w:val="center"/>
              <w:rPr>
                <w:rFonts w:ascii="Lora" w:hAnsi="Lora"/>
                <w:sz w:val="18"/>
              </w:rPr>
            </w:pPr>
            <w:r w:rsidRPr="00F87146">
              <w:rPr>
                <w:rFonts w:ascii="Lora" w:hAnsi="Lora"/>
                <w:sz w:val="18"/>
              </w:rPr>
              <w:t>365</w:t>
            </w:r>
          </w:p>
        </w:tc>
        <w:tc>
          <w:tcPr>
            <w:tcW w:w="567" w:type="dxa"/>
            <w:shd w:val="clear" w:color="auto" w:fill="FFE999" w:themeFill="accent2" w:themeFillTint="66"/>
            <w:vAlign w:val="center"/>
          </w:tcPr>
          <w:p w14:paraId="50488E74" w14:textId="77777777" w:rsidR="00F87146" w:rsidRPr="00F87146" w:rsidRDefault="00F87146" w:rsidP="00F23947">
            <w:pPr>
              <w:spacing w:before="0"/>
              <w:jc w:val="center"/>
              <w:rPr>
                <w:rFonts w:ascii="Lora" w:hAnsi="Lora"/>
                <w:sz w:val="18"/>
              </w:rPr>
            </w:pPr>
            <w:r w:rsidRPr="00F87146">
              <w:rPr>
                <w:rFonts w:ascii="Lora" w:hAnsi="Lora"/>
                <w:sz w:val="18"/>
              </w:rPr>
              <w:t>530</w:t>
            </w:r>
          </w:p>
        </w:tc>
        <w:tc>
          <w:tcPr>
            <w:tcW w:w="567" w:type="dxa"/>
            <w:shd w:val="clear" w:color="auto" w:fill="FFFF00"/>
            <w:vAlign w:val="center"/>
          </w:tcPr>
          <w:p w14:paraId="0A8DE324" w14:textId="77777777" w:rsidR="00F87146" w:rsidRPr="00F87146" w:rsidRDefault="00F87146" w:rsidP="00F23947">
            <w:pPr>
              <w:spacing w:before="0"/>
              <w:jc w:val="center"/>
              <w:rPr>
                <w:rFonts w:ascii="Lora" w:hAnsi="Lora"/>
                <w:sz w:val="18"/>
              </w:rPr>
            </w:pPr>
            <w:r w:rsidRPr="00F87146">
              <w:rPr>
                <w:rFonts w:ascii="Lora" w:hAnsi="Lora"/>
                <w:sz w:val="18"/>
              </w:rPr>
              <w:t>355</w:t>
            </w:r>
          </w:p>
        </w:tc>
        <w:tc>
          <w:tcPr>
            <w:tcW w:w="567" w:type="dxa"/>
            <w:shd w:val="clear" w:color="auto" w:fill="FFE999" w:themeFill="accent2" w:themeFillTint="66"/>
            <w:vAlign w:val="center"/>
          </w:tcPr>
          <w:p w14:paraId="004F9E3E" w14:textId="77777777" w:rsidR="00F87146" w:rsidRPr="00F87146" w:rsidRDefault="00F87146" w:rsidP="00F23947">
            <w:pPr>
              <w:spacing w:before="0"/>
              <w:jc w:val="center"/>
              <w:rPr>
                <w:rFonts w:ascii="Lora" w:hAnsi="Lora"/>
                <w:sz w:val="18"/>
              </w:rPr>
            </w:pPr>
            <w:r w:rsidRPr="00F87146">
              <w:rPr>
                <w:rFonts w:ascii="Lora" w:hAnsi="Lora"/>
                <w:sz w:val="18"/>
              </w:rPr>
              <w:t>540</w:t>
            </w:r>
          </w:p>
        </w:tc>
        <w:tc>
          <w:tcPr>
            <w:tcW w:w="567" w:type="dxa"/>
            <w:shd w:val="clear" w:color="auto" w:fill="FFE999" w:themeFill="accent2" w:themeFillTint="66"/>
            <w:vAlign w:val="center"/>
          </w:tcPr>
          <w:p w14:paraId="097672EA" w14:textId="77777777" w:rsidR="00F87146" w:rsidRPr="00F87146" w:rsidRDefault="00F87146" w:rsidP="00F23947">
            <w:pPr>
              <w:spacing w:before="0"/>
              <w:jc w:val="center"/>
              <w:rPr>
                <w:rFonts w:ascii="Lora" w:hAnsi="Lora"/>
                <w:sz w:val="18"/>
              </w:rPr>
            </w:pPr>
            <w:r w:rsidRPr="00F87146">
              <w:rPr>
                <w:rFonts w:ascii="Lora" w:hAnsi="Lora"/>
                <w:sz w:val="18"/>
              </w:rPr>
              <w:t>560</w:t>
            </w:r>
          </w:p>
        </w:tc>
        <w:tc>
          <w:tcPr>
            <w:tcW w:w="567" w:type="dxa"/>
            <w:shd w:val="clear" w:color="auto" w:fill="FFE999" w:themeFill="accent2" w:themeFillTint="66"/>
            <w:vAlign w:val="center"/>
          </w:tcPr>
          <w:p w14:paraId="20232BF1" w14:textId="77777777" w:rsidR="00F87146" w:rsidRPr="00F87146" w:rsidRDefault="00F87146" w:rsidP="00F23947">
            <w:pPr>
              <w:spacing w:before="0"/>
              <w:jc w:val="center"/>
              <w:rPr>
                <w:rFonts w:ascii="Lora" w:hAnsi="Lora"/>
                <w:sz w:val="18"/>
              </w:rPr>
            </w:pPr>
            <w:r w:rsidRPr="00F87146">
              <w:rPr>
                <w:rFonts w:ascii="Lora" w:hAnsi="Lora"/>
                <w:sz w:val="18"/>
              </w:rPr>
              <w:t>500</w:t>
            </w:r>
          </w:p>
        </w:tc>
        <w:tc>
          <w:tcPr>
            <w:tcW w:w="567" w:type="dxa"/>
            <w:shd w:val="clear" w:color="auto" w:fill="FFFF00"/>
            <w:vAlign w:val="center"/>
          </w:tcPr>
          <w:p w14:paraId="00596F7F" w14:textId="77777777" w:rsidR="00F87146" w:rsidRPr="00F87146" w:rsidRDefault="00F87146" w:rsidP="00F23947">
            <w:pPr>
              <w:spacing w:before="0"/>
              <w:jc w:val="center"/>
              <w:rPr>
                <w:rFonts w:ascii="Lora" w:hAnsi="Lora"/>
                <w:sz w:val="18"/>
              </w:rPr>
            </w:pPr>
            <w:r w:rsidRPr="00F87146">
              <w:rPr>
                <w:rFonts w:ascii="Lora" w:hAnsi="Lora"/>
                <w:sz w:val="18"/>
              </w:rPr>
              <w:t>470</w:t>
            </w:r>
          </w:p>
        </w:tc>
        <w:tc>
          <w:tcPr>
            <w:tcW w:w="709" w:type="dxa"/>
            <w:shd w:val="clear" w:color="auto" w:fill="000000" w:themeFill="text1"/>
            <w:vAlign w:val="center"/>
          </w:tcPr>
          <w:p w14:paraId="02171326" w14:textId="77777777" w:rsidR="00F87146" w:rsidRPr="00F87146" w:rsidRDefault="00F87146" w:rsidP="00F23947">
            <w:pPr>
              <w:spacing w:before="0"/>
              <w:jc w:val="center"/>
              <w:rPr>
                <w:rFonts w:ascii="Lora" w:hAnsi="Lora"/>
                <w:sz w:val="18"/>
              </w:rPr>
            </w:pPr>
          </w:p>
        </w:tc>
      </w:tr>
    </w:tbl>
    <w:bookmarkEnd w:id="121"/>
    <w:bookmarkEnd w:id="122"/>
    <w:p w14:paraId="41B31B85" w14:textId="17CFD87B" w:rsidR="00700B0E" w:rsidRPr="00AB476F" w:rsidRDefault="00700B0E" w:rsidP="00F23947">
      <w:pPr>
        <w:spacing w:before="0"/>
        <w:ind w:left="360"/>
        <w:rPr>
          <w:rFonts w:ascii="Lora" w:hAnsi="Lora"/>
        </w:rPr>
      </w:pPr>
      <w:r w:rsidRPr="00AB476F">
        <w:rPr>
          <w:rFonts w:ascii="Lora" w:hAnsi="Lora"/>
          <w:b/>
        </w:rPr>
        <w:t>*Pola zaczernione</w:t>
      </w:r>
      <w:r w:rsidRPr="00AB476F">
        <w:rPr>
          <w:rFonts w:ascii="Lora" w:hAnsi="Lora"/>
        </w:rPr>
        <w:t xml:space="preserve"> – niewystępujące relacje przesiadkowe lub realizowane pomiędzy innymi przystankami.</w:t>
      </w:r>
    </w:p>
    <w:p w14:paraId="031C32A4" w14:textId="0624B1F7" w:rsidR="00EA3F66" w:rsidRDefault="00F87146" w:rsidP="00D415F4">
      <w:pPr>
        <w:pStyle w:val="rdo"/>
      </w:pPr>
      <w:r>
        <w:t>Źródło: opracowanie własne</w:t>
      </w:r>
      <w:r w:rsidR="002071E4">
        <w:t>.</w:t>
      </w:r>
    </w:p>
    <w:p w14:paraId="5F0B0F18" w14:textId="66E2C569" w:rsidR="00800D59" w:rsidRDefault="00800D59" w:rsidP="00F23947">
      <w:pPr>
        <w:pStyle w:val="Legenda"/>
        <w:spacing w:before="120" w:after="120"/>
      </w:pPr>
      <w:bookmarkStart w:id="123" w:name="_Ref24801792"/>
      <w:bookmarkStart w:id="124" w:name="_Ref24801789"/>
      <w:bookmarkStart w:id="125" w:name="_Toc27125402"/>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1</w:t>
      </w:r>
      <w:r w:rsidR="003C20BE">
        <w:rPr>
          <w:noProof/>
        </w:rPr>
        <w:fldChar w:fldCharType="end"/>
      </w:r>
      <w:bookmarkEnd w:id="123"/>
      <w:r>
        <w:t xml:space="preserve">. Warszawa, węzeł Dworzec Zachodni. </w:t>
      </w:r>
      <w:r w:rsidRPr="00D415F4">
        <w:t>Zator drogowy w al. Prymasa Tysiąclecia. W</w:t>
      </w:r>
      <w:r w:rsidRPr="00D415F4">
        <w:rPr>
          <w:rFonts w:ascii="Calibri" w:hAnsi="Calibri" w:cs="Calibri"/>
        </w:rPr>
        <w:t> </w:t>
      </w:r>
      <w:r w:rsidRPr="00D415F4">
        <w:t>godzinach szczytu przejazd autobusów WTP jest utrudniony w obu kierunkach tej trasy.</w:t>
      </w:r>
      <w:bookmarkEnd w:id="124"/>
      <w:bookmarkEnd w:id="125"/>
    </w:p>
    <w:p w14:paraId="26037F20" w14:textId="42C1BD42" w:rsidR="00800D59" w:rsidRDefault="00800D59" w:rsidP="002E11C3">
      <w:pPr>
        <w:spacing w:before="120" w:after="120"/>
        <w:jc w:val="center"/>
      </w:pPr>
      <w:r>
        <w:rPr>
          <w:rFonts w:ascii="Lora" w:hAnsi="Lora"/>
          <w:b/>
          <w:noProof/>
          <w:lang w:eastAsia="pl-PL"/>
        </w:rPr>
        <w:drawing>
          <wp:inline distT="0" distB="0" distL="0" distR="0" wp14:anchorId="3D1CF3B0" wp14:editId="60251CE6">
            <wp:extent cx="5346000" cy="3564000"/>
            <wp:effectExtent l="0" t="0" r="7620" b="0"/>
            <wp:docPr id="31" name="Obraz 31" descr="Zdjęcie przedstawiające autobus Warszawskiego Transportu Publicznego poruszającego się w zatorze drogowym na alei Prymasa Tysiąclecia w Warszawie. W godzinach szczytu przejazd autobusów jest utrudniony w obu kierunkach tej tr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490087A4" w14:textId="5507387C" w:rsidR="001E4D57" w:rsidRDefault="001E4D57" w:rsidP="00D415F4">
      <w:pPr>
        <w:pStyle w:val="rdo"/>
      </w:pPr>
      <w:r>
        <w:t>Źródło: opracowanie własne</w:t>
      </w:r>
      <w:r w:rsidR="001552B0">
        <w:t>.</w:t>
      </w:r>
    </w:p>
    <w:p w14:paraId="7FD53310" w14:textId="0FC621E6" w:rsidR="002E11C3" w:rsidRDefault="002E11C3" w:rsidP="00F23947">
      <w:pPr>
        <w:pStyle w:val="Legenda"/>
      </w:pPr>
      <w:bookmarkStart w:id="126" w:name="_Ref24801948"/>
      <w:bookmarkStart w:id="127" w:name="_Toc27125403"/>
      <w:r>
        <w:lastRenderedPageBreak/>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2</w:t>
      </w:r>
      <w:r w:rsidR="003C20BE">
        <w:rPr>
          <w:noProof/>
        </w:rPr>
        <w:fldChar w:fldCharType="end"/>
      </w:r>
      <w:bookmarkEnd w:id="126"/>
      <w:r>
        <w:t xml:space="preserve">. Toruń, Dworzec Miasto. Wydzielone od ruchu indywidualnego </w:t>
      </w:r>
      <w:r w:rsidRPr="00D415F4">
        <w:t>torowisko tramwajowe wraz z platformami przystankowymi oraz kładką zapewniającą wejście na poziom dworca.</w:t>
      </w:r>
      <w:bookmarkEnd w:id="127"/>
    </w:p>
    <w:p w14:paraId="4DAE6E72" w14:textId="0567096C" w:rsidR="002E11C3" w:rsidRDefault="002E11C3" w:rsidP="00F23947">
      <w:pPr>
        <w:spacing w:before="120" w:after="0"/>
        <w:jc w:val="center"/>
      </w:pPr>
      <w:r w:rsidRPr="00FC5132">
        <w:rPr>
          <w:rFonts w:ascii="Lora" w:hAnsi="Lora"/>
          <w:b/>
          <w:noProof/>
          <w:lang w:eastAsia="pl-PL"/>
        </w:rPr>
        <w:drawing>
          <wp:inline distT="0" distB="0" distL="0" distR="0" wp14:anchorId="3D6142DF" wp14:editId="2D988BC9">
            <wp:extent cx="5346000" cy="3564000"/>
            <wp:effectExtent l="0" t="0" r="7620" b="0"/>
            <wp:docPr id="30" name="Obraz 30" descr="Zdjęcie przedstawiające węzeł przesiadkowy w Toruniu, zespół przystanków tramwajowych wraz z kładką zapewniającą wejście na poziom dworca kolejowego. Infrastruktura powstała w poprzedniej perspektywie finansowania unijnego, czyli na lata 2007-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437BAF7C" w14:textId="110ED49A" w:rsidR="002E11C3" w:rsidRDefault="002E11C3" w:rsidP="00D415F4">
      <w:pPr>
        <w:pStyle w:val="rdo"/>
      </w:pPr>
      <w:r>
        <w:t>Źródło: opracowanie własne</w:t>
      </w:r>
      <w:r w:rsidR="001552B0">
        <w:t>.</w:t>
      </w:r>
    </w:p>
    <w:p w14:paraId="32FACFA1" w14:textId="407EC787" w:rsidR="00CF5FB9" w:rsidRDefault="00CF5FB9" w:rsidP="00CF5FB9">
      <w:pPr>
        <w:pStyle w:val="Legenda"/>
        <w:spacing w:before="0" w:after="120"/>
      </w:pPr>
      <w:bookmarkStart w:id="128" w:name="_Ref24805170"/>
      <w:bookmarkStart w:id="129" w:name="_Toc27125404"/>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3</w:t>
      </w:r>
      <w:r w:rsidR="003C20BE">
        <w:rPr>
          <w:noProof/>
        </w:rPr>
        <w:fldChar w:fldCharType="end"/>
      </w:r>
      <w:bookmarkEnd w:id="128"/>
      <w:r>
        <w:t>. Warszawa, węzeł Dworzec Zachodni, przystanki zespołu Rondo Zesłańców Syberyjskich. Pasażerowie dochodzący do przystanku autobusowego skracają drogę trawnikiem.</w:t>
      </w:r>
      <w:bookmarkEnd w:id="129"/>
    </w:p>
    <w:p w14:paraId="701DE2D1" w14:textId="00DA75F4" w:rsidR="00446E9F" w:rsidRDefault="00CF5FB9" w:rsidP="00F23947">
      <w:pPr>
        <w:spacing w:before="120" w:after="0"/>
        <w:jc w:val="center"/>
      </w:pPr>
      <w:r>
        <w:rPr>
          <w:rFonts w:ascii="Lora" w:hAnsi="Lora"/>
          <w:b/>
          <w:noProof/>
          <w:lang w:eastAsia="pl-PL"/>
        </w:rPr>
        <w:drawing>
          <wp:inline distT="0" distB="0" distL="0" distR="0" wp14:anchorId="381977A8" wp14:editId="2671ECF6">
            <wp:extent cx="5346000" cy="3564000"/>
            <wp:effectExtent l="0" t="0" r="7620" b="0"/>
            <wp:docPr id="42" name="Obraz 42" descr="Zdjęcie przedstawiające przedept na trawniku wykonany przez pasażerów przesiadających się do autobusów WTP w obszarze zespołu przystankowego Rondo Zesłańców Syberyjskich przy węźle Dworzec Zachodni. Piesi w ten sposób skracają sobie drogę dojścia do przystanku autobusowego, ale w efekcie przekraczają jezdnię samochodową w nielegalnym miejs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0012F6B6" w14:textId="48CBF9DE" w:rsidR="00CF5FB9" w:rsidRDefault="00CF5FB9" w:rsidP="00D415F4">
      <w:pPr>
        <w:pStyle w:val="rdo"/>
      </w:pPr>
      <w:r>
        <w:t>Źródło: opracowanie własne</w:t>
      </w:r>
      <w:r w:rsidR="002071E4">
        <w:t>.</w:t>
      </w:r>
    </w:p>
    <w:p w14:paraId="0807A600" w14:textId="0055FB31" w:rsidR="00CF5FB9" w:rsidRDefault="00CF5FB9" w:rsidP="00CF5FB9">
      <w:pPr>
        <w:pStyle w:val="Legenda"/>
        <w:spacing w:before="120" w:after="120"/>
        <w:jc w:val="left"/>
      </w:pPr>
      <w:bookmarkStart w:id="130" w:name="_Ref24805040"/>
      <w:bookmarkStart w:id="131" w:name="_Toc27125405"/>
      <w:r>
        <w:lastRenderedPageBreak/>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4</w:t>
      </w:r>
      <w:r w:rsidR="003C20BE">
        <w:rPr>
          <w:noProof/>
        </w:rPr>
        <w:fldChar w:fldCharType="end"/>
      </w:r>
      <w:bookmarkEnd w:id="130"/>
      <w:r>
        <w:t xml:space="preserve">. Poznań, Rynek Wildecki. </w:t>
      </w:r>
      <w:r w:rsidRPr="00CF5FB9">
        <w:t>Wyjście z tramwaju na jezdnię (brak wyniesienia nawierzchni na poziom wejścia) i samochody</w:t>
      </w:r>
      <w:r>
        <w:t>,</w:t>
      </w:r>
      <w:r w:rsidRPr="00CF5FB9">
        <w:t xml:space="preserve"> parkujące wzdłuż krawędzi</w:t>
      </w:r>
      <w:r>
        <w:t>, ograniczające widoczność.</w:t>
      </w:r>
      <w:bookmarkEnd w:id="131"/>
    </w:p>
    <w:p w14:paraId="6634DD4E" w14:textId="60DA2B71" w:rsidR="00446E9F" w:rsidRDefault="00446E9F" w:rsidP="00F23947">
      <w:pPr>
        <w:spacing w:before="120" w:after="0"/>
        <w:jc w:val="center"/>
      </w:pPr>
      <w:r w:rsidRPr="00E571DF">
        <w:rPr>
          <w:rFonts w:ascii="Lora" w:hAnsi="Lora"/>
          <w:b/>
          <w:noProof/>
          <w:lang w:eastAsia="pl-PL"/>
        </w:rPr>
        <w:drawing>
          <wp:inline distT="0" distB="0" distL="0" distR="0" wp14:anchorId="4420D49E" wp14:editId="3DE05DF3">
            <wp:extent cx="5346000" cy="3564000"/>
            <wp:effectExtent l="0" t="0" r="7620" b="0"/>
            <wp:docPr id="44" name="Obraz 44" descr="Zdjęcie przedstawiające pasażerów wysiadających na węźle przesiadkowym Rynek Wildecki w Poznaniu. Pasażerowie wychodzą z tramwaju bezpośrednio na jezdnię i przez jeden pas ruchu dochodzą do chodnika. Przejście na chodnik utrudniają zaparkowane na nim samochody wzdłuż krawędzi jezdni oraz ograniczające widoczność zarówno pasażerom, jak i kierowcom samocho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o1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2CC17F45" w14:textId="543D88C6" w:rsidR="00CF5FB9" w:rsidRDefault="00CF5FB9" w:rsidP="00D415F4">
      <w:pPr>
        <w:pStyle w:val="rdo"/>
      </w:pPr>
      <w:r>
        <w:t>Źródło: opracowanie własne</w:t>
      </w:r>
      <w:r w:rsidR="002071E4">
        <w:t>.</w:t>
      </w:r>
    </w:p>
    <w:p w14:paraId="0E4FB0D9" w14:textId="3E8D4B56" w:rsidR="00931873" w:rsidRDefault="00931873" w:rsidP="00931873">
      <w:pPr>
        <w:pStyle w:val="Legenda"/>
        <w:jc w:val="left"/>
      </w:pPr>
      <w:bookmarkStart w:id="132" w:name="_Ref24805976"/>
      <w:bookmarkStart w:id="133" w:name="_Toc27125406"/>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5</w:t>
      </w:r>
      <w:r w:rsidR="003C20BE">
        <w:rPr>
          <w:noProof/>
        </w:rPr>
        <w:fldChar w:fldCharType="end"/>
      </w:r>
      <w:bookmarkEnd w:id="132"/>
      <w:r>
        <w:t>.</w:t>
      </w:r>
      <w:r w:rsidRPr="00931873">
        <w:t xml:space="preserve"> </w:t>
      </w:r>
      <w:r>
        <w:t>Kraków, Krowodrza Górka. Autobusy oczekują na przesiadających się pasażerów na przystankach początkowych, ale brakuje zadaszenia drogi dojścia do pojazdu.</w:t>
      </w:r>
      <w:bookmarkEnd w:id="133"/>
    </w:p>
    <w:p w14:paraId="07444365" w14:textId="7EC25C44" w:rsidR="00CF5FB9" w:rsidRDefault="00931873" w:rsidP="00F23947">
      <w:pPr>
        <w:spacing w:after="0"/>
        <w:jc w:val="center"/>
      </w:pPr>
      <w:r w:rsidRPr="004F335C">
        <w:rPr>
          <w:rFonts w:ascii="Lora" w:hAnsi="Lora"/>
          <w:b/>
          <w:noProof/>
          <w:lang w:eastAsia="pl-PL"/>
        </w:rPr>
        <w:drawing>
          <wp:inline distT="0" distB="0" distL="0" distR="0" wp14:anchorId="651D67F4" wp14:editId="260D4DCC">
            <wp:extent cx="5346000" cy="3564000"/>
            <wp:effectExtent l="0" t="0" r="7620" b="0"/>
            <wp:docPr id="43" name="Obraz 43" descr="Zdjęcie przedstawiające 4 autobusy oczekujące na przystankach początkowych węzła przesiadkowego Krowodrza Gorka w Krakowie. Zdjęcie zwraca uwagę na brak zadaszenia w drodze dojścia pasażerów do autobus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_kg2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0AEC3159" w14:textId="57B4E693" w:rsidR="00931873" w:rsidRDefault="00931873" w:rsidP="00D415F4">
      <w:pPr>
        <w:pStyle w:val="rdo"/>
      </w:pPr>
      <w:r>
        <w:t>Źródło: opracowanie własne</w:t>
      </w:r>
      <w:r w:rsidR="002071E4">
        <w:t>.</w:t>
      </w:r>
    </w:p>
    <w:p w14:paraId="3AE148BF" w14:textId="6F04F27B" w:rsidR="002E11C3" w:rsidRDefault="002E11C3" w:rsidP="001E4D57">
      <w:pPr>
        <w:spacing w:before="0"/>
      </w:pPr>
      <w:r>
        <w:lastRenderedPageBreak/>
        <w:t>Szóstym analizowanym kryterium</w:t>
      </w:r>
      <w:r w:rsidR="007E6290">
        <w:t>, korespondującym z powyższym,</w:t>
      </w:r>
      <w:r>
        <w:t xml:space="preserve"> była informacja pasażerska.</w:t>
      </w:r>
      <w:r w:rsidR="007E6290">
        <w:t xml:space="preserve"> Na węzłach często brak tablic wskazujących drogi dojścia do pozostałych przystanków </w:t>
      </w:r>
      <w:r w:rsidR="000C029D">
        <w:t>w</w:t>
      </w:r>
      <w:r w:rsidR="00F23947">
        <w:t> </w:t>
      </w:r>
      <w:r w:rsidR="000C029D">
        <w:t xml:space="preserve">wybranych kierunkach ruchu </w:t>
      </w:r>
      <w:r w:rsidR="007E6290">
        <w:t>lub chociażby schematów rozmieszczenia przystanków na terenie węzła. Dziś standardem jest też</w:t>
      </w:r>
      <w:r w:rsidR="000C029D">
        <w:t xml:space="preserve"> </w:t>
      </w:r>
      <w:r w:rsidR="007E6290">
        <w:t>wyposażenie węzłów w tablice dynamicznej informacji pasażerskiej. Żaden z</w:t>
      </w:r>
      <w:r w:rsidR="00B02093">
        <w:t> </w:t>
      </w:r>
      <w:r w:rsidR="007E6290">
        <w:t xml:space="preserve">ocenianych </w:t>
      </w:r>
      <w:r w:rsidR="000C029D">
        <w:t>obiektów</w:t>
      </w:r>
      <w:r w:rsidR="007E6290">
        <w:t xml:space="preserve"> nie posiadał kompletu tablic (lub</w:t>
      </w:r>
      <w:r w:rsidR="008233C7">
        <w:t xml:space="preserve"> kompletu</w:t>
      </w:r>
      <w:r w:rsidR="007E6290">
        <w:t xml:space="preserve"> tablic sprawnych</w:t>
      </w:r>
      <w:r w:rsidR="008233C7">
        <w:t xml:space="preserve"> – </w:t>
      </w:r>
      <w:r w:rsidR="000C029D">
        <w:t xml:space="preserve">patrz węzeł </w:t>
      </w:r>
      <w:r w:rsidR="008233C7">
        <w:t>Toruń Miasto</w:t>
      </w:r>
      <w:r w:rsidR="007E6290">
        <w:t>), na części z nich występowały jedynie tablice dotyczące ruchu tramwajów</w:t>
      </w:r>
      <w:r w:rsidR="008233C7">
        <w:t>. N</w:t>
      </w:r>
      <w:r w:rsidR="007E6290">
        <w:t>ie było przypadku, w którym pasażer miałby informacje o odjazdach autobusów w czasie rzeczywistym</w:t>
      </w:r>
      <w:r w:rsidR="000C029D">
        <w:t>.</w:t>
      </w:r>
    </w:p>
    <w:p w14:paraId="58D0E932" w14:textId="5FBC74AA" w:rsidR="002E11C3" w:rsidRDefault="002E11C3" w:rsidP="007966FB">
      <w:r>
        <w:t>Pod względem dostępności pieszej</w:t>
      </w:r>
      <w:r w:rsidR="00024ECA">
        <w:t xml:space="preserve"> </w:t>
      </w:r>
      <w:r>
        <w:t>i dla osób z niepełnosprawnościami lub wózkami dziecięcymi</w:t>
      </w:r>
      <w:r w:rsidR="00024ECA">
        <w:t xml:space="preserve"> (kryterium 7)</w:t>
      </w:r>
      <w:r>
        <w:t>, na węzłach zaobserwowano liczne bariery architektoniczne:</w:t>
      </w:r>
    </w:p>
    <w:p w14:paraId="19F622B9" w14:textId="4A604386" w:rsidR="00AB4256" w:rsidRDefault="007966FB" w:rsidP="001B2A4E">
      <w:pPr>
        <w:numPr>
          <w:ilvl w:val="1"/>
          <w:numId w:val="10"/>
        </w:numPr>
        <w:tabs>
          <w:tab w:val="clear" w:pos="1440"/>
          <w:tab w:val="num" w:pos="709"/>
        </w:tabs>
        <w:spacing w:before="0" w:after="0"/>
        <w:ind w:left="709" w:hanging="425"/>
      </w:pPr>
      <w:r w:rsidRPr="007966FB">
        <w:t>wąskie perony o szerokości ograniczonej przez obiekty na peronie</w:t>
      </w:r>
      <w:r w:rsidR="001027E6">
        <w:t>,</w:t>
      </w:r>
    </w:p>
    <w:p w14:paraId="7BA1ED88" w14:textId="5CC8EEFD" w:rsidR="007966FB" w:rsidRPr="007966FB" w:rsidRDefault="007966FB" w:rsidP="001B2A4E">
      <w:pPr>
        <w:numPr>
          <w:ilvl w:val="1"/>
          <w:numId w:val="10"/>
        </w:numPr>
        <w:tabs>
          <w:tab w:val="clear" w:pos="1440"/>
          <w:tab w:val="num" w:pos="709"/>
        </w:tabs>
        <w:spacing w:before="0" w:after="0"/>
        <w:ind w:left="709" w:hanging="425"/>
      </w:pPr>
      <w:r w:rsidRPr="007966FB">
        <w:t>wysokie krawężniki wyspowych peronów autobusowych</w:t>
      </w:r>
      <w:r w:rsidR="008233C7">
        <w:t xml:space="preserve"> (</w:t>
      </w:r>
      <w:r w:rsidR="00E84C5F">
        <w:t xml:space="preserve">por. </w:t>
      </w:r>
      <w:r w:rsidR="00E84C5F">
        <w:fldChar w:fldCharType="begin"/>
      </w:r>
      <w:r w:rsidR="00E84C5F">
        <w:instrText xml:space="preserve"> REF _Ref24807339 \h </w:instrText>
      </w:r>
      <w:r w:rsidR="00F23947">
        <w:instrText xml:space="preserve"> \* MERGEFORMAT </w:instrText>
      </w:r>
      <w:r w:rsidR="00E84C5F">
        <w:fldChar w:fldCharType="separate"/>
      </w:r>
      <w:r w:rsidR="00C93FD7">
        <w:t xml:space="preserve">Zdjęcie </w:t>
      </w:r>
      <w:r w:rsidR="00C93FD7">
        <w:rPr>
          <w:noProof/>
        </w:rPr>
        <w:t>6</w:t>
      </w:r>
      <w:r w:rsidR="00E84C5F">
        <w:fldChar w:fldCharType="end"/>
      </w:r>
      <w:r w:rsidR="008233C7">
        <w:t>)</w:t>
      </w:r>
      <w:r w:rsidR="001027E6">
        <w:t>,</w:t>
      </w:r>
    </w:p>
    <w:p w14:paraId="0E227B70" w14:textId="46A3B065" w:rsidR="007966FB" w:rsidRPr="007966FB" w:rsidRDefault="007966FB" w:rsidP="001B2A4E">
      <w:pPr>
        <w:numPr>
          <w:ilvl w:val="1"/>
          <w:numId w:val="10"/>
        </w:numPr>
        <w:tabs>
          <w:tab w:val="clear" w:pos="1440"/>
          <w:tab w:val="num" w:pos="709"/>
        </w:tabs>
        <w:spacing w:before="0" w:after="0"/>
        <w:ind w:left="709" w:hanging="425"/>
      </w:pPr>
      <w:r w:rsidRPr="007966FB">
        <w:t>duże różnice wysokości wejś</w:t>
      </w:r>
      <w:r w:rsidR="00F23947">
        <w:t>ć</w:t>
      </w:r>
      <w:r w:rsidRPr="007966FB">
        <w:t xml:space="preserve"> do pojazd</w:t>
      </w:r>
      <w:r w:rsidR="00F23947">
        <w:t>ów</w:t>
      </w:r>
      <w:r w:rsidRPr="007966FB">
        <w:t xml:space="preserve"> </w:t>
      </w:r>
      <w:r w:rsidR="00F23947">
        <w:t>i</w:t>
      </w:r>
      <w:r w:rsidRPr="007966FB">
        <w:t xml:space="preserve"> platform przystankowy</w:t>
      </w:r>
      <w:r w:rsidR="00F23947">
        <w:t>ch</w:t>
      </w:r>
      <w:r w:rsidR="00E84C5F">
        <w:t xml:space="preserve"> (por. </w:t>
      </w:r>
      <w:r w:rsidR="00E84C5F">
        <w:fldChar w:fldCharType="begin"/>
      </w:r>
      <w:r w:rsidR="00E84C5F">
        <w:instrText xml:space="preserve"> REF _Ref24807324 \h </w:instrText>
      </w:r>
      <w:r w:rsidR="00F23947">
        <w:instrText xml:space="preserve"> \* MERGEFORMAT </w:instrText>
      </w:r>
      <w:r w:rsidR="00E84C5F">
        <w:fldChar w:fldCharType="separate"/>
      </w:r>
      <w:r w:rsidR="00C93FD7">
        <w:t xml:space="preserve">Zdjęcie </w:t>
      </w:r>
      <w:r w:rsidR="00C93FD7">
        <w:rPr>
          <w:noProof/>
        </w:rPr>
        <w:t>7</w:t>
      </w:r>
      <w:r w:rsidR="00E84C5F">
        <w:fldChar w:fldCharType="end"/>
      </w:r>
      <w:r w:rsidR="00E84C5F">
        <w:t>)</w:t>
      </w:r>
      <w:r w:rsidR="001027E6">
        <w:t>,</w:t>
      </w:r>
    </w:p>
    <w:p w14:paraId="5BE62312" w14:textId="035EA5B2" w:rsidR="007966FB" w:rsidRPr="007966FB" w:rsidRDefault="007966FB" w:rsidP="001B2A4E">
      <w:pPr>
        <w:numPr>
          <w:ilvl w:val="1"/>
          <w:numId w:val="10"/>
        </w:numPr>
        <w:tabs>
          <w:tab w:val="clear" w:pos="1440"/>
          <w:tab w:val="num" w:pos="709"/>
        </w:tabs>
        <w:spacing w:before="0" w:after="0"/>
        <w:ind w:left="709" w:hanging="425"/>
      </w:pPr>
      <w:r w:rsidRPr="007966FB">
        <w:t>uszkodzone nawierzchnie jezdni, chodników i przejść</w:t>
      </w:r>
      <w:r w:rsidR="001027E6">
        <w:t>,</w:t>
      </w:r>
    </w:p>
    <w:p w14:paraId="26DC49E6" w14:textId="6107454D" w:rsidR="007966FB" w:rsidRPr="007966FB" w:rsidRDefault="007966FB" w:rsidP="001B2A4E">
      <w:pPr>
        <w:numPr>
          <w:ilvl w:val="1"/>
          <w:numId w:val="10"/>
        </w:numPr>
        <w:tabs>
          <w:tab w:val="clear" w:pos="1440"/>
          <w:tab w:val="num" w:pos="709"/>
        </w:tabs>
        <w:spacing w:before="0" w:after="0"/>
        <w:ind w:left="709" w:hanging="425"/>
      </w:pPr>
      <w:r w:rsidRPr="007966FB">
        <w:t>miejsca parkingowe wyznaczone na wysokości zatrzymywania się tramwajów na przystanku</w:t>
      </w:r>
      <w:r w:rsidR="001027E6">
        <w:t>,</w:t>
      </w:r>
    </w:p>
    <w:p w14:paraId="6C0BC6A8" w14:textId="6EFA782E" w:rsidR="007966FB" w:rsidRPr="007966FB" w:rsidRDefault="007966FB" w:rsidP="001B2A4E">
      <w:pPr>
        <w:numPr>
          <w:ilvl w:val="1"/>
          <w:numId w:val="10"/>
        </w:numPr>
        <w:tabs>
          <w:tab w:val="clear" w:pos="1440"/>
          <w:tab w:val="num" w:pos="709"/>
        </w:tabs>
        <w:spacing w:before="0" w:after="0"/>
        <w:ind w:left="709" w:hanging="425"/>
      </w:pPr>
      <w:r w:rsidRPr="007966FB">
        <w:t>wąskie szykany dla pieszych przed przejściami przez tory kolejowe</w:t>
      </w:r>
      <w:r w:rsidR="001027E6">
        <w:t>,</w:t>
      </w:r>
    </w:p>
    <w:p w14:paraId="1AD10D86" w14:textId="75F2FDC9" w:rsidR="007966FB" w:rsidRPr="007966FB" w:rsidRDefault="007966FB" w:rsidP="001B2A4E">
      <w:pPr>
        <w:numPr>
          <w:ilvl w:val="1"/>
          <w:numId w:val="10"/>
        </w:numPr>
        <w:tabs>
          <w:tab w:val="clear" w:pos="1440"/>
          <w:tab w:val="num" w:pos="709"/>
        </w:tabs>
        <w:spacing w:before="0" w:after="0"/>
        <w:ind w:left="709" w:hanging="425"/>
      </w:pPr>
      <w:r w:rsidRPr="007966FB">
        <w:t xml:space="preserve">obiekty </w:t>
      </w:r>
      <w:r w:rsidR="00295B8A">
        <w:t xml:space="preserve">w przejściu </w:t>
      </w:r>
      <w:r w:rsidR="00E84C5F">
        <w:t xml:space="preserve">(por. </w:t>
      </w:r>
      <w:r w:rsidR="00E84C5F">
        <w:fldChar w:fldCharType="begin"/>
      </w:r>
      <w:r w:rsidR="00E84C5F">
        <w:instrText xml:space="preserve"> REF _Ref24807386 \h </w:instrText>
      </w:r>
      <w:r w:rsidR="00F23947">
        <w:instrText xml:space="preserve"> \* MERGEFORMAT </w:instrText>
      </w:r>
      <w:r w:rsidR="00E84C5F">
        <w:fldChar w:fldCharType="separate"/>
      </w:r>
      <w:r w:rsidR="00C93FD7">
        <w:t xml:space="preserve">Zdjęcie </w:t>
      </w:r>
      <w:r w:rsidR="00C93FD7">
        <w:rPr>
          <w:noProof/>
        </w:rPr>
        <w:t>8</w:t>
      </w:r>
      <w:r w:rsidR="00E84C5F">
        <w:fldChar w:fldCharType="end"/>
      </w:r>
      <w:r w:rsidR="00E84C5F">
        <w:t xml:space="preserve">) </w:t>
      </w:r>
      <w:r w:rsidR="00295B8A">
        <w:t xml:space="preserve">lub </w:t>
      </w:r>
      <w:r w:rsidRPr="007966FB">
        <w:t>przy krawędziach przystankowych, ograniczające przejście lub możliwość przejazdu wózkiem</w:t>
      </w:r>
      <w:r w:rsidR="001027E6">
        <w:t>,</w:t>
      </w:r>
    </w:p>
    <w:p w14:paraId="61009622" w14:textId="745226B6" w:rsidR="007966FB" w:rsidRDefault="007966FB" w:rsidP="001B2A4E">
      <w:pPr>
        <w:numPr>
          <w:ilvl w:val="1"/>
          <w:numId w:val="10"/>
        </w:numPr>
        <w:tabs>
          <w:tab w:val="clear" w:pos="1440"/>
          <w:tab w:val="num" w:pos="709"/>
        </w:tabs>
        <w:spacing w:before="0" w:after="120"/>
        <w:ind w:left="709" w:hanging="425"/>
      </w:pPr>
      <w:r w:rsidRPr="007966FB">
        <w:t>zbyt krótkie zatoki przystankowe - brak możliwości równoległego podjazdu autobusem do krawędzi peronu</w:t>
      </w:r>
      <w:r w:rsidR="00E84C5F">
        <w:t xml:space="preserve"> (por. </w:t>
      </w:r>
      <w:r w:rsidR="00E84C5F">
        <w:fldChar w:fldCharType="begin"/>
      </w:r>
      <w:r w:rsidR="00E84C5F">
        <w:instrText xml:space="preserve"> REF _Ref24807398 \h </w:instrText>
      </w:r>
      <w:r w:rsidR="00F23947">
        <w:instrText xml:space="preserve"> \* MERGEFORMAT </w:instrText>
      </w:r>
      <w:r w:rsidR="00E84C5F">
        <w:fldChar w:fldCharType="separate"/>
      </w:r>
      <w:r w:rsidR="00C93FD7">
        <w:t xml:space="preserve">Zdjęcie </w:t>
      </w:r>
      <w:r w:rsidR="00C93FD7">
        <w:rPr>
          <w:noProof/>
        </w:rPr>
        <w:t>9</w:t>
      </w:r>
      <w:r w:rsidR="00E84C5F">
        <w:fldChar w:fldCharType="end"/>
      </w:r>
      <w:r w:rsidR="00E84C5F">
        <w:t>)</w:t>
      </w:r>
      <w:r w:rsidR="001027E6">
        <w:t>.</w:t>
      </w:r>
    </w:p>
    <w:p w14:paraId="0FCACEB7" w14:textId="1353787F" w:rsidR="008233C7" w:rsidRDefault="008233C7" w:rsidP="008233C7">
      <w:pPr>
        <w:spacing w:before="0" w:after="120"/>
      </w:pPr>
      <w:r>
        <w:t>Ósme kryterium dotyczyło dostępności parkingowej węzłów przesiadkowych.</w:t>
      </w:r>
      <w:r w:rsidR="00E84C5F">
        <w:t xml:space="preserve"> Przy analizowanych węzłach nie było parkingów </w:t>
      </w:r>
      <w:r w:rsidR="00E84C5F" w:rsidRPr="00307E9E">
        <w:rPr>
          <w:i/>
        </w:rPr>
        <w:t>P&amp;R</w:t>
      </w:r>
      <w:r w:rsidR="004021C0">
        <w:t xml:space="preserve"> (choć kierowcy chętnie zostawiali przy nich samochody, por. </w:t>
      </w:r>
      <w:r w:rsidR="004021C0">
        <w:fldChar w:fldCharType="begin"/>
      </w:r>
      <w:r w:rsidR="004021C0">
        <w:instrText xml:space="preserve"> REF _Ref24808814 \h </w:instrText>
      </w:r>
      <w:r w:rsidR="004021C0">
        <w:fldChar w:fldCharType="separate"/>
      </w:r>
      <w:r w:rsidR="00C93FD7">
        <w:t xml:space="preserve">Zdjęcie </w:t>
      </w:r>
      <w:r w:rsidR="00C93FD7">
        <w:rPr>
          <w:noProof/>
        </w:rPr>
        <w:t>10</w:t>
      </w:r>
      <w:r w:rsidR="004021C0">
        <w:fldChar w:fldCharType="end"/>
      </w:r>
      <w:r w:rsidR="004021C0">
        <w:t>)</w:t>
      </w:r>
      <w:r w:rsidR="00E84C5F">
        <w:t xml:space="preserve">, ale przy części obiektów w ramach </w:t>
      </w:r>
      <w:r w:rsidR="00F23947">
        <w:t xml:space="preserve">POIiŚ </w:t>
      </w:r>
      <w:r w:rsidR="00263617">
        <w:t xml:space="preserve">takie </w:t>
      </w:r>
      <w:r w:rsidR="00E84C5F">
        <w:t xml:space="preserve">parkingi zostaną wybudowane </w:t>
      </w:r>
      <w:r w:rsidR="004021C0">
        <w:t xml:space="preserve">- </w:t>
      </w:r>
      <w:r w:rsidR="00E84C5F">
        <w:t>węzeł Gdynia Chylonia i Kraków Krowodrza Górka.</w:t>
      </w:r>
      <w:r w:rsidR="00263617">
        <w:t xml:space="preserve"> Na terenie niektórych węzłów wyznaczono miejsca parkingowe krótkiego postoju, tzw. Kiss &amp; </w:t>
      </w:r>
      <w:proofErr w:type="spellStart"/>
      <w:r w:rsidR="00263617">
        <w:t>Ride</w:t>
      </w:r>
      <w:proofErr w:type="spellEnd"/>
      <w:r w:rsidR="00263617">
        <w:t xml:space="preserve">. Na węzłach dostępne też były stojaki na rowery, </w:t>
      </w:r>
      <w:r w:rsidR="00F23947">
        <w:t xml:space="preserve">ale </w:t>
      </w:r>
      <w:r w:rsidR="00263617">
        <w:t>jedynie w przypadku gdyńskiego i toruńskiego węzła</w:t>
      </w:r>
      <w:r w:rsidR="004021C0">
        <w:t xml:space="preserve"> (por. </w:t>
      </w:r>
      <w:r w:rsidR="004021C0">
        <w:fldChar w:fldCharType="begin"/>
      </w:r>
      <w:r w:rsidR="004021C0">
        <w:instrText xml:space="preserve"> REF _Ref24808830 \h </w:instrText>
      </w:r>
      <w:r w:rsidR="004021C0">
        <w:fldChar w:fldCharType="separate"/>
      </w:r>
      <w:r w:rsidR="00C93FD7">
        <w:t xml:space="preserve">Zdjęcie </w:t>
      </w:r>
      <w:r w:rsidR="00C93FD7">
        <w:rPr>
          <w:noProof/>
        </w:rPr>
        <w:t>11</w:t>
      </w:r>
      <w:r w:rsidR="004021C0">
        <w:fldChar w:fldCharType="end"/>
      </w:r>
      <w:r w:rsidR="004021C0">
        <w:t>)</w:t>
      </w:r>
      <w:r w:rsidR="00263617">
        <w:t xml:space="preserve"> miejsca te były zadaszone. W niektórych miejscach stojaków było </w:t>
      </w:r>
      <w:r w:rsidR="00F23947">
        <w:t xml:space="preserve">wręcz </w:t>
      </w:r>
      <w:r w:rsidR="00263617">
        <w:t>zbyt mało i</w:t>
      </w:r>
      <w:r w:rsidR="004021C0">
        <w:t> </w:t>
      </w:r>
      <w:r w:rsidR="00263617">
        <w:t>elementy wymaga</w:t>
      </w:r>
      <w:r w:rsidR="00F23947">
        <w:t>ją</w:t>
      </w:r>
      <w:r w:rsidR="00263617">
        <w:t xml:space="preserve"> rozbudowy.</w:t>
      </w:r>
    </w:p>
    <w:p w14:paraId="41E3F054" w14:textId="32CCF855" w:rsidR="008233C7" w:rsidRDefault="008233C7" w:rsidP="008233C7">
      <w:pPr>
        <w:spacing w:before="0" w:after="120"/>
      </w:pPr>
      <w:r>
        <w:t xml:space="preserve">Ostatnim kryterium podlegającym ocenie była obecność dodatkowych </w:t>
      </w:r>
      <w:r w:rsidR="00C90E4A">
        <w:t xml:space="preserve">udogodnień </w:t>
      </w:r>
      <w:r>
        <w:t>na węzłach</w:t>
      </w:r>
      <w:r w:rsidR="00263617">
        <w:t xml:space="preserve">: punktów obsługi pasażera, punktów sprzedaży biletów lub biletomatów, toalet publicznych, kiosków lub sklepów, małej gastronomii </w:t>
      </w:r>
      <w:r w:rsidR="00C90E4A">
        <w:t xml:space="preserve">lub </w:t>
      </w:r>
      <w:r w:rsidR="00263617">
        <w:t xml:space="preserve">stacji roweru miejskiego. </w:t>
      </w:r>
      <w:r w:rsidR="00C90E4A">
        <w:t xml:space="preserve">W przypadku większości badanych węzłów przesiadkowych </w:t>
      </w:r>
      <w:r w:rsidR="000C029D">
        <w:t>większoś</w:t>
      </w:r>
      <w:r w:rsidR="00C90E4A">
        <w:t>ć udogodnień (lub nawet wszystkie) zawierały się w kompleksie galerii handlowej. N</w:t>
      </w:r>
      <w:r w:rsidR="000C029D">
        <w:t xml:space="preserve">ajgorzej w tej kategorii wypadł węzeł Łódź Chojny, na którym nie zdefiniowano punktów obsługi pasażera (kasa biletowa PKP Intercity wręcz została zamknięta tuż przed wizją lokalną), a w najbliższej okolicy nie było też punktów handlowych i małej gastronomii. </w:t>
      </w:r>
    </w:p>
    <w:p w14:paraId="6634B49F" w14:textId="58BA5428" w:rsidR="00024ECA" w:rsidRDefault="008233C7" w:rsidP="008233C7">
      <w:pPr>
        <w:spacing w:before="0" w:after="120"/>
      </w:pPr>
      <w:r>
        <w:t xml:space="preserve">Zestawienie ocen przyznanych w poszczególnych kryteriach wszystkim węzłom przesiadkowym zawiera </w:t>
      </w:r>
      <w:r>
        <w:fldChar w:fldCharType="begin"/>
      </w:r>
      <w:r>
        <w:instrText xml:space="preserve"> REF _Ref24800644 \h  \* MERGEFORMAT </w:instrText>
      </w:r>
      <w:r>
        <w:fldChar w:fldCharType="separate"/>
      </w:r>
      <w:r w:rsidR="00C93FD7">
        <w:t xml:space="preserve">Tabela </w:t>
      </w:r>
      <w:r w:rsidR="00C93FD7">
        <w:rPr>
          <w:noProof/>
        </w:rPr>
        <w:t>13</w:t>
      </w:r>
      <w:r>
        <w:fldChar w:fldCharType="end"/>
      </w:r>
      <w:r>
        <w:t>. Mimo zestawienia wszystkich węzłów w jednej tabeli należy podkreślić, że opracowanie studiów przypadku dla tych obiektów służyło przede wszystkim utrwaleniu obecnego stanu węzłów, czyli zapewnieniu danych wejściowych do porównania, które powinno nastąpić w</w:t>
      </w:r>
      <w:r w:rsidR="000C029D">
        <w:t> </w:t>
      </w:r>
      <w:r>
        <w:t xml:space="preserve">badaniu </w:t>
      </w:r>
      <w:r w:rsidRPr="00307E9E">
        <w:rPr>
          <w:i/>
        </w:rPr>
        <w:t>ex</w:t>
      </w:r>
      <w:r w:rsidR="00760E00">
        <w:rPr>
          <w:i/>
        </w:rPr>
        <w:t xml:space="preserve"> </w:t>
      </w:r>
      <w:r w:rsidRPr="00307E9E">
        <w:rPr>
          <w:i/>
        </w:rPr>
        <w:t>post</w:t>
      </w:r>
      <w:r>
        <w:t>, ze stanem jaki zostanie zastany na poszczególnych obiektach w 2023 roku. Bezpośrednie porównywanie różnych obiektów w różnych miastach ze sobą mogłoby zostać uznane za niesprawiedliwe m.in. ze względu na różne lokalizacje węzłów, liczbę i rodzaje integrowanych środków transportu czy skalę ruchu indywidualnego</w:t>
      </w:r>
      <w:r w:rsidR="00263617">
        <w:t>.</w:t>
      </w:r>
      <w:r w:rsidR="00024ECA">
        <w:t xml:space="preserve"> </w:t>
      </w:r>
    </w:p>
    <w:p w14:paraId="2026E924" w14:textId="35674230" w:rsidR="008233C7" w:rsidRDefault="00A32CAF" w:rsidP="008233C7">
      <w:pPr>
        <w:spacing w:before="0" w:after="120"/>
      </w:pPr>
      <w:r>
        <w:t>Niezależnie od powyższego założenia</w:t>
      </w:r>
      <w:r w:rsidR="00024ECA">
        <w:t>, trzeba zauważyć, że spośród ocenianych węzłów, te które nie będą poddawane interwencji uzyskały lepsze noty, niż te których przebudowa dotyczy. To potwierdza słuszność podejmowanej interwencji w ramach POIiŚ 2014-2020.</w:t>
      </w:r>
    </w:p>
    <w:p w14:paraId="660B9162" w14:textId="01DA2D2F" w:rsidR="00295B8A" w:rsidRDefault="00295B8A" w:rsidP="008233C7">
      <w:pPr>
        <w:pStyle w:val="Legenda"/>
        <w:spacing w:before="0" w:after="120"/>
      </w:pPr>
      <w:bookmarkStart w:id="134" w:name="_Ref24807339"/>
      <w:bookmarkStart w:id="135" w:name="_Toc27125407"/>
      <w:r>
        <w:lastRenderedPageBreak/>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6</w:t>
      </w:r>
      <w:r w:rsidR="003C20BE">
        <w:rPr>
          <w:noProof/>
        </w:rPr>
        <w:fldChar w:fldCharType="end"/>
      </w:r>
      <w:bookmarkEnd w:id="134"/>
      <w:r w:rsidR="008233C7">
        <w:t xml:space="preserve">. Kraków, Krowodrza Górka. </w:t>
      </w:r>
      <w:r w:rsidR="008233C7" w:rsidRPr="008233C7">
        <w:t>Autobus niskopodłogowy przy peronie, na który nie ma możliwości wjazdu wózkiem inwalidzkim</w:t>
      </w:r>
      <w:r w:rsidR="008233C7">
        <w:t>.</w:t>
      </w:r>
      <w:bookmarkEnd w:id="135"/>
    </w:p>
    <w:p w14:paraId="1815F86B" w14:textId="1DC9A7E3" w:rsidR="00295B8A" w:rsidRDefault="008233C7" w:rsidP="008233C7">
      <w:pPr>
        <w:pStyle w:val="Legenda"/>
        <w:spacing w:before="120" w:after="120"/>
        <w:jc w:val="center"/>
      </w:pPr>
      <w:r w:rsidRPr="004F335C">
        <w:rPr>
          <w:rFonts w:ascii="Lora" w:hAnsi="Lora"/>
          <w:b/>
          <w:noProof/>
          <w:lang w:eastAsia="pl-PL"/>
        </w:rPr>
        <w:drawing>
          <wp:inline distT="0" distB="0" distL="0" distR="0" wp14:anchorId="5C3A7BE4" wp14:editId="18B65F73">
            <wp:extent cx="5346000" cy="3564000"/>
            <wp:effectExtent l="0" t="0" r="7620" b="0"/>
            <wp:docPr id="32" name="Obraz 32" descr="Zdjęcie przedstawiające nowoczesny, niskopodłogowy autobus miejski stojący przy krawędzi peronu na węźle przesiadkowym Krowodrza Górka w Krakowie. Peron przystanku jest jednak bardzo wąski i wyspowy z brakiem możliwości wjazdu na niego wózkiem inwalidzkim. Zdjęcie obrazuje kontrast pomiędzy dostępnością taboru niskopodłogowego a brakiem dostępności infrastruktury, z której pojazdy korzysta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_kg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46647E33" w14:textId="51FE7CA7" w:rsidR="00295B8A" w:rsidRDefault="00295B8A" w:rsidP="00D415F4">
      <w:pPr>
        <w:pStyle w:val="rdo"/>
      </w:pPr>
      <w:r>
        <w:t>Źródło: opracowanie własne</w:t>
      </w:r>
      <w:r w:rsidR="002071E4">
        <w:t>.</w:t>
      </w:r>
    </w:p>
    <w:p w14:paraId="4A7E730B" w14:textId="2E9612B6" w:rsidR="00D24915" w:rsidRDefault="00D24915" w:rsidP="008233C7">
      <w:pPr>
        <w:pStyle w:val="Legenda"/>
        <w:spacing w:before="120" w:after="120"/>
      </w:pPr>
      <w:bookmarkStart w:id="136" w:name="_Ref24807324"/>
      <w:bookmarkStart w:id="137" w:name="_Toc27125408"/>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7</w:t>
      </w:r>
      <w:r w:rsidR="003C20BE">
        <w:rPr>
          <w:noProof/>
        </w:rPr>
        <w:fldChar w:fldCharType="end"/>
      </w:r>
      <w:bookmarkEnd w:id="136"/>
      <w:r>
        <w:t xml:space="preserve">. </w:t>
      </w:r>
      <w:r w:rsidRPr="00D24915">
        <w:t>Łódź, węzeł Chojny.</w:t>
      </w:r>
      <w:r>
        <w:t xml:space="preserve"> </w:t>
      </w:r>
      <w:r w:rsidRPr="00D24915">
        <w:t xml:space="preserve">Wyjście z tramwaju na przystanku końcowym - </w:t>
      </w:r>
      <w:r>
        <w:t>peron</w:t>
      </w:r>
      <w:r w:rsidRPr="00D24915">
        <w:t xml:space="preserve"> na poziomie główki szyny</w:t>
      </w:r>
      <w:r>
        <w:t xml:space="preserve"> utrudniający wysiadanie.</w:t>
      </w:r>
      <w:bookmarkEnd w:id="137"/>
    </w:p>
    <w:p w14:paraId="0CB17224" w14:textId="1340C068" w:rsidR="00073D8B" w:rsidRDefault="00D24915" w:rsidP="008233C7">
      <w:pPr>
        <w:spacing w:before="0" w:after="120" w:line="240" w:lineRule="auto"/>
        <w:jc w:val="center"/>
      </w:pPr>
      <w:r w:rsidRPr="008E660E">
        <w:rPr>
          <w:rFonts w:ascii="Lora" w:hAnsi="Lora"/>
          <w:b/>
          <w:i/>
          <w:noProof/>
          <w:lang w:eastAsia="pl-PL"/>
        </w:rPr>
        <w:drawing>
          <wp:inline distT="0" distB="0" distL="0" distR="0" wp14:anchorId="362203DD" wp14:editId="3E876E54">
            <wp:extent cx="5346000" cy="3564000"/>
            <wp:effectExtent l="0" t="0" r="7620" b="0"/>
            <wp:docPr id="39" name="Obraz 39" descr="Zdjęcie przedstawia tramwaj na przystanku końcowym węzła przesiadkowego Łódź Chojny. Peron znajduje się na wysokości główki szyny, a wejście do pojazdu na wysokości ponad 30 centymetrów. Ponadto jest to pojazd wysokopodłogowy, który wymaga zejścia po kilku stopn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5615110C" w14:textId="2B00F80C" w:rsidR="00D24915" w:rsidRDefault="00D24915" w:rsidP="00D415F4">
      <w:pPr>
        <w:pStyle w:val="rdo"/>
      </w:pPr>
      <w:r>
        <w:t>Źródło: opracowanie własne</w:t>
      </w:r>
      <w:r w:rsidR="002071E4">
        <w:t>.</w:t>
      </w:r>
    </w:p>
    <w:p w14:paraId="77745889" w14:textId="12948796" w:rsidR="00295B8A" w:rsidRDefault="00295B8A" w:rsidP="00295B8A">
      <w:pPr>
        <w:pStyle w:val="Legenda"/>
      </w:pPr>
      <w:bookmarkStart w:id="138" w:name="_Ref24807386"/>
      <w:bookmarkStart w:id="139" w:name="_Toc27125409"/>
      <w:r>
        <w:lastRenderedPageBreak/>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8</w:t>
      </w:r>
      <w:r w:rsidR="003C20BE">
        <w:rPr>
          <w:noProof/>
        </w:rPr>
        <w:fldChar w:fldCharType="end"/>
      </w:r>
      <w:bookmarkEnd w:id="138"/>
      <w:r>
        <w:t>.</w:t>
      </w:r>
      <w:r w:rsidR="008233C7">
        <w:t xml:space="preserve"> Warszawa, węzeł Plac Unii Lubelskiej.</w:t>
      </w:r>
      <w:r w:rsidR="008233C7" w:rsidRPr="008233C7">
        <w:rPr>
          <w:rFonts w:asciiTheme="minorHAnsi" w:hAnsiTheme="minorHAnsi"/>
          <w:iCs w:val="0"/>
          <w:color w:val="auto"/>
          <w:szCs w:val="22"/>
        </w:rPr>
        <w:t xml:space="preserve"> </w:t>
      </w:r>
      <w:r w:rsidR="008233C7" w:rsidRPr="008233C7">
        <w:t>Słup oświetleniowo-trakcyjny w przejściu</w:t>
      </w:r>
      <w:r w:rsidR="008233C7" w:rsidRPr="008233C7">
        <w:br/>
        <w:t>pieszym między jezdnią ul. Puławskiej a torowiskiem tramwajowym</w:t>
      </w:r>
      <w:r w:rsidR="008233C7">
        <w:t>.</w:t>
      </w:r>
      <w:bookmarkEnd w:id="139"/>
    </w:p>
    <w:p w14:paraId="1DFC6905" w14:textId="25615934" w:rsidR="00295B8A" w:rsidRDefault="00295B8A" w:rsidP="00E84C5F">
      <w:pPr>
        <w:spacing w:before="0" w:after="0"/>
        <w:jc w:val="center"/>
      </w:pPr>
      <w:r w:rsidRPr="00A864BD">
        <w:rPr>
          <w:rFonts w:ascii="Lora" w:hAnsi="Lora"/>
          <w:i/>
          <w:noProof/>
          <w:lang w:eastAsia="pl-PL"/>
        </w:rPr>
        <w:drawing>
          <wp:inline distT="0" distB="0" distL="0" distR="0" wp14:anchorId="2AC5DB27" wp14:editId="2B1962B0">
            <wp:extent cx="5346000" cy="3564000"/>
            <wp:effectExtent l="0" t="0" r="7620" b="0"/>
            <wp:docPr id="40" name="Obraz 40" descr="Zdjęcie przedstawiające słup oświetleniowo-trakcyjny umieszczony w przejściu pieszego między jezdnią ul. Puławskiej a torowiskiem tramwajowy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plac1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7506D553" w14:textId="5F38B4FB" w:rsidR="00295B8A" w:rsidRDefault="00295B8A" w:rsidP="00D415F4">
      <w:pPr>
        <w:pStyle w:val="rdo"/>
      </w:pPr>
      <w:r>
        <w:t>Źródło: opracowanie własne</w:t>
      </w:r>
      <w:r w:rsidR="002071E4">
        <w:t>.</w:t>
      </w:r>
    </w:p>
    <w:p w14:paraId="12D267FA" w14:textId="48F635E5" w:rsidR="00295B8A" w:rsidRDefault="00295B8A" w:rsidP="00295B8A">
      <w:pPr>
        <w:pStyle w:val="Legenda"/>
      </w:pPr>
      <w:bookmarkStart w:id="140" w:name="_Ref24807398"/>
      <w:bookmarkStart w:id="141" w:name="_Toc27125410"/>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9</w:t>
      </w:r>
      <w:r w:rsidR="003C20BE">
        <w:rPr>
          <w:noProof/>
        </w:rPr>
        <w:fldChar w:fldCharType="end"/>
      </w:r>
      <w:bookmarkEnd w:id="140"/>
      <w:r>
        <w:t>.</w:t>
      </w:r>
      <w:r w:rsidRPr="00073D8B">
        <w:rPr>
          <w:rFonts w:asciiTheme="minorHAnsi" w:hAnsiTheme="minorHAnsi"/>
          <w:iCs w:val="0"/>
          <w:color w:val="auto"/>
          <w:szCs w:val="22"/>
        </w:rPr>
        <w:t xml:space="preserve"> </w:t>
      </w:r>
      <w:r w:rsidRPr="00073D8B">
        <w:t>Warszawa, Wiatraczna. Brak możliwości wjazdu 18-metrowym autobusem</w:t>
      </w:r>
      <w:r w:rsidRPr="00073D8B">
        <w:br/>
        <w:t>do 10-metrowej zatoki.</w:t>
      </w:r>
      <w:r>
        <w:t xml:space="preserve"> </w:t>
      </w:r>
      <w:r w:rsidR="008233C7">
        <w:t>U</w:t>
      </w:r>
      <w:r>
        <w:t xml:space="preserve">miejętności kierowcy </w:t>
      </w:r>
      <w:r w:rsidR="008233C7">
        <w:t xml:space="preserve">pozwoliły </w:t>
      </w:r>
      <w:r w:rsidR="00024ECA">
        <w:t xml:space="preserve">jednak </w:t>
      </w:r>
      <w:r>
        <w:t>obsłużyć osobę niepełnosprawną.</w:t>
      </w:r>
      <w:bookmarkEnd w:id="141"/>
    </w:p>
    <w:p w14:paraId="2CEBA9AE" w14:textId="77777777" w:rsidR="00295B8A" w:rsidRDefault="00295B8A" w:rsidP="00E84C5F">
      <w:pPr>
        <w:spacing w:before="0" w:after="120" w:line="240" w:lineRule="auto"/>
        <w:jc w:val="center"/>
      </w:pPr>
      <w:r>
        <w:rPr>
          <w:rFonts w:ascii="Lora" w:hAnsi="Lora"/>
          <w:b/>
          <w:noProof/>
          <w:lang w:eastAsia="pl-PL"/>
        </w:rPr>
        <w:drawing>
          <wp:inline distT="0" distB="0" distL="0" distR="0" wp14:anchorId="128A63CF" wp14:editId="417B652A">
            <wp:extent cx="5346000" cy="3564000"/>
            <wp:effectExtent l="0" t="0" r="7620" b="0"/>
            <wp:docPr id="28" name="Obraz 28" descr="Zdjęcie przedstawiające zbyt krótką zatokę przystankową na węźle Wiatraczna w Warszawie, do której nie ma możliwości wjazdu autobusem przegubowym. Na przystanku oczekiwała osoba na wózku inwalidzkim, by móc tę osobę obsłużyć kierowca musiał podjechać odpowiednio do krawędzi przystanku by był w stanie rozłożyć platformę wjazdową. Udało się, jednak wymagało to precyzji ze strony kierowcy, a infrastruktura utrudniła obsłużenie pasaż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67D9331A" w14:textId="1D83EC1C" w:rsidR="00295B8A" w:rsidRDefault="00295B8A" w:rsidP="00D415F4">
      <w:pPr>
        <w:pStyle w:val="rdo"/>
      </w:pPr>
      <w:r>
        <w:t>Źródło: opracowanie własne</w:t>
      </w:r>
      <w:r w:rsidR="002071E4">
        <w:t>.</w:t>
      </w:r>
    </w:p>
    <w:p w14:paraId="7555558E" w14:textId="5FF9B4EF" w:rsidR="004021C0" w:rsidRDefault="004021C0" w:rsidP="004021C0">
      <w:pPr>
        <w:pStyle w:val="Legenda"/>
      </w:pPr>
      <w:bookmarkStart w:id="142" w:name="_Ref24808814"/>
      <w:bookmarkStart w:id="143" w:name="_Toc27125411"/>
      <w:r>
        <w:lastRenderedPageBreak/>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10</w:t>
      </w:r>
      <w:r w:rsidR="003C20BE">
        <w:rPr>
          <w:noProof/>
        </w:rPr>
        <w:fldChar w:fldCharType="end"/>
      </w:r>
      <w:bookmarkEnd w:id="142"/>
      <w:r>
        <w:t xml:space="preserve">. Gdynia, Chylonia. </w:t>
      </w:r>
      <w:r w:rsidRPr="004021C0">
        <w:t>Nieutwardzona powierzchnia, na której parkują samochody od strony ulicy Hutniczej.</w:t>
      </w:r>
      <w:bookmarkEnd w:id="143"/>
    </w:p>
    <w:p w14:paraId="63F2B6E5" w14:textId="77777777" w:rsidR="004021C0" w:rsidRDefault="004021C0" w:rsidP="004021C0">
      <w:pPr>
        <w:spacing w:before="120" w:after="120"/>
        <w:jc w:val="center"/>
      </w:pPr>
      <w:r w:rsidRPr="003573B6">
        <w:rPr>
          <w:rFonts w:ascii="Lora" w:hAnsi="Lora"/>
          <w:noProof/>
          <w:lang w:eastAsia="pl-PL"/>
        </w:rPr>
        <w:drawing>
          <wp:inline distT="0" distB="0" distL="0" distR="0" wp14:anchorId="320E0DBD" wp14:editId="3F998AF9">
            <wp:extent cx="5346000" cy="3564000"/>
            <wp:effectExtent l="0" t="0" r="7620" b="0"/>
            <wp:docPr id="48" name="Obraz 48" descr="Klepisko, nawierzchnia utwardzona gruntowa, na której parkują samochody przy węźle Gdynia Chylo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715F4F19" w14:textId="6905A95D" w:rsidR="004021C0" w:rsidRDefault="004021C0" w:rsidP="00D415F4">
      <w:pPr>
        <w:pStyle w:val="rdo"/>
      </w:pPr>
      <w:r>
        <w:t>Źródło: opracowanie własne</w:t>
      </w:r>
      <w:r w:rsidR="002071E4">
        <w:t>.</w:t>
      </w:r>
    </w:p>
    <w:p w14:paraId="21234780" w14:textId="3F8FB229" w:rsidR="004021C0" w:rsidRDefault="004021C0" w:rsidP="004021C0">
      <w:pPr>
        <w:pStyle w:val="Legenda"/>
      </w:pPr>
      <w:bookmarkStart w:id="144" w:name="_Ref24808830"/>
      <w:bookmarkStart w:id="145" w:name="_Toc27125412"/>
      <w:r>
        <w:t xml:space="preserve">Zdjęcie </w:t>
      </w:r>
      <w:r w:rsidR="003C20BE">
        <w:rPr>
          <w:noProof/>
        </w:rPr>
        <w:fldChar w:fldCharType="begin"/>
      </w:r>
      <w:r w:rsidR="003C20BE">
        <w:rPr>
          <w:noProof/>
        </w:rPr>
        <w:instrText xml:space="preserve"> SEQ Zdjęcie \* ARABIC </w:instrText>
      </w:r>
      <w:r w:rsidR="003C20BE">
        <w:rPr>
          <w:noProof/>
        </w:rPr>
        <w:fldChar w:fldCharType="separate"/>
      </w:r>
      <w:r w:rsidR="00C93FD7">
        <w:rPr>
          <w:noProof/>
        </w:rPr>
        <w:t>11</w:t>
      </w:r>
      <w:r w:rsidR="003C20BE">
        <w:rPr>
          <w:noProof/>
        </w:rPr>
        <w:fldChar w:fldCharType="end"/>
      </w:r>
      <w:bookmarkEnd w:id="144"/>
      <w:r>
        <w:t>. Toruń, Dworzec Miasto.</w:t>
      </w:r>
      <w:r w:rsidRPr="004021C0">
        <w:t xml:space="preserve"> Zadaszona wiata z</w:t>
      </w:r>
      <w:r>
        <w:t xml:space="preserve"> licznymi</w:t>
      </w:r>
      <w:r w:rsidRPr="004021C0">
        <w:t xml:space="preserve"> stojakami rowerowymi.</w:t>
      </w:r>
      <w:bookmarkEnd w:id="145"/>
    </w:p>
    <w:p w14:paraId="6E00950B" w14:textId="77777777" w:rsidR="004021C0" w:rsidRDefault="004021C0" w:rsidP="004021C0">
      <w:pPr>
        <w:spacing w:before="120" w:after="120"/>
        <w:jc w:val="center"/>
      </w:pPr>
      <w:r w:rsidRPr="00FC5132">
        <w:rPr>
          <w:rFonts w:ascii="Lora" w:hAnsi="Lora"/>
          <w:b/>
          <w:noProof/>
          <w:lang w:eastAsia="pl-PL"/>
        </w:rPr>
        <w:drawing>
          <wp:inline distT="0" distB="0" distL="0" distR="0" wp14:anchorId="32A17C39" wp14:editId="7BC6D8F0">
            <wp:extent cx="5346000" cy="3564000"/>
            <wp:effectExtent l="0" t="0" r="7620" b="0"/>
            <wp:docPr id="49" name="Obraz 49" descr="Zdjęcie przedstawia zadaszoną wiatę z kilkunastoma stojakami na rowery przy węźle przesiadkowym Dworzec Miasto w Toruniu. Zdjęcie pokazuje, że integracja to też dowiązanie infrastruktury rowerowej do pozostałych elementów sieci transpor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46000" cy="3564000"/>
                    </a:xfrm>
                    <a:prstGeom prst="rect">
                      <a:avLst/>
                    </a:prstGeom>
                  </pic:spPr>
                </pic:pic>
              </a:graphicData>
            </a:graphic>
          </wp:inline>
        </w:drawing>
      </w:r>
    </w:p>
    <w:p w14:paraId="2762CACC" w14:textId="193F41A9" w:rsidR="004021C0" w:rsidRDefault="004021C0" w:rsidP="00D415F4">
      <w:pPr>
        <w:pStyle w:val="rdo"/>
      </w:pPr>
      <w:r>
        <w:t>Źródło: opracowanie własne</w:t>
      </w:r>
      <w:r w:rsidR="002071E4">
        <w:t>.</w:t>
      </w:r>
    </w:p>
    <w:p w14:paraId="6823B6D1" w14:textId="7202BC59" w:rsidR="004021C0" w:rsidRPr="007966FB" w:rsidRDefault="004021C0" w:rsidP="00BD6B41">
      <w:pPr>
        <w:sectPr w:rsidR="004021C0" w:rsidRPr="007966FB" w:rsidSect="001703EA">
          <w:headerReference w:type="even" r:id="rId45"/>
          <w:headerReference w:type="default" r:id="rId46"/>
          <w:footerReference w:type="even" r:id="rId47"/>
          <w:footerReference w:type="default" r:id="rId48"/>
          <w:pgSz w:w="11906" w:h="16838"/>
          <w:pgMar w:top="1418" w:right="1134" w:bottom="1418" w:left="1134" w:header="709" w:footer="709" w:gutter="567"/>
          <w:pgNumType w:start="1"/>
          <w:cols w:space="708"/>
          <w:docGrid w:linePitch="360"/>
        </w:sectPr>
      </w:pPr>
    </w:p>
    <w:p w14:paraId="7FEFF35C" w14:textId="0F6D1D3F" w:rsidR="001F0F07" w:rsidRPr="001F0F07" w:rsidRDefault="001F0F07" w:rsidP="001F0F07">
      <w:pPr>
        <w:pStyle w:val="Legenda"/>
      </w:pPr>
      <w:bookmarkStart w:id="146" w:name="_Ref24800644"/>
      <w:bookmarkStart w:id="147" w:name="_Toc27125371"/>
      <w:r>
        <w:lastRenderedPageBreak/>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13</w:t>
      </w:r>
      <w:r w:rsidR="003C20BE">
        <w:rPr>
          <w:noProof/>
        </w:rPr>
        <w:fldChar w:fldCharType="end"/>
      </w:r>
      <w:bookmarkEnd w:id="146"/>
      <w:r>
        <w:t>. Zestawienie ocen przyznanych poszczególnym węzłom przesiadkowym w 9 kryteriach oceny.</w:t>
      </w:r>
      <w:bookmarkEnd w:id="147"/>
    </w:p>
    <w:tbl>
      <w:tblPr>
        <w:tblStyle w:val="WolanskiCorpTabela"/>
        <w:tblW w:w="14113" w:type="dxa"/>
        <w:tblLayout w:type="fixed"/>
        <w:tblLook w:val="0420" w:firstRow="1" w:lastRow="0" w:firstColumn="0" w:lastColumn="0" w:noHBand="0" w:noVBand="1"/>
      </w:tblPr>
      <w:tblGrid>
        <w:gridCol w:w="2268"/>
        <w:gridCol w:w="1361"/>
        <w:gridCol w:w="1361"/>
        <w:gridCol w:w="1361"/>
        <w:gridCol w:w="1361"/>
        <w:gridCol w:w="1361"/>
        <w:gridCol w:w="1361"/>
        <w:gridCol w:w="1361"/>
        <w:gridCol w:w="1361"/>
        <w:gridCol w:w="957"/>
      </w:tblGrid>
      <w:tr w:rsidR="00AB4256" w:rsidRPr="007966FB" w14:paraId="16F7DE8F" w14:textId="77777777" w:rsidTr="00AB4256">
        <w:trPr>
          <w:cnfStyle w:val="100000000000" w:firstRow="1" w:lastRow="0" w:firstColumn="0" w:lastColumn="0" w:oddVBand="0" w:evenVBand="0" w:oddHBand="0" w:evenHBand="0" w:firstRowFirstColumn="0" w:firstRowLastColumn="0" w:lastRowFirstColumn="0" w:lastRowLastColumn="0"/>
          <w:trHeight w:val="1013"/>
        </w:trPr>
        <w:tc>
          <w:tcPr>
            <w:tcW w:w="2268" w:type="dxa"/>
            <w:hideMark/>
          </w:tcPr>
          <w:p w14:paraId="10CDB18E" w14:textId="5DC362C6" w:rsidR="007966FB" w:rsidRPr="007966FB" w:rsidRDefault="007966FB" w:rsidP="00AB4256">
            <w:pPr>
              <w:tabs>
                <w:tab w:val="clear" w:pos="284"/>
              </w:tabs>
              <w:spacing w:after="160"/>
              <w:jc w:val="center"/>
              <w:rPr>
                <w:sz w:val="16"/>
              </w:rPr>
            </w:pPr>
            <w:r w:rsidRPr="007966FB">
              <w:rPr>
                <w:bCs/>
                <w:sz w:val="16"/>
              </w:rPr>
              <w:t>Kryterium</w:t>
            </w:r>
            <w:r>
              <w:rPr>
                <w:bCs/>
                <w:sz w:val="16"/>
              </w:rPr>
              <w:t xml:space="preserve"> \ WĘZEŁ</w:t>
            </w:r>
          </w:p>
        </w:tc>
        <w:tc>
          <w:tcPr>
            <w:tcW w:w="1361" w:type="dxa"/>
            <w:hideMark/>
          </w:tcPr>
          <w:p w14:paraId="3E2154F3" w14:textId="77777777" w:rsidR="007966FB" w:rsidRPr="007966FB" w:rsidRDefault="007966FB" w:rsidP="00AB4256">
            <w:pPr>
              <w:tabs>
                <w:tab w:val="clear" w:pos="284"/>
              </w:tabs>
              <w:spacing w:after="160"/>
              <w:jc w:val="center"/>
              <w:rPr>
                <w:sz w:val="16"/>
              </w:rPr>
            </w:pPr>
            <w:r w:rsidRPr="007966FB">
              <w:rPr>
                <w:bCs/>
                <w:sz w:val="16"/>
              </w:rPr>
              <w:t>Toruń</w:t>
            </w:r>
            <w:r w:rsidRPr="007966FB">
              <w:rPr>
                <w:bCs/>
                <w:sz w:val="16"/>
              </w:rPr>
              <w:br/>
              <w:t>Dworzec Miasto</w:t>
            </w:r>
          </w:p>
        </w:tc>
        <w:tc>
          <w:tcPr>
            <w:tcW w:w="1361" w:type="dxa"/>
            <w:hideMark/>
          </w:tcPr>
          <w:p w14:paraId="1FC4C93E" w14:textId="77777777" w:rsidR="007966FB" w:rsidRPr="007966FB" w:rsidRDefault="007966FB" w:rsidP="00AB4256">
            <w:pPr>
              <w:tabs>
                <w:tab w:val="clear" w:pos="284"/>
              </w:tabs>
              <w:spacing w:after="160"/>
              <w:jc w:val="center"/>
              <w:rPr>
                <w:sz w:val="16"/>
              </w:rPr>
            </w:pPr>
            <w:r w:rsidRPr="007966FB">
              <w:rPr>
                <w:bCs/>
                <w:sz w:val="16"/>
              </w:rPr>
              <w:t>Kraków</w:t>
            </w:r>
            <w:r w:rsidRPr="007966FB">
              <w:rPr>
                <w:bCs/>
                <w:sz w:val="16"/>
              </w:rPr>
              <w:br/>
              <w:t>Krowodrza Górka</w:t>
            </w:r>
          </w:p>
        </w:tc>
        <w:tc>
          <w:tcPr>
            <w:tcW w:w="1361" w:type="dxa"/>
            <w:hideMark/>
          </w:tcPr>
          <w:p w14:paraId="5B6916A1" w14:textId="77777777" w:rsidR="007966FB" w:rsidRPr="007966FB" w:rsidRDefault="007966FB" w:rsidP="00AB4256">
            <w:pPr>
              <w:tabs>
                <w:tab w:val="clear" w:pos="284"/>
              </w:tabs>
              <w:spacing w:after="160"/>
              <w:jc w:val="center"/>
              <w:rPr>
                <w:sz w:val="16"/>
              </w:rPr>
            </w:pPr>
            <w:r w:rsidRPr="007966FB">
              <w:rPr>
                <w:bCs/>
                <w:sz w:val="16"/>
              </w:rPr>
              <w:t>Warszawa</w:t>
            </w:r>
            <w:r w:rsidRPr="007966FB">
              <w:rPr>
                <w:bCs/>
                <w:sz w:val="16"/>
              </w:rPr>
              <w:br/>
              <w:t>Wiatraczna</w:t>
            </w:r>
          </w:p>
        </w:tc>
        <w:tc>
          <w:tcPr>
            <w:tcW w:w="1361" w:type="dxa"/>
            <w:hideMark/>
          </w:tcPr>
          <w:p w14:paraId="699606C9" w14:textId="77777777" w:rsidR="007966FB" w:rsidRPr="007966FB" w:rsidRDefault="007966FB" w:rsidP="00AB4256">
            <w:pPr>
              <w:tabs>
                <w:tab w:val="clear" w:pos="284"/>
              </w:tabs>
              <w:spacing w:after="160"/>
              <w:jc w:val="center"/>
              <w:rPr>
                <w:sz w:val="16"/>
              </w:rPr>
            </w:pPr>
            <w:r w:rsidRPr="007966FB">
              <w:rPr>
                <w:bCs/>
                <w:sz w:val="16"/>
              </w:rPr>
              <w:t>Gdynia</w:t>
            </w:r>
            <w:r w:rsidRPr="007966FB">
              <w:rPr>
                <w:bCs/>
                <w:sz w:val="16"/>
              </w:rPr>
              <w:br/>
              <w:t>Chylonia</w:t>
            </w:r>
          </w:p>
        </w:tc>
        <w:tc>
          <w:tcPr>
            <w:tcW w:w="1361" w:type="dxa"/>
            <w:hideMark/>
          </w:tcPr>
          <w:p w14:paraId="3B8F473A" w14:textId="77777777" w:rsidR="007966FB" w:rsidRPr="007966FB" w:rsidRDefault="007966FB" w:rsidP="00AB4256">
            <w:pPr>
              <w:tabs>
                <w:tab w:val="clear" w:pos="284"/>
              </w:tabs>
              <w:spacing w:after="160"/>
              <w:jc w:val="center"/>
              <w:rPr>
                <w:sz w:val="16"/>
              </w:rPr>
            </w:pPr>
            <w:r w:rsidRPr="007966FB">
              <w:rPr>
                <w:bCs/>
                <w:sz w:val="16"/>
              </w:rPr>
              <w:t>Poznań</w:t>
            </w:r>
            <w:r w:rsidRPr="007966FB">
              <w:rPr>
                <w:bCs/>
                <w:sz w:val="16"/>
              </w:rPr>
              <w:br/>
              <w:t>Rynek Wildecki</w:t>
            </w:r>
          </w:p>
        </w:tc>
        <w:tc>
          <w:tcPr>
            <w:tcW w:w="1361" w:type="dxa"/>
            <w:hideMark/>
          </w:tcPr>
          <w:p w14:paraId="02AC5FBB" w14:textId="77777777" w:rsidR="007966FB" w:rsidRPr="007966FB" w:rsidRDefault="007966FB" w:rsidP="00AB4256">
            <w:pPr>
              <w:tabs>
                <w:tab w:val="clear" w:pos="284"/>
              </w:tabs>
              <w:spacing w:after="160"/>
              <w:jc w:val="center"/>
              <w:rPr>
                <w:sz w:val="16"/>
              </w:rPr>
            </w:pPr>
            <w:r w:rsidRPr="007966FB">
              <w:rPr>
                <w:bCs/>
                <w:sz w:val="16"/>
              </w:rPr>
              <w:t>Łódź</w:t>
            </w:r>
            <w:r w:rsidRPr="007966FB">
              <w:rPr>
                <w:bCs/>
                <w:sz w:val="16"/>
              </w:rPr>
              <w:br/>
              <w:t>Chojny</w:t>
            </w:r>
          </w:p>
        </w:tc>
        <w:tc>
          <w:tcPr>
            <w:tcW w:w="1361" w:type="dxa"/>
            <w:hideMark/>
          </w:tcPr>
          <w:p w14:paraId="29E12C60" w14:textId="77777777" w:rsidR="007966FB" w:rsidRPr="007966FB" w:rsidRDefault="007966FB" w:rsidP="00AB4256">
            <w:pPr>
              <w:tabs>
                <w:tab w:val="clear" w:pos="284"/>
              </w:tabs>
              <w:spacing w:after="160"/>
              <w:jc w:val="center"/>
              <w:rPr>
                <w:sz w:val="16"/>
              </w:rPr>
            </w:pPr>
            <w:r w:rsidRPr="007966FB">
              <w:rPr>
                <w:bCs/>
                <w:sz w:val="16"/>
              </w:rPr>
              <w:t>Warszawa</w:t>
            </w:r>
            <w:r w:rsidRPr="007966FB">
              <w:rPr>
                <w:bCs/>
                <w:sz w:val="16"/>
              </w:rPr>
              <w:br/>
              <w:t>Dworzec Zachodni</w:t>
            </w:r>
          </w:p>
        </w:tc>
        <w:tc>
          <w:tcPr>
            <w:tcW w:w="1361" w:type="dxa"/>
            <w:hideMark/>
          </w:tcPr>
          <w:p w14:paraId="3E70357F" w14:textId="77777777" w:rsidR="007966FB" w:rsidRPr="007966FB" w:rsidRDefault="007966FB" w:rsidP="00AB4256">
            <w:pPr>
              <w:tabs>
                <w:tab w:val="clear" w:pos="284"/>
              </w:tabs>
              <w:spacing w:after="160"/>
              <w:jc w:val="center"/>
              <w:rPr>
                <w:sz w:val="16"/>
              </w:rPr>
            </w:pPr>
            <w:r w:rsidRPr="007966FB">
              <w:rPr>
                <w:bCs/>
                <w:sz w:val="16"/>
              </w:rPr>
              <w:t>Warszawa</w:t>
            </w:r>
            <w:r w:rsidRPr="007966FB">
              <w:rPr>
                <w:bCs/>
                <w:sz w:val="16"/>
              </w:rPr>
              <w:br/>
              <w:t>Plac Unii Lubelskiej</w:t>
            </w:r>
          </w:p>
        </w:tc>
        <w:tc>
          <w:tcPr>
            <w:tcW w:w="957" w:type="dxa"/>
            <w:hideMark/>
          </w:tcPr>
          <w:p w14:paraId="71C112B7" w14:textId="77777777" w:rsidR="007966FB" w:rsidRPr="007966FB" w:rsidRDefault="007966FB" w:rsidP="00AB4256">
            <w:pPr>
              <w:tabs>
                <w:tab w:val="clear" w:pos="284"/>
              </w:tabs>
              <w:spacing w:after="160"/>
              <w:jc w:val="center"/>
              <w:rPr>
                <w:sz w:val="16"/>
              </w:rPr>
            </w:pPr>
            <w:r w:rsidRPr="007966FB">
              <w:rPr>
                <w:bCs/>
                <w:sz w:val="16"/>
              </w:rPr>
              <w:t>ŚREDNIA</w:t>
            </w:r>
          </w:p>
        </w:tc>
      </w:tr>
      <w:tr w:rsidR="00AB4256" w:rsidRPr="007966FB" w14:paraId="54B268B1" w14:textId="77777777" w:rsidTr="00AB4256">
        <w:trPr>
          <w:cnfStyle w:val="000000100000" w:firstRow="0" w:lastRow="0" w:firstColumn="0" w:lastColumn="0" w:oddVBand="0" w:evenVBand="0" w:oddHBand="1" w:evenHBand="0" w:firstRowFirstColumn="0" w:firstRowLastColumn="0" w:lastRowFirstColumn="0" w:lastRowLastColumn="0"/>
          <w:trHeight w:val="500"/>
        </w:trPr>
        <w:tc>
          <w:tcPr>
            <w:tcW w:w="2268" w:type="dxa"/>
            <w:hideMark/>
          </w:tcPr>
          <w:p w14:paraId="3E21D2F7" w14:textId="77777777" w:rsidR="007966FB" w:rsidRPr="007966FB" w:rsidRDefault="007966FB" w:rsidP="007966FB">
            <w:pPr>
              <w:tabs>
                <w:tab w:val="clear" w:pos="284"/>
              </w:tabs>
              <w:spacing w:after="160"/>
              <w:rPr>
                <w:sz w:val="16"/>
              </w:rPr>
            </w:pPr>
            <w:r w:rsidRPr="007966FB">
              <w:rPr>
                <w:sz w:val="16"/>
              </w:rPr>
              <w:t>1. Integracja przestrzenna</w:t>
            </w:r>
          </w:p>
        </w:tc>
        <w:tc>
          <w:tcPr>
            <w:tcW w:w="1361" w:type="dxa"/>
            <w:hideMark/>
          </w:tcPr>
          <w:p w14:paraId="32A71E5B" w14:textId="77777777" w:rsidR="007966FB" w:rsidRPr="00AB4256" w:rsidRDefault="007966FB" w:rsidP="00AB4256">
            <w:pPr>
              <w:tabs>
                <w:tab w:val="clear" w:pos="284"/>
              </w:tabs>
              <w:spacing w:before="0" w:after="0"/>
              <w:jc w:val="center"/>
            </w:pPr>
            <w:r w:rsidRPr="00AB4256">
              <w:t>5</w:t>
            </w:r>
          </w:p>
        </w:tc>
        <w:tc>
          <w:tcPr>
            <w:tcW w:w="1361" w:type="dxa"/>
            <w:hideMark/>
          </w:tcPr>
          <w:p w14:paraId="50444D9E" w14:textId="77777777" w:rsidR="007966FB" w:rsidRPr="00AB4256" w:rsidRDefault="007966FB" w:rsidP="00AB4256">
            <w:pPr>
              <w:tabs>
                <w:tab w:val="clear" w:pos="284"/>
              </w:tabs>
              <w:spacing w:before="0" w:after="0"/>
              <w:jc w:val="center"/>
            </w:pPr>
            <w:r w:rsidRPr="00AB4256">
              <w:t>5</w:t>
            </w:r>
          </w:p>
        </w:tc>
        <w:tc>
          <w:tcPr>
            <w:tcW w:w="1361" w:type="dxa"/>
            <w:hideMark/>
          </w:tcPr>
          <w:p w14:paraId="676287F4" w14:textId="77777777" w:rsidR="007966FB" w:rsidRPr="00AB4256" w:rsidRDefault="007966FB" w:rsidP="00AB4256">
            <w:pPr>
              <w:tabs>
                <w:tab w:val="clear" w:pos="284"/>
              </w:tabs>
              <w:spacing w:before="0" w:after="0"/>
              <w:jc w:val="center"/>
            </w:pPr>
            <w:r w:rsidRPr="00AB4256">
              <w:t>2</w:t>
            </w:r>
          </w:p>
        </w:tc>
        <w:tc>
          <w:tcPr>
            <w:tcW w:w="1361" w:type="dxa"/>
            <w:hideMark/>
          </w:tcPr>
          <w:p w14:paraId="4A068883" w14:textId="77777777" w:rsidR="007966FB" w:rsidRPr="00AB4256" w:rsidRDefault="007966FB" w:rsidP="00AB4256">
            <w:pPr>
              <w:tabs>
                <w:tab w:val="clear" w:pos="284"/>
              </w:tabs>
              <w:spacing w:before="0" w:after="0"/>
              <w:jc w:val="center"/>
            </w:pPr>
            <w:r w:rsidRPr="00AB4256">
              <w:t>4</w:t>
            </w:r>
          </w:p>
        </w:tc>
        <w:tc>
          <w:tcPr>
            <w:tcW w:w="1361" w:type="dxa"/>
            <w:hideMark/>
          </w:tcPr>
          <w:p w14:paraId="77AFE081" w14:textId="77777777" w:rsidR="007966FB" w:rsidRPr="00AB4256" w:rsidRDefault="007966FB" w:rsidP="00AB4256">
            <w:pPr>
              <w:tabs>
                <w:tab w:val="clear" w:pos="284"/>
              </w:tabs>
              <w:spacing w:before="0" w:after="0"/>
              <w:jc w:val="center"/>
            </w:pPr>
            <w:r w:rsidRPr="00AB4256">
              <w:t>3</w:t>
            </w:r>
          </w:p>
        </w:tc>
        <w:tc>
          <w:tcPr>
            <w:tcW w:w="1361" w:type="dxa"/>
            <w:hideMark/>
          </w:tcPr>
          <w:p w14:paraId="3144A9AD" w14:textId="77777777" w:rsidR="007966FB" w:rsidRPr="00AB4256" w:rsidRDefault="007966FB" w:rsidP="00AB4256">
            <w:pPr>
              <w:tabs>
                <w:tab w:val="clear" w:pos="284"/>
              </w:tabs>
              <w:spacing w:before="0" w:after="0"/>
              <w:jc w:val="center"/>
            </w:pPr>
            <w:r w:rsidRPr="00AB4256">
              <w:t>2</w:t>
            </w:r>
          </w:p>
        </w:tc>
        <w:tc>
          <w:tcPr>
            <w:tcW w:w="1361" w:type="dxa"/>
            <w:hideMark/>
          </w:tcPr>
          <w:p w14:paraId="322E3295" w14:textId="77777777" w:rsidR="007966FB" w:rsidRPr="00AB4256" w:rsidRDefault="007966FB" w:rsidP="00AB4256">
            <w:pPr>
              <w:tabs>
                <w:tab w:val="clear" w:pos="284"/>
              </w:tabs>
              <w:spacing w:before="0" w:after="0"/>
              <w:jc w:val="center"/>
            </w:pPr>
            <w:r w:rsidRPr="00AB4256">
              <w:t>2</w:t>
            </w:r>
          </w:p>
        </w:tc>
        <w:tc>
          <w:tcPr>
            <w:tcW w:w="1361" w:type="dxa"/>
            <w:hideMark/>
          </w:tcPr>
          <w:p w14:paraId="315744B6" w14:textId="77777777" w:rsidR="007966FB" w:rsidRPr="00AB4256" w:rsidRDefault="007966FB" w:rsidP="00AB4256">
            <w:pPr>
              <w:tabs>
                <w:tab w:val="clear" w:pos="284"/>
              </w:tabs>
              <w:spacing w:before="0" w:after="0"/>
              <w:jc w:val="center"/>
            </w:pPr>
            <w:r w:rsidRPr="00AB4256">
              <w:t>2</w:t>
            </w:r>
          </w:p>
        </w:tc>
        <w:tc>
          <w:tcPr>
            <w:tcW w:w="957" w:type="dxa"/>
            <w:hideMark/>
          </w:tcPr>
          <w:p w14:paraId="7BF3D800" w14:textId="77777777" w:rsidR="007966FB" w:rsidRPr="00AB4256" w:rsidRDefault="007966FB" w:rsidP="00AB4256">
            <w:pPr>
              <w:tabs>
                <w:tab w:val="clear" w:pos="284"/>
              </w:tabs>
              <w:spacing w:before="0" w:after="0"/>
              <w:jc w:val="center"/>
            </w:pPr>
            <w:r w:rsidRPr="00AB4256">
              <w:t>3,1</w:t>
            </w:r>
          </w:p>
        </w:tc>
      </w:tr>
      <w:tr w:rsidR="00AB4256" w:rsidRPr="007966FB" w14:paraId="09AE4E32" w14:textId="77777777" w:rsidTr="00AB4256">
        <w:trPr>
          <w:trHeight w:val="500"/>
        </w:trPr>
        <w:tc>
          <w:tcPr>
            <w:tcW w:w="2268" w:type="dxa"/>
            <w:hideMark/>
          </w:tcPr>
          <w:p w14:paraId="5B672F55" w14:textId="77777777" w:rsidR="007966FB" w:rsidRPr="007966FB" w:rsidRDefault="007966FB" w:rsidP="00AB4256">
            <w:pPr>
              <w:tabs>
                <w:tab w:val="clear" w:pos="284"/>
              </w:tabs>
              <w:spacing w:after="160"/>
              <w:jc w:val="left"/>
              <w:rPr>
                <w:sz w:val="16"/>
              </w:rPr>
            </w:pPr>
            <w:r w:rsidRPr="007966FB">
              <w:rPr>
                <w:sz w:val="16"/>
              </w:rPr>
              <w:t>2. Warunki ruchu i przepustowość</w:t>
            </w:r>
          </w:p>
        </w:tc>
        <w:tc>
          <w:tcPr>
            <w:tcW w:w="1361" w:type="dxa"/>
            <w:hideMark/>
          </w:tcPr>
          <w:p w14:paraId="208FB256" w14:textId="77777777" w:rsidR="007966FB" w:rsidRPr="00AB4256" w:rsidRDefault="007966FB" w:rsidP="00AB4256">
            <w:pPr>
              <w:tabs>
                <w:tab w:val="clear" w:pos="284"/>
              </w:tabs>
              <w:spacing w:before="0" w:after="0"/>
              <w:jc w:val="center"/>
            </w:pPr>
            <w:r w:rsidRPr="00AB4256">
              <w:t>5</w:t>
            </w:r>
          </w:p>
        </w:tc>
        <w:tc>
          <w:tcPr>
            <w:tcW w:w="1361" w:type="dxa"/>
            <w:hideMark/>
          </w:tcPr>
          <w:p w14:paraId="43B95AA5" w14:textId="77777777" w:rsidR="007966FB" w:rsidRPr="00AB4256" w:rsidRDefault="007966FB" w:rsidP="00AB4256">
            <w:pPr>
              <w:tabs>
                <w:tab w:val="clear" w:pos="284"/>
              </w:tabs>
              <w:spacing w:before="0" w:after="0"/>
              <w:jc w:val="center"/>
            </w:pPr>
            <w:r w:rsidRPr="00AB4256">
              <w:t>5</w:t>
            </w:r>
          </w:p>
        </w:tc>
        <w:tc>
          <w:tcPr>
            <w:tcW w:w="1361" w:type="dxa"/>
            <w:hideMark/>
          </w:tcPr>
          <w:p w14:paraId="38D737C5" w14:textId="77777777" w:rsidR="007966FB" w:rsidRPr="00AB4256" w:rsidRDefault="007966FB" w:rsidP="00AB4256">
            <w:pPr>
              <w:tabs>
                <w:tab w:val="clear" w:pos="284"/>
              </w:tabs>
              <w:spacing w:before="0" w:after="0"/>
              <w:jc w:val="center"/>
            </w:pPr>
            <w:r w:rsidRPr="00AB4256">
              <w:t>4</w:t>
            </w:r>
          </w:p>
        </w:tc>
        <w:tc>
          <w:tcPr>
            <w:tcW w:w="1361" w:type="dxa"/>
            <w:hideMark/>
          </w:tcPr>
          <w:p w14:paraId="33835383" w14:textId="77777777" w:rsidR="007966FB" w:rsidRPr="00AB4256" w:rsidRDefault="007966FB" w:rsidP="00AB4256">
            <w:pPr>
              <w:tabs>
                <w:tab w:val="clear" w:pos="284"/>
              </w:tabs>
              <w:spacing w:before="0" w:after="0"/>
              <w:jc w:val="center"/>
            </w:pPr>
            <w:r w:rsidRPr="00AB4256">
              <w:t>4</w:t>
            </w:r>
          </w:p>
        </w:tc>
        <w:tc>
          <w:tcPr>
            <w:tcW w:w="1361" w:type="dxa"/>
            <w:hideMark/>
          </w:tcPr>
          <w:p w14:paraId="5027A55A" w14:textId="77777777" w:rsidR="007966FB" w:rsidRPr="00AB4256" w:rsidRDefault="007966FB" w:rsidP="00AB4256">
            <w:pPr>
              <w:tabs>
                <w:tab w:val="clear" w:pos="284"/>
              </w:tabs>
              <w:spacing w:before="0" w:after="0"/>
              <w:jc w:val="center"/>
            </w:pPr>
            <w:r w:rsidRPr="00AB4256">
              <w:t>5</w:t>
            </w:r>
          </w:p>
        </w:tc>
        <w:tc>
          <w:tcPr>
            <w:tcW w:w="1361" w:type="dxa"/>
            <w:hideMark/>
          </w:tcPr>
          <w:p w14:paraId="1BFF4297" w14:textId="77777777" w:rsidR="007966FB" w:rsidRPr="00AB4256" w:rsidRDefault="007966FB" w:rsidP="00AB4256">
            <w:pPr>
              <w:tabs>
                <w:tab w:val="clear" w:pos="284"/>
              </w:tabs>
              <w:spacing w:before="0" w:after="0"/>
              <w:jc w:val="center"/>
            </w:pPr>
            <w:r w:rsidRPr="00AB4256">
              <w:t>5</w:t>
            </w:r>
          </w:p>
        </w:tc>
        <w:tc>
          <w:tcPr>
            <w:tcW w:w="1361" w:type="dxa"/>
            <w:hideMark/>
          </w:tcPr>
          <w:p w14:paraId="2AAA6CFA" w14:textId="77777777" w:rsidR="007966FB" w:rsidRPr="00AB4256" w:rsidRDefault="007966FB" w:rsidP="00AB4256">
            <w:pPr>
              <w:tabs>
                <w:tab w:val="clear" w:pos="284"/>
              </w:tabs>
              <w:spacing w:before="0" w:after="0"/>
              <w:jc w:val="center"/>
            </w:pPr>
            <w:r w:rsidRPr="00AB4256">
              <w:t>3</w:t>
            </w:r>
          </w:p>
        </w:tc>
        <w:tc>
          <w:tcPr>
            <w:tcW w:w="1361" w:type="dxa"/>
            <w:hideMark/>
          </w:tcPr>
          <w:p w14:paraId="67238FA8" w14:textId="77777777" w:rsidR="007966FB" w:rsidRPr="00AB4256" w:rsidRDefault="007966FB" w:rsidP="00AB4256">
            <w:pPr>
              <w:tabs>
                <w:tab w:val="clear" w:pos="284"/>
              </w:tabs>
              <w:spacing w:before="0" w:after="0"/>
              <w:jc w:val="center"/>
            </w:pPr>
            <w:r w:rsidRPr="00AB4256">
              <w:t>4</w:t>
            </w:r>
          </w:p>
        </w:tc>
        <w:tc>
          <w:tcPr>
            <w:tcW w:w="957" w:type="dxa"/>
            <w:hideMark/>
          </w:tcPr>
          <w:p w14:paraId="5A4AFBE4" w14:textId="77777777" w:rsidR="007966FB" w:rsidRPr="00AB4256" w:rsidRDefault="007966FB" w:rsidP="00AB4256">
            <w:pPr>
              <w:tabs>
                <w:tab w:val="clear" w:pos="284"/>
              </w:tabs>
              <w:spacing w:before="0" w:after="0"/>
              <w:jc w:val="center"/>
            </w:pPr>
            <w:r w:rsidRPr="00AB4256">
              <w:t>4,4</w:t>
            </w:r>
          </w:p>
        </w:tc>
      </w:tr>
      <w:tr w:rsidR="00AB4256" w:rsidRPr="007966FB" w14:paraId="3B3F3AFE" w14:textId="77777777" w:rsidTr="00AB4256">
        <w:trPr>
          <w:cnfStyle w:val="000000100000" w:firstRow="0" w:lastRow="0" w:firstColumn="0" w:lastColumn="0" w:oddVBand="0" w:evenVBand="0" w:oddHBand="1" w:evenHBand="0" w:firstRowFirstColumn="0" w:firstRowLastColumn="0" w:lastRowFirstColumn="0" w:lastRowLastColumn="0"/>
          <w:trHeight w:val="500"/>
        </w:trPr>
        <w:tc>
          <w:tcPr>
            <w:tcW w:w="2268" w:type="dxa"/>
            <w:hideMark/>
          </w:tcPr>
          <w:p w14:paraId="7EFA8B02" w14:textId="77777777" w:rsidR="007966FB" w:rsidRPr="007966FB" w:rsidRDefault="007966FB" w:rsidP="007966FB">
            <w:pPr>
              <w:tabs>
                <w:tab w:val="clear" w:pos="284"/>
              </w:tabs>
              <w:spacing w:after="160"/>
              <w:rPr>
                <w:sz w:val="16"/>
              </w:rPr>
            </w:pPr>
            <w:r w:rsidRPr="007966FB">
              <w:rPr>
                <w:sz w:val="16"/>
              </w:rPr>
              <w:t>3. Bezpieczeństwo ruchu</w:t>
            </w:r>
          </w:p>
        </w:tc>
        <w:tc>
          <w:tcPr>
            <w:tcW w:w="1361" w:type="dxa"/>
            <w:hideMark/>
          </w:tcPr>
          <w:p w14:paraId="6CB3CA6E" w14:textId="77777777" w:rsidR="007966FB" w:rsidRPr="00AB4256" w:rsidRDefault="007966FB" w:rsidP="00AB4256">
            <w:pPr>
              <w:tabs>
                <w:tab w:val="clear" w:pos="284"/>
              </w:tabs>
              <w:spacing w:before="0" w:after="0"/>
              <w:jc w:val="center"/>
            </w:pPr>
            <w:r w:rsidRPr="00AB4256">
              <w:t>5</w:t>
            </w:r>
          </w:p>
        </w:tc>
        <w:tc>
          <w:tcPr>
            <w:tcW w:w="1361" w:type="dxa"/>
            <w:hideMark/>
          </w:tcPr>
          <w:p w14:paraId="4869BDCB" w14:textId="77777777" w:rsidR="007966FB" w:rsidRPr="00AB4256" w:rsidRDefault="007966FB" w:rsidP="00AB4256">
            <w:pPr>
              <w:tabs>
                <w:tab w:val="clear" w:pos="284"/>
              </w:tabs>
              <w:spacing w:before="0" w:after="0"/>
              <w:jc w:val="center"/>
            </w:pPr>
            <w:r w:rsidRPr="00AB4256">
              <w:t>4</w:t>
            </w:r>
          </w:p>
        </w:tc>
        <w:tc>
          <w:tcPr>
            <w:tcW w:w="1361" w:type="dxa"/>
            <w:hideMark/>
          </w:tcPr>
          <w:p w14:paraId="1BA2FAE0" w14:textId="77777777" w:rsidR="007966FB" w:rsidRPr="00AB4256" w:rsidRDefault="007966FB" w:rsidP="00AB4256">
            <w:pPr>
              <w:tabs>
                <w:tab w:val="clear" w:pos="284"/>
              </w:tabs>
              <w:spacing w:before="0" w:after="0"/>
              <w:jc w:val="center"/>
            </w:pPr>
            <w:r w:rsidRPr="00AB4256">
              <w:t>3</w:t>
            </w:r>
          </w:p>
        </w:tc>
        <w:tc>
          <w:tcPr>
            <w:tcW w:w="1361" w:type="dxa"/>
            <w:hideMark/>
          </w:tcPr>
          <w:p w14:paraId="567F2CF4" w14:textId="77777777" w:rsidR="007966FB" w:rsidRPr="00AB4256" w:rsidRDefault="007966FB" w:rsidP="00AB4256">
            <w:pPr>
              <w:tabs>
                <w:tab w:val="clear" w:pos="284"/>
              </w:tabs>
              <w:spacing w:before="0" w:after="0"/>
              <w:jc w:val="center"/>
            </w:pPr>
            <w:r w:rsidRPr="00AB4256">
              <w:t>4</w:t>
            </w:r>
          </w:p>
        </w:tc>
        <w:tc>
          <w:tcPr>
            <w:tcW w:w="1361" w:type="dxa"/>
            <w:hideMark/>
          </w:tcPr>
          <w:p w14:paraId="67EC74B7" w14:textId="77777777" w:rsidR="007966FB" w:rsidRPr="00AB4256" w:rsidRDefault="007966FB" w:rsidP="00AB4256">
            <w:pPr>
              <w:tabs>
                <w:tab w:val="clear" w:pos="284"/>
              </w:tabs>
              <w:spacing w:before="0" w:after="0"/>
              <w:jc w:val="center"/>
            </w:pPr>
            <w:r w:rsidRPr="00AB4256">
              <w:t>2</w:t>
            </w:r>
          </w:p>
        </w:tc>
        <w:tc>
          <w:tcPr>
            <w:tcW w:w="1361" w:type="dxa"/>
            <w:hideMark/>
          </w:tcPr>
          <w:p w14:paraId="754675C8" w14:textId="77777777" w:rsidR="007966FB" w:rsidRPr="00AB4256" w:rsidRDefault="007966FB" w:rsidP="00AB4256">
            <w:pPr>
              <w:tabs>
                <w:tab w:val="clear" w:pos="284"/>
              </w:tabs>
              <w:spacing w:before="0" w:after="0"/>
              <w:jc w:val="center"/>
            </w:pPr>
            <w:r w:rsidRPr="00AB4256">
              <w:t>4</w:t>
            </w:r>
          </w:p>
        </w:tc>
        <w:tc>
          <w:tcPr>
            <w:tcW w:w="1361" w:type="dxa"/>
            <w:hideMark/>
          </w:tcPr>
          <w:p w14:paraId="2B2169AD" w14:textId="77777777" w:rsidR="007966FB" w:rsidRPr="00AB4256" w:rsidRDefault="007966FB" w:rsidP="00AB4256">
            <w:pPr>
              <w:tabs>
                <w:tab w:val="clear" w:pos="284"/>
              </w:tabs>
              <w:spacing w:before="0" w:after="0"/>
              <w:jc w:val="center"/>
            </w:pPr>
            <w:r w:rsidRPr="00AB4256">
              <w:t>3</w:t>
            </w:r>
          </w:p>
        </w:tc>
        <w:tc>
          <w:tcPr>
            <w:tcW w:w="1361" w:type="dxa"/>
            <w:hideMark/>
          </w:tcPr>
          <w:p w14:paraId="3BDFDA9B" w14:textId="77777777" w:rsidR="007966FB" w:rsidRPr="00AB4256" w:rsidRDefault="007966FB" w:rsidP="00AB4256">
            <w:pPr>
              <w:tabs>
                <w:tab w:val="clear" w:pos="284"/>
              </w:tabs>
              <w:spacing w:before="0" w:after="0"/>
              <w:jc w:val="center"/>
            </w:pPr>
            <w:r w:rsidRPr="00AB4256">
              <w:t>3</w:t>
            </w:r>
          </w:p>
        </w:tc>
        <w:tc>
          <w:tcPr>
            <w:tcW w:w="957" w:type="dxa"/>
            <w:hideMark/>
          </w:tcPr>
          <w:p w14:paraId="15D22E19" w14:textId="77777777" w:rsidR="007966FB" w:rsidRPr="00AB4256" w:rsidRDefault="007966FB" w:rsidP="00AB4256">
            <w:pPr>
              <w:tabs>
                <w:tab w:val="clear" w:pos="284"/>
              </w:tabs>
              <w:spacing w:before="0" w:after="0"/>
              <w:jc w:val="center"/>
            </w:pPr>
            <w:r w:rsidRPr="00AB4256">
              <w:t>3,5</w:t>
            </w:r>
          </w:p>
        </w:tc>
      </w:tr>
      <w:tr w:rsidR="00AB4256" w:rsidRPr="007966FB" w14:paraId="045E38C8" w14:textId="77777777" w:rsidTr="00AB4256">
        <w:trPr>
          <w:trHeight w:val="500"/>
        </w:trPr>
        <w:tc>
          <w:tcPr>
            <w:tcW w:w="2268" w:type="dxa"/>
            <w:hideMark/>
          </w:tcPr>
          <w:p w14:paraId="03C6E7D0" w14:textId="77777777" w:rsidR="007966FB" w:rsidRPr="007966FB" w:rsidRDefault="007966FB" w:rsidP="007966FB">
            <w:pPr>
              <w:tabs>
                <w:tab w:val="clear" w:pos="284"/>
              </w:tabs>
              <w:spacing w:after="160"/>
              <w:rPr>
                <w:sz w:val="16"/>
              </w:rPr>
            </w:pPr>
            <w:r w:rsidRPr="007966FB">
              <w:rPr>
                <w:sz w:val="16"/>
              </w:rPr>
              <w:t>4. Bezpieczeństwo osobiste</w:t>
            </w:r>
          </w:p>
        </w:tc>
        <w:tc>
          <w:tcPr>
            <w:tcW w:w="1361" w:type="dxa"/>
            <w:hideMark/>
          </w:tcPr>
          <w:p w14:paraId="00B7B942" w14:textId="77777777" w:rsidR="007966FB" w:rsidRPr="00AB4256" w:rsidRDefault="007966FB" w:rsidP="00AB4256">
            <w:pPr>
              <w:tabs>
                <w:tab w:val="clear" w:pos="284"/>
              </w:tabs>
              <w:spacing w:before="0" w:after="0"/>
              <w:jc w:val="center"/>
            </w:pPr>
            <w:r w:rsidRPr="00AB4256">
              <w:t>4</w:t>
            </w:r>
          </w:p>
        </w:tc>
        <w:tc>
          <w:tcPr>
            <w:tcW w:w="1361" w:type="dxa"/>
            <w:hideMark/>
          </w:tcPr>
          <w:p w14:paraId="234AD047" w14:textId="77777777" w:rsidR="007966FB" w:rsidRPr="00AB4256" w:rsidRDefault="007966FB" w:rsidP="00AB4256">
            <w:pPr>
              <w:tabs>
                <w:tab w:val="clear" w:pos="284"/>
              </w:tabs>
              <w:spacing w:before="0" w:after="0"/>
              <w:jc w:val="center"/>
            </w:pPr>
            <w:r w:rsidRPr="00AB4256">
              <w:t>3</w:t>
            </w:r>
          </w:p>
        </w:tc>
        <w:tc>
          <w:tcPr>
            <w:tcW w:w="1361" w:type="dxa"/>
            <w:hideMark/>
          </w:tcPr>
          <w:p w14:paraId="0824E939" w14:textId="77777777" w:rsidR="007966FB" w:rsidRPr="00AB4256" w:rsidRDefault="007966FB" w:rsidP="00AB4256">
            <w:pPr>
              <w:tabs>
                <w:tab w:val="clear" w:pos="284"/>
              </w:tabs>
              <w:spacing w:before="0" w:after="0"/>
              <w:jc w:val="center"/>
            </w:pPr>
            <w:r w:rsidRPr="00AB4256">
              <w:t>4</w:t>
            </w:r>
          </w:p>
        </w:tc>
        <w:tc>
          <w:tcPr>
            <w:tcW w:w="1361" w:type="dxa"/>
            <w:hideMark/>
          </w:tcPr>
          <w:p w14:paraId="0B13DBE1" w14:textId="77777777" w:rsidR="007966FB" w:rsidRPr="00AB4256" w:rsidRDefault="007966FB" w:rsidP="00AB4256">
            <w:pPr>
              <w:tabs>
                <w:tab w:val="clear" w:pos="284"/>
              </w:tabs>
              <w:spacing w:before="0" w:after="0"/>
              <w:jc w:val="center"/>
            </w:pPr>
            <w:r w:rsidRPr="00AB4256">
              <w:t>3</w:t>
            </w:r>
          </w:p>
        </w:tc>
        <w:tc>
          <w:tcPr>
            <w:tcW w:w="1361" w:type="dxa"/>
            <w:hideMark/>
          </w:tcPr>
          <w:p w14:paraId="13E7105C" w14:textId="77777777" w:rsidR="007966FB" w:rsidRPr="00AB4256" w:rsidRDefault="007966FB" w:rsidP="00AB4256">
            <w:pPr>
              <w:tabs>
                <w:tab w:val="clear" w:pos="284"/>
              </w:tabs>
              <w:spacing w:before="0" w:after="0"/>
              <w:jc w:val="center"/>
            </w:pPr>
            <w:r w:rsidRPr="00AB4256">
              <w:t>4</w:t>
            </w:r>
          </w:p>
        </w:tc>
        <w:tc>
          <w:tcPr>
            <w:tcW w:w="1361" w:type="dxa"/>
            <w:hideMark/>
          </w:tcPr>
          <w:p w14:paraId="226B4B70" w14:textId="77777777" w:rsidR="007966FB" w:rsidRPr="00AB4256" w:rsidRDefault="007966FB" w:rsidP="00AB4256">
            <w:pPr>
              <w:tabs>
                <w:tab w:val="clear" w:pos="284"/>
              </w:tabs>
              <w:spacing w:before="0" w:after="0"/>
              <w:jc w:val="center"/>
            </w:pPr>
            <w:r w:rsidRPr="00AB4256">
              <w:t>3</w:t>
            </w:r>
          </w:p>
        </w:tc>
        <w:tc>
          <w:tcPr>
            <w:tcW w:w="1361" w:type="dxa"/>
            <w:hideMark/>
          </w:tcPr>
          <w:p w14:paraId="0939D7C1" w14:textId="77777777" w:rsidR="007966FB" w:rsidRPr="00AB4256" w:rsidRDefault="007966FB" w:rsidP="00AB4256">
            <w:pPr>
              <w:tabs>
                <w:tab w:val="clear" w:pos="284"/>
              </w:tabs>
              <w:spacing w:before="0" w:after="0"/>
              <w:jc w:val="center"/>
            </w:pPr>
            <w:r w:rsidRPr="00AB4256">
              <w:t>3</w:t>
            </w:r>
          </w:p>
        </w:tc>
        <w:tc>
          <w:tcPr>
            <w:tcW w:w="1361" w:type="dxa"/>
            <w:hideMark/>
          </w:tcPr>
          <w:p w14:paraId="0B16AA98" w14:textId="77777777" w:rsidR="007966FB" w:rsidRPr="00AB4256" w:rsidRDefault="007966FB" w:rsidP="00AB4256">
            <w:pPr>
              <w:tabs>
                <w:tab w:val="clear" w:pos="284"/>
              </w:tabs>
              <w:spacing w:before="0" w:after="0"/>
              <w:jc w:val="center"/>
            </w:pPr>
            <w:r w:rsidRPr="00AB4256">
              <w:t>3</w:t>
            </w:r>
          </w:p>
        </w:tc>
        <w:tc>
          <w:tcPr>
            <w:tcW w:w="957" w:type="dxa"/>
            <w:hideMark/>
          </w:tcPr>
          <w:p w14:paraId="7F9B5023" w14:textId="77777777" w:rsidR="007966FB" w:rsidRPr="00AB4256" w:rsidRDefault="007966FB" w:rsidP="00AB4256">
            <w:pPr>
              <w:tabs>
                <w:tab w:val="clear" w:pos="284"/>
              </w:tabs>
              <w:spacing w:before="0" w:after="0"/>
              <w:jc w:val="center"/>
            </w:pPr>
            <w:r w:rsidRPr="00AB4256">
              <w:t>3,4</w:t>
            </w:r>
          </w:p>
        </w:tc>
      </w:tr>
      <w:tr w:rsidR="00AB4256" w:rsidRPr="007966FB" w14:paraId="5F4A4B6F" w14:textId="77777777" w:rsidTr="00AB4256">
        <w:trPr>
          <w:cnfStyle w:val="000000100000" w:firstRow="0" w:lastRow="0" w:firstColumn="0" w:lastColumn="0" w:oddVBand="0" w:evenVBand="0" w:oddHBand="1" w:evenHBand="0" w:firstRowFirstColumn="0" w:firstRowLastColumn="0" w:lastRowFirstColumn="0" w:lastRowLastColumn="0"/>
          <w:trHeight w:val="500"/>
        </w:trPr>
        <w:tc>
          <w:tcPr>
            <w:tcW w:w="2268" w:type="dxa"/>
            <w:hideMark/>
          </w:tcPr>
          <w:p w14:paraId="2DB4F54C" w14:textId="77777777" w:rsidR="007966FB" w:rsidRPr="007966FB" w:rsidRDefault="007966FB" w:rsidP="007966FB">
            <w:pPr>
              <w:tabs>
                <w:tab w:val="clear" w:pos="284"/>
              </w:tabs>
              <w:spacing w:after="160"/>
              <w:rPr>
                <w:sz w:val="16"/>
              </w:rPr>
            </w:pPr>
            <w:r w:rsidRPr="007966FB">
              <w:rPr>
                <w:sz w:val="16"/>
              </w:rPr>
              <w:t>5. Wewnętrzna logika węzła</w:t>
            </w:r>
          </w:p>
        </w:tc>
        <w:tc>
          <w:tcPr>
            <w:tcW w:w="1361" w:type="dxa"/>
            <w:hideMark/>
          </w:tcPr>
          <w:p w14:paraId="123337A2" w14:textId="77777777" w:rsidR="007966FB" w:rsidRPr="00AB4256" w:rsidRDefault="007966FB" w:rsidP="00AB4256">
            <w:pPr>
              <w:tabs>
                <w:tab w:val="clear" w:pos="284"/>
              </w:tabs>
              <w:spacing w:before="0" w:after="0"/>
              <w:jc w:val="center"/>
            </w:pPr>
            <w:r w:rsidRPr="00AB4256">
              <w:t>5</w:t>
            </w:r>
          </w:p>
        </w:tc>
        <w:tc>
          <w:tcPr>
            <w:tcW w:w="1361" w:type="dxa"/>
            <w:hideMark/>
          </w:tcPr>
          <w:p w14:paraId="51E9FF38" w14:textId="77777777" w:rsidR="007966FB" w:rsidRPr="00AB4256" w:rsidRDefault="007966FB" w:rsidP="00AB4256">
            <w:pPr>
              <w:tabs>
                <w:tab w:val="clear" w:pos="284"/>
              </w:tabs>
              <w:spacing w:before="0" w:after="0"/>
              <w:jc w:val="center"/>
            </w:pPr>
            <w:r w:rsidRPr="00AB4256">
              <w:t>4</w:t>
            </w:r>
          </w:p>
        </w:tc>
        <w:tc>
          <w:tcPr>
            <w:tcW w:w="1361" w:type="dxa"/>
            <w:hideMark/>
          </w:tcPr>
          <w:p w14:paraId="18F0D81F" w14:textId="77777777" w:rsidR="007966FB" w:rsidRPr="00AB4256" w:rsidRDefault="007966FB" w:rsidP="00AB4256">
            <w:pPr>
              <w:tabs>
                <w:tab w:val="clear" w:pos="284"/>
              </w:tabs>
              <w:spacing w:before="0" w:after="0"/>
              <w:jc w:val="center"/>
            </w:pPr>
            <w:r w:rsidRPr="00AB4256">
              <w:t>3</w:t>
            </w:r>
          </w:p>
        </w:tc>
        <w:tc>
          <w:tcPr>
            <w:tcW w:w="1361" w:type="dxa"/>
            <w:hideMark/>
          </w:tcPr>
          <w:p w14:paraId="6A9FC964" w14:textId="77777777" w:rsidR="007966FB" w:rsidRPr="00AB4256" w:rsidRDefault="007966FB" w:rsidP="00AB4256">
            <w:pPr>
              <w:tabs>
                <w:tab w:val="clear" w:pos="284"/>
              </w:tabs>
              <w:spacing w:before="0" w:after="0"/>
              <w:jc w:val="center"/>
            </w:pPr>
            <w:r w:rsidRPr="00AB4256">
              <w:t>3</w:t>
            </w:r>
          </w:p>
        </w:tc>
        <w:tc>
          <w:tcPr>
            <w:tcW w:w="1361" w:type="dxa"/>
            <w:hideMark/>
          </w:tcPr>
          <w:p w14:paraId="0EFE0102" w14:textId="77777777" w:rsidR="007966FB" w:rsidRPr="00AB4256" w:rsidRDefault="007966FB" w:rsidP="00AB4256">
            <w:pPr>
              <w:tabs>
                <w:tab w:val="clear" w:pos="284"/>
              </w:tabs>
              <w:spacing w:before="0" w:after="0"/>
              <w:jc w:val="center"/>
            </w:pPr>
            <w:r w:rsidRPr="00AB4256">
              <w:t>3</w:t>
            </w:r>
          </w:p>
        </w:tc>
        <w:tc>
          <w:tcPr>
            <w:tcW w:w="1361" w:type="dxa"/>
            <w:hideMark/>
          </w:tcPr>
          <w:p w14:paraId="417970FC" w14:textId="77777777" w:rsidR="007966FB" w:rsidRPr="00AB4256" w:rsidRDefault="007966FB" w:rsidP="00AB4256">
            <w:pPr>
              <w:tabs>
                <w:tab w:val="clear" w:pos="284"/>
              </w:tabs>
              <w:spacing w:before="0" w:after="0"/>
              <w:jc w:val="center"/>
            </w:pPr>
            <w:r w:rsidRPr="00AB4256">
              <w:t>3</w:t>
            </w:r>
          </w:p>
        </w:tc>
        <w:tc>
          <w:tcPr>
            <w:tcW w:w="1361" w:type="dxa"/>
            <w:hideMark/>
          </w:tcPr>
          <w:p w14:paraId="6AF0436B" w14:textId="77777777" w:rsidR="007966FB" w:rsidRPr="00AB4256" w:rsidRDefault="007966FB" w:rsidP="00AB4256">
            <w:pPr>
              <w:tabs>
                <w:tab w:val="clear" w:pos="284"/>
              </w:tabs>
              <w:spacing w:before="0" w:after="0"/>
              <w:jc w:val="center"/>
            </w:pPr>
            <w:r w:rsidRPr="00AB4256">
              <w:t>3</w:t>
            </w:r>
          </w:p>
        </w:tc>
        <w:tc>
          <w:tcPr>
            <w:tcW w:w="1361" w:type="dxa"/>
            <w:hideMark/>
          </w:tcPr>
          <w:p w14:paraId="1E5751D7" w14:textId="77777777" w:rsidR="007966FB" w:rsidRPr="00AB4256" w:rsidRDefault="007966FB" w:rsidP="00AB4256">
            <w:pPr>
              <w:tabs>
                <w:tab w:val="clear" w:pos="284"/>
              </w:tabs>
              <w:spacing w:before="0" w:after="0"/>
              <w:jc w:val="center"/>
            </w:pPr>
            <w:r w:rsidRPr="00AB4256">
              <w:t>2</w:t>
            </w:r>
          </w:p>
        </w:tc>
        <w:tc>
          <w:tcPr>
            <w:tcW w:w="957" w:type="dxa"/>
            <w:hideMark/>
          </w:tcPr>
          <w:p w14:paraId="16EB6339" w14:textId="77777777" w:rsidR="007966FB" w:rsidRPr="00AB4256" w:rsidRDefault="007966FB" w:rsidP="00AB4256">
            <w:pPr>
              <w:tabs>
                <w:tab w:val="clear" w:pos="284"/>
              </w:tabs>
              <w:spacing w:before="0" w:after="0"/>
              <w:jc w:val="center"/>
            </w:pPr>
            <w:r w:rsidRPr="00AB4256">
              <w:t>3,3</w:t>
            </w:r>
          </w:p>
        </w:tc>
      </w:tr>
      <w:tr w:rsidR="00AB4256" w:rsidRPr="007966FB" w14:paraId="609F544B" w14:textId="77777777" w:rsidTr="00AB4256">
        <w:trPr>
          <w:trHeight w:val="500"/>
        </w:trPr>
        <w:tc>
          <w:tcPr>
            <w:tcW w:w="2268" w:type="dxa"/>
            <w:hideMark/>
          </w:tcPr>
          <w:p w14:paraId="403CD756" w14:textId="77777777" w:rsidR="007966FB" w:rsidRPr="007966FB" w:rsidRDefault="007966FB" w:rsidP="007966FB">
            <w:pPr>
              <w:tabs>
                <w:tab w:val="clear" w:pos="284"/>
              </w:tabs>
              <w:spacing w:after="160"/>
              <w:rPr>
                <w:sz w:val="16"/>
              </w:rPr>
            </w:pPr>
            <w:r w:rsidRPr="007966FB">
              <w:rPr>
                <w:sz w:val="16"/>
              </w:rPr>
              <w:t>6. Informacja pasażerska</w:t>
            </w:r>
          </w:p>
        </w:tc>
        <w:tc>
          <w:tcPr>
            <w:tcW w:w="1361" w:type="dxa"/>
            <w:hideMark/>
          </w:tcPr>
          <w:p w14:paraId="791DDB4D" w14:textId="77777777" w:rsidR="007966FB" w:rsidRPr="00AB4256" w:rsidRDefault="007966FB" w:rsidP="00AB4256">
            <w:pPr>
              <w:tabs>
                <w:tab w:val="clear" w:pos="284"/>
              </w:tabs>
              <w:spacing w:before="0" w:after="0"/>
              <w:jc w:val="center"/>
            </w:pPr>
            <w:r w:rsidRPr="00AB4256">
              <w:t>4</w:t>
            </w:r>
          </w:p>
        </w:tc>
        <w:tc>
          <w:tcPr>
            <w:tcW w:w="1361" w:type="dxa"/>
            <w:hideMark/>
          </w:tcPr>
          <w:p w14:paraId="097309BE" w14:textId="77777777" w:rsidR="007966FB" w:rsidRPr="00AB4256" w:rsidRDefault="007966FB" w:rsidP="00AB4256">
            <w:pPr>
              <w:tabs>
                <w:tab w:val="clear" w:pos="284"/>
              </w:tabs>
              <w:spacing w:before="0" w:after="0"/>
              <w:jc w:val="center"/>
            </w:pPr>
            <w:r w:rsidRPr="00AB4256">
              <w:t>4</w:t>
            </w:r>
          </w:p>
        </w:tc>
        <w:tc>
          <w:tcPr>
            <w:tcW w:w="1361" w:type="dxa"/>
            <w:hideMark/>
          </w:tcPr>
          <w:p w14:paraId="1D497FBD" w14:textId="77777777" w:rsidR="007966FB" w:rsidRPr="00AB4256" w:rsidRDefault="007966FB" w:rsidP="00AB4256">
            <w:pPr>
              <w:tabs>
                <w:tab w:val="clear" w:pos="284"/>
              </w:tabs>
              <w:spacing w:before="0" w:after="0"/>
              <w:jc w:val="center"/>
            </w:pPr>
            <w:r w:rsidRPr="00AB4256">
              <w:t>2</w:t>
            </w:r>
          </w:p>
        </w:tc>
        <w:tc>
          <w:tcPr>
            <w:tcW w:w="1361" w:type="dxa"/>
            <w:hideMark/>
          </w:tcPr>
          <w:p w14:paraId="27B6349A" w14:textId="77777777" w:rsidR="007966FB" w:rsidRPr="00AB4256" w:rsidRDefault="007966FB" w:rsidP="00AB4256">
            <w:pPr>
              <w:tabs>
                <w:tab w:val="clear" w:pos="284"/>
              </w:tabs>
              <w:spacing w:before="0" w:after="0"/>
              <w:jc w:val="center"/>
            </w:pPr>
            <w:r w:rsidRPr="00AB4256">
              <w:t>3</w:t>
            </w:r>
          </w:p>
        </w:tc>
        <w:tc>
          <w:tcPr>
            <w:tcW w:w="1361" w:type="dxa"/>
            <w:hideMark/>
          </w:tcPr>
          <w:p w14:paraId="140CC19A" w14:textId="77777777" w:rsidR="007966FB" w:rsidRPr="00AB4256" w:rsidRDefault="007966FB" w:rsidP="00AB4256">
            <w:pPr>
              <w:tabs>
                <w:tab w:val="clear" w:pos="284"/>
              </w:tabs>
              <w:spacing w:before="0" w:after="0"/>
              <w:jc w:val="center"/>
            </w:pPr>
            <w:r w:rsidRPr="00AB4256">
              <w:t>2</w:t>
            </w:r>
          </w:p>
        </w:tc>
        <w:tc>
          <w:tcPr>
            <w:tcW w:w="1361" w:type="dxa"/>
            <w:hideMark/>
          </w:tcPr>
          <w:p w14:paraId="486BF9A0" w14:textId="77777777" w:rsidR="007966FB" w:rsidRPr="00AB4256" w:rsidRDefault="007966FB" w:rsidP="00AB4256">
            <w:pPr>
              <w:tabs>
                <w:tab w:val="clear" w:pos="284"/>
              </w:tabs>
              <w:spacing w:before="0" w:after="0"/>
              <w:jc w:val="center"/>
            </w:pPr>
            <w:r w:rsidRPr="00AB4256">
              <w:t>2</w:t>
            </w:r>
          </w:p>
        </w:tc>
        <w:tc>
          <w:tcPr>
            <w:tcW w:w="1361" w:type="dxa"/>
            <w:hideMark/>
          </w:tcPr>
          <w:p w14:paraId="7154504E" w14:textId="77777777" w:rsidR="007966FB" w:rsidRPr="00AB4256" w:rsidRDefault="007966FB" w:rsidP="00AB4256">
            <w:pPr>
              <w:tabs>
                <w:tab w:val="clear" w:pos="284"/>
              </w:tabs>
              <w:spacing w:before="0" w:after="0"/>
              <w:jc w:val="center"/>
            </w:pPr>
            <w:r w:rsidRPr="00AB4256">
              <w:t>4</w:t>
            </w:r>
          </w:p>
        </w:tc>
        <w:tc>
          <w:tcPr>
            <w:tcW w:w="1361" w:type="dxa"/>
            <w:hideMark/>
          </w:tcPr>
          <w:p w14:paraId="4A99B0BA" w14:textId="77777777" w:rsidR="007966FB" w:rsidRPr="00AB4256" w:rsidRDefault="007966FB" w:rsidP="00AB4256">
            <w:pPr>
              <w:tabs>
                <w:tab w:val="clear" w:pos="284"/>
              </w:tabs>
              <w:spacing w:before="0" w:after="0"/>
              <w:jc w:val="center"/>
            </w:pPr>
            <w:r w:rsidRPr="00AB4256">
              <w:t>2</w:t>
            </w:r>
          </w:p>
        </w:tc>
        <w:tc>
          <w:tcPr>
            <w:tcW w:w="957" w:type="dxa"/>
            <w:hideMark/>
          </w:tcPr>
          <w:p w14:paraId="051DBB19" w14:textId="77777777" w:rsidR="007966FB" w:rsidRPr="00AB4256" w:rsidRDefault="007966FB" w:rsidP="00AB4256">
            <w:pPr>
              <w:tabs>
                <w:tab w:val="clear" w:pos="284"/>
              </w:tabs>
              <w:spacing w:before="0" w:after="0"/>
              <w:jc w:val="center"/>
            </w:pPr>
            <w:r w:rsidRPr="00AB4256">
              <w:t>2,9</w:t>
            </w:r>
          </w:p>
        </w:tc>
      </w:tr>
      <w:tr w:rsidR="00AB4256" w:rsidRPr="007966FB" w14:paraId="3DEF1B02" w14:textId="77777777" w:rsidTr="00AB4256">
        <w:trPr>
          <w:cnfStyle w:val="000000100000" w:firstRow="0" w:lastRow="0" w:firstColumn="0" w:lastColumn="0" w:oddVBand="0" w:evenVBand="0" w:oddHBand="1" w:evenHBand="0" w:firstRowFirstColumn="0" w:firstRowLastColumn="0" w:lastRowFirstColumn="0" w:lastRowLastColumn="0"/>
          <w:trHeight w:val="500"/>
        </w:trPr>
        <w:tc>
          <w:tcPr>
            <w:tcW w:w="2268" w:type="dxa"/>
            <w:hideMark/>
          </w:tcPr>
          <w:p w14:paraId="5B71B383" w14:textId="77777777" w:rsidR="007966FB" w:rsidRPr="007966FB" w:rsidRDefault="007966FB" w:rsidP="007966FB">
            <w:pPr>
              <w:tabs>
                <w:tab w:val="clear" w:pos="284"/>
              </w:tabs>
              <w:spacing w:after="160"/>
              <w:rPr>
                <w:sz w:val="16"/>
              </w:rPr>
            </w:pPr>
            <w:r w:rsidRPr="007966FB">
              <w:rPr>
                <w:sz w:val="16"/>
              </w:rPr>
              <w:t>7. Dostępność piesza i dla osób PRM</w:t>
            </w:r>
          </w:p>
        </w:tc>
        <w:tc>
          <w:tcPr>
            <w:tcW w:w="1361" w:type="dxa"/>
            <w:hideMark/>
          </w:tcPr>
          <w:p w14:paraId="34008281" w14:textId="77777777" w:rsidR="007966FB" w:rsidRPr="00AB4256" w:rsidRDefault="007966FB" w:rsidP="00AB4256">
            <w:pPr>
              <w:tabs>
                <w:tab w:val="clear" w:pos="284"/>
              </w:tabs>
              <w:spacing w:before="0" w:after="0"/>
              <w:jc w:val="center"/>
            </w:pPr>
            <w:r w:rsidRPr="00AB4256">
              <w:t>4</w:t>
            </w:r>
          </w:p>
        </w:tc>
        <w:tc>
          <w:tcPr>
            <w:tcW w:w="1361" w:type="dxa"/>
            <w:hideMark/>
          </w:tcPr>
          <w:p w14:paraId="129B6782" w14:textId="77777777" w:rsidR="007966FB" w:rsidRPr="00AB4256" w:rsidRDefault="007966FB" w:rsidP="00AB4256">
            <w:pPr>
              <w:tabs>
                <w:tab w:val="clear" w:pos="284"/>
              </w:tabs>
              <w:spacing w:before="0" w:after="0"/>
              <w:jc w:val="center"/>
            </w:pPr>
            <w:r w:rsidRPr="00AB4256">
              <w:t>3</w:t>
            </w:r>
          </w:p>
        </w:tc>
        <w:tc>
          <w:tcPr>
            <w:tcW w:w="1361" w:type="dxa"/>
            <w:hideMark/>
          </w:tcPr>
          <w:p w14:paraId="6EDE9521" w14:textId="77777777" w:rsidR="007966FB" w:rsidRPr="00AB4256" w:rsidRDefault="007966FB" w:rsidP="00AB4256">
            <w:pPr>
              <w:tabs>
                <w:tab w:val="clear" w:pos="284"/>
              </w:tabs>
              <w:spacing w:before="0" w:after="0"/>
              <w:jc w:val="center"/>
            </w:pPr>
            <w:r w:rsidRPr="00AB4256">
              <w:t>4</w:t>
            </w:r>
          </w:p>
        </w:tc>
        <w:tc>
          <w:tcPr>
            <w:tcW w:w="1361" w:type="dxa"/>
            <w:hideMark/>
          </w:tcPr>
          <w:p w14:paraId="6C0C07F3" w14:textId="77777777" w:rsidR="007966FB" w:rsidRPr="00AB4256" w:rsidRDefault="007966FB" w:rsidP="00AB4256">
            <w:pPr>
              <w:tabs>
                <w:tab w:val="clear" w:pos="284"/>
              </w:tabs>
              <w:spacing w:before="0" w:after="0"/>
              <w:jc w:val="center"/>
            </w:pPr>
            <w:r w:rsidRPr="00AB4256">
              <w:t>3</w:t>
            </w:r>
          </w:p>
        </w:tc>
        <w:tc>
          <w:tcPr>
            <w:tcW w:w="1361" w:type="dxa"/>
            <w:hideMark/>
          </w:tcPr>
          <w:p w14:paraId="2499E3F3" w14:textId="77777777" w:rsidR="007966FB" w:rsidRPr="00AB4256" w:rsidRDefault="007966FB" w:rsidP="00AB4256">
            <w:pPr>
              <w:tabs>
                <w:tab w:val="clear" w:pos="284"/>
              </w:tabs>
              <w:spacing w:before="0" w:after="0"/>
              <w:jc w:val="center"/>
            </w:pPr>
            <w:r w:rsidRPr="00AB4256">
              <w:t>3</w:t>
            </w:r>
          </w:p>
        </w:tc>
        <w:tc>
          <w:tcPr>
            <w:tcW w:w="1361" w:type="dxa"/>
            <w:hideMark/>
          </w:tcPr>
          <w:p w14:paraId="3ECA9FB1" w14:textId="77777777" w:rsidR="007966FB" w:rsidRPr="00AB4256" w:rsidRDefault="007966FB" w:rsidP="00AB4256">
            <w:pPr>
              <w:tabs>
                <w:tab w:val="clear" w:pos="284"/>
              </w:tabs>
              <w:spacing w:before="0" w:after="0"/>
              <w:jc w:val="center"/>
            </w:pPr>
            <w:r w:rsidRPr="00AB4256">
              <w:t>3</w:t>
            </w:r>
          </w:p>
        </w:tc>
        <w:tc>
          <w:tcPr>
            <w:tcW w:w="1361" w:type="dxa"/>
            <w:hideMark/>
          </w:tcPr>
          <w:p w14:paraId="7E5D2EE6" w14:textId="77777777" w:rsidR="007966FB" w:rsidRPr="00AB4256" w:rsidRDefault="007966FB" w:rsidP="00AB4256">
            <w:pPr>
              <w:tabs>
                <w:tab w:val="clear" w:pos="284"/>
              </w:tabs>
              <w:spacing w:before="0" w:after="0"/>
              <w:jc w:val="center"/>
            </w:pPr>
            <w:r w:rsidRPr="00AB4256">
              <w:t>3</w:t>
            </w:r>
          </w:p>
        </w:tc>
        <w:tc>
          <w:tcPr>
            <w:tcW w:w="1361" w:type="dxa"/>
            <w:hideMark/>
          </w:tcPr>
          <w:p w14:paraId="57DD3972" w14:textId="77777777" w:rsidR="007966FB" w:rsidRPr="00AB4256" w:rsidRDefault="007966FB" w:rsidP="00AB4256">
            <w:pPr>
              <w:tabs>
                <w:tab w:val="clear" w:pos="284"/>
              </w:tabs>
              <w:spacing w:before="0" w:after="0"/>
              <w:jc w:val="center"/>
            </w:pPr>
            <w:r w:rsidRPr="00AB4256">
              <w:t>3</w:t>
            </w:r>
          </w:p>
        </w:tc>
        <w:tc>
          <w:tcPr>
            <w:tcW w:w="957" w:type="dxa"/>
            <w:hideMark/>
          </w:tcPr>
          <w:p w14:paraId="5CF1A90C" w14:textId="77777777" w:rsidR="007966FB" w:rsidRPr="00AB4256" w:rsidRDefault="007966FB" w:rsidP="00AB4256">
            <w:pPr>
              <w:tabs>
                <w:tab w:val="clear" w:pos="284"/>
              </w:tabs>
              <w:spacing w:before="0" w:after="0"/>
              <w:jc w:val="center"/>
            </w:pPr>
            <w:r w:rsidRPr="00AB4256">
              <w:t>3,3</w:t>
            </w:r>
          </w:p>
        </w:tc>
      </w:tr>
      <w:tr w:rsidR="00AB4256" w:rsidRPr="007966FB" w14:paraId="663DD0AA" w14:textId="77777777" w:rsidTr="00AB4256">
        <w:trPr>
          <w:trHeight w:val="500"/>
        </w:trPr>
        <w:tc>
          <w:tcPr>
            <w:tcW w:w="2268" w:type="dxa"/>
            <w:hideMark/>
          </w:tcPr>
          <w:p w14:paraId="18EBF9EA" w14:textId="77777777" w:rsidR="007966FB" w:rsidRPr="007966FB" w:rsidRDefault="007966FB" w:rsidP="007966FB">
            <w:pPr>
              <w:tabs>
                <w:tab w:val="clear" w:pos="284"/>
              </w:tabs>
              <w:spacing w:after="160"/>
              <w:rPr>
                <w:sz w:val="16"/>
              </w:rPr>
            </w:pPr>
            <w:r w:rsidRPr="007966FB">
              <w:rPr>
                <w:sz w:val="16"/>
              </w:rPr>
              <w:t>8. Dostępność parkingowa</w:t>
            </w:r>
          </w:p>
        </w:tc>
        <w:tc>
          <w:tcPr>
            <w:tcW w:w="1361" w:type="dxa"/>
            <w:hideMark/>
          </w:tcPr>
          <w:p w14:paraId="2FDF45D9" w14:textId="77777777" w:rsidR="007966FB" w:rsidRPr="00AB4256" w:rsidRDefault="007966FB" w:rsidP="00AB4256">
            <w:pPr>
              <w:tabs>
                <w:tab w:val="clear" w:pos="284"/>
              </w:tabs>
              <w:spacing w:before="0" w:after="0"/>
              <w:jc w:val="center"/>
            </w:pPr>
            <w:r w:rsidRPr="00AB4256">
              <w:t>4</w:t>
            </w:r>
          </w:p>
        </w:tc>
        <w:tc>
          <w:tcPr>
            <w:tcW w:w="1361" w:type="dxa"/>
            <w:hideMark/>
          </w:tcPr>
          <w:p w14:paraId="23876662" w14:textId="77777777" w:rsidR="007966FB" w:rsidRPr="00AB4256" w:rsidRDefault="007966FB" w:rsidP="00AB4256">
            <w:pPr>
              <w:tabs>
                <w:tab w:val="clear" w:pos="284"/>
              </w:tabs>
              <w:spacing w:before="0" w:after="0"/>
              <w:jc w:val="center"/>
            </w:pPr>
            <w:r w:rsidRPr="00AB4256">
              <w:t>4</w:t>
            </w:r>
          </w:p>
        </w:tc>
        <w:tc>
          <w:tcPr>
            <w:tcW w:w="1361" w:type="dxa"/>
            <w:hideMark/>
          </w:tcPr>
          <w:p w14:paraId="1C6F7B32" w14:textId="77777777" w:rsidR="007966FB" w:rsidRPr="00AB4256" w:rsidRDefault="007966FB" w:rsidP="00AB4256">
            <w:pPr>
              <w:tabs>
                <w:tab w:val="clear" w:pos="284"/>
              </w:tabs>
              <w:spacing w:before="0" w:after="0"/>
              <w:jc w:val="center"/>
            </w:pPr>
            <w:r w:rsidRPr="00AB4256">
              <w:t>4</w:t>
            </w:r>
          </w:p>
        </w:tc>
        <w:tc>
          <w:tcPr>
            <w:tcW w:w="1361" w:type="dxa"/>
            <w:hideMark/>
          </w:tcPr>
          <w:p w14:paraId="7BD5EC7A" w14:textId="77777777" w:rsidR="007966FB" w:rsidRPr="00AB4256" w:rsidRDefault="007966FB" w:rsidP="00AB4256">
            <w:pPr>
              <w:tabs>
                <w:tab w:val="clear" w:pos="284"/>
              </w:tabs>
              <w:spacing w:before="0" w:after="0"/>
              <w:jc w:val="center"/>
            </w:pPr>
            <w:r w:rsidRPr="00AB4256">
              <w:t>3</w:t>
            </w:r>
          </w:p>
        </w:tc>
        <w:tc>
          <w:tcPr>
            <w:tcW w:w="1361" w:type="dxa"/>
            <w:hideMark/>
          </w:tcPr>
          <w:p w14:paraId="58DDF0D1" w14:textId="77777777" w:rsidR="007966FB" w:rsidRPr="00AB4256" w:rsidRDefault="007966FB" w:rsidP="00AB4256">
            <w:pPr>
              <w:tabs>
                <w:tab w:val="clear" w:pos="284"/>
              </w:tabs>
              <w:spacing w:before="0" w:after="0"/>
              <w:jc w:val="center"/>
            </w:pPr>
            <w:r w:rsidRPr="00AB4256">
              <w:t>2</w:t>
            </w:r>
          </w:p>
        </w:tc>
        <w:tc>
          <w:tcPr>
            <w:tcW w:w="1361" w:type="dxa"/>
            <w:hideMark/>
          </w:tcPr>
          <w:p w14:paraId="556C5C5D" w14:textId="77777777" w:rsidR="007966FB" w:rsidRPr="00AB4256" w:rsidRDefault="007966FB" w:rsidP="00AB4256">
            <w:pPr>
              <w:tabs>
                <w:tab w:val="clear" w:pos="284"/>
              </w:tabs>
              <w:spacing w:before="0" w:after="0"/>
              <w:jc w:val="center"/>
            </w:pPr>
            <w:r w:rsidRPr="00AB4256">
              <w:t>4</w:t>
            </w:r>
          </w:p>
        </w:tc>
        <w:tc>
          <w:tcPr>
            <w:tcW w:w="1361" w:type="dxa"/>
            <w:hideMark/>
          </w:tcPr>
          <w:p w14:paraId="39203ED7" w14:textId="77777777" w:rsidR="007966FB" w:rsidRPr="00AB4256" w:rsidRDefault="007966FB" w:rsidP="00AB4256">
            <w:pPr>
              <w:tabs>
                <w:tab w:val="clear" w:pos="284"/>
              </w:tabs>
              <w:spacing w:before="0" w:after="0"/>
              <w:jc w:val="center"/>
            </w:pPr>
            <w:r w:rsidRPr="00AB4256">
              <w:t>1</w:t>
            </w:r>
          </w:p>
        </w:tc>
        <w:tc>
          <w:tcPr>
            <w:tcW w:w="1361" w:type="dxa"/>
            <w:hideMark/>
          </w:tcPr>
          <w:p w14:paraId="25179CE4" w14:textId="77777777" w:rsidR="007966FB" w:rsidRPr="00AB4256" w:rsidRDefault="007966FB" w:rsidP="00AB4256">
            <w:pPr>
              <w:tabs>
                <w:tab w:val="clear" w:pos="284"/>
              </w:tabs>
              <w:spacing w:before="0" w:after="0"/>
              <w:jc w:val="center"/>
            </w:pPr>
            <w:r w:rsidRPr="00AB4256">
              <w:t>3</w:t>
            </w:r>
          </w:p>
        </w:tc>
        <w:tc>
          <w:tcPr>
            <w:tcW w:w="957" w:type="dxa"/>
            <w:hideMark/>
          </w:tcPr>
          <w:p w14:paraId="15EAA80E" w14:textId="77777777" w:rsidR="007966FB" w:rsidRPr="00AB4256" w:rsidRDefault="007966FB" w:rsidP="00AB4256">
            <w:pPr>
              <w:tabs>
                <w:tab w:val="clear" w:pos="284"/>
              </w:tabs>
              <w:spacing w:before="0" w:after="0"/>
              <w:jc w:val="center"/>
            </w:pPr>
            <w:r w:rsidRPr="00AB4256">
              <w:t>3,1</w:t>
            </w:r>
          </w:p>
        </w:tc>
      </w:tr>
      <w:tr w:rsidR="00AB4256" w:rsidRPr="007966FB" w14:paraId="1E1058A6" w14:textId="77777777" w:rsidTr="00AB4256">
        <w:trPr>
          <w:cnfStyle w:val="000000100000" w:firstRow="0" w:lastRow="0" w:firstColumn="0" w:lastColumn="0" w:oddVBand="0" w:evenVBand="0" w:oddHBand="1" w:evenHBand="0" w:firstRowFirstColumn="0" w:firstRowLastColumn="0" w:lastRowFirstColumn="0" w:lastRowLastColumn="0"/>
          <w:trHeight w:val="500"/>
        </w:trPr>
        <w:tc>
          <w:tcPr>
            <w:tcW w:w="2268" w:type="dxa"/>
            <w:hideMark/>
          </w:tcPr>
          <w:p w14:paraId="6C7AF0B5" w14:textId="77777777" w:rsidR="007966FB" w:rsidRPr="007966FB" w:rsidRDefault="007966FB" w:rsidP="00AB4256">
            <w:pPr>
              <w:tabs>
                <w:tab w:val="clear" w:pos="284"/>
              </w:tabs>
              <w:spacing w:after="160"/>
              <w:jc w:val="left"/>
              <w:rPr>
                <w:sz w:val="16"/>
              </w:rPr>
            </w:pPr>
            <w:r w:rsidRPr="007966FB">
              <w:rPr>
                <w:sz w:val="16"/>
              </w:rPr>
              <w:t>9. Obecność dodatkowych elementów na węźle</w:t>
            </w:r>
          </w:p>
        </w:tc>
        <w:tc>
          <w:tcPr>
            <w:tcW w:w="1361" w:type="dxa"/>
            <w:hideMark/>
          </w:tcPr>
          <w:p w14:paraId="43713F9F" w14:textId="77777777" w:rsidR="007966FB" w:rsidRPr="00AB4256" w:rsidRDefault="007966FB" w:rsidP="00AB4256">
            <w:pPr>
              <w:tabs>
                <w:tab w:val="clear" w:pos="284"/>
              </w:tabs>
              <w:spacing w:before="0" w:after="0"/>
              <w:jc w:val="center"/>
            </w:pPr>
            <w:r w:rsidRPr="00AB4256">
              <w:t>4</w:t>
            </w:r>
          </w:p>
        </w:tc>
        <w:tc>
          <w:tcPr>
            <w:tcW w:w="1361" w:type="dxa"/>
            <w:hideMark/>
          </w:tcPr>
          <w:p w14:paraId="6AA297F1" w14:textId="77777777" w:rsidR="007966FB" w:rsidRPr="00AB4256" w:rsidRDefault="007966FB" w:rsidP="00AB4256">
            <w:pPr>
              <w:tabs>
                <w:tab w:val="clear" w:pos="284"/>
              </w:tabs>
              <w:spacing w:before="0" w:after="0"/>
              <w:jc w:val="center"/>
            </w:pPr>
            <w:r w:rsidRPr="00AB4256">
              <w:t>5</w:t>
            </w:r>
          </w:p>
        </w:tc>
        <w:tc>
          <w:tcPr>
            <w:tcW w:w="1361" w:type="dxa"/>
            <w:hideMark/>
          </w:tcPr>
          <w:p w14:paraId="7AABE8F1" w14:textId="77777777" w:rsidR="007966FB" w:rsidRPr="00AB4256" w:rsidRDefault="007966FB" w:rsidP="00AB4256">
            <w:pPr>
              <w:tabs>
                <w:tab w:val="clear" w:pos="284"/>
              </w:tabs>
              <w:spacing w:before="0" w:after="0"/>
              <w:jc w:val="center"/>
            </w:pPr>
            <w:r w:rsidRPr="00AB4256">
              <w:t>5</w:t>
            </w:r>
          </w:p>
        </w:tc>
        <w:tc>
          <w:tcPr>
            <w:tcW w:w="1361" w:type="dxa"/>
            <w:hideMark/>
          </w:tcPr>
          <w:p w14:paraId="30145113" w14:textId="77777777" w:rsidR="007966FB" w:rsidRPr="00AB4256" w:rsidRDefault="007966FB" w:rsidP="00AB4256">
            <w:pPr>
              <w:tabs>
                <w:tab w:val="clear" w:pos="284"/>
              </w:tabs>
              <w:spacing w:before="0" w:after="0"/>
              <w:jc w:val="center"/>
            </w:pPr>
            <w:r w:rsidRPr="00AB4256">
              <w:t>3</w:t>
            </w:r>
          </w:p>
        </w:tc>
        <w:tc>
          <w:tcPr>
            <w:tcW w:w="1361" w:type="dxa"/>
            <w:hideMark/>
          </w:tcPr>
          <w:p w14:paraId="1677128F" w14:textId="77777777" w:rsidR="007966FB" w:rsidRPr="00AB4256" w:rsidRDefault="007966FB" w:rsidP="00AB4256">
            <w:pPr>
              <w:tabs>
                <w:tab w:val="clear" w:pos="284"/>
              </w:tabs>
              <w:spacing w:before="0" w:after="0"/>
              <w:jc w:val="center"/>
            </w:pPr>
            <w:r w:rsidRPr="00AB4256">
              <w:t>5</w:t>
            </w:r>
          </w:p>
        </w:tc>
        <w:tc>
          <w:tcPr>
            <w:tcW w:w="1361" w:type="dxa"/>
            <w:hideMark/>
          </w:tcPr>
          <w:p w14:paraId="710FA474" w14:textId="77777777" w:rsidR="007966FB" w:rsidRPr="00AB4256" w:rsidRDefault="007966FB" w:rsidP="00AB4256">
            <w:pPr>
              <w:tabs>
                <w:tab w:val="clear" w:pos="284"/>
              </w:tabs>
              <w:spacing w:before="0" w:after="0"/>
              <w:jc w:val="center"/>
            </w:pPr>
            <w:r w:rsidRPr="00AB4256">
              <w:t>1</w:t>
            </w:r>
          </w:p>
        </w:tc>
        <w:tc>
          <w:tcPr>
            <w:tcW w:w="1361" w:type="dxa"/>
            <w:hideMark/>
          </w:tcPr>
          <w:p w14:paraId="0024F24D" w14:textId="77777777" w:rsidR="007966FB" w:rsidRPr="00AB4256" w:rsidRDefault="007966FB" w:rsidP="00AB4256">
            <w:pPr>
              <w:tabs>
                <w:tab w:val="clear" w:pos="284"/>
              </w:tabs>
              <w:spacing w:before="0" w:after="0"/>
              <w:jc w:val="center"/>
            </w:pPr>
            <w:r w:rsidRPr="00AB4256">
              <w:t>4</w:t>
            </w:r>
          </w:p>
        </w:tc>
        <w:tc>
          <w:tcPr>
            <w:tcW w:w="1361" w:type="dxa"/>
            <w:hideMark/>
          </w:tcPr>
          <w:p w14:paraId="247026B3" w14:textId="77777777" w:rsidR="007966FB" w:rsidRPr="00AB4256" w:rsidRDefault="007966FB" w:rsidP="00AB4256">
            <w:pPr>
              <w:tabs>
                <w:tab w:val="clear" w:pos="284"/>
              </w:tabs>
              <w:spacing w:before="0" w:after="0"/>
              <w:jc w:val="center"/>
            </w:pPr>
            <w:r w:rsidRPr="00AB4256">
              <w:t>3</w:t>
            </w:r>
          </w:p>
        </w:tc>
        <w:tc>
          <w:tcPr>
            <w:tcW w:w="957" w:type="dxa"/>
            <w:hideMark/>
          </w:tcPr>
          <w:p w14:paraId="7D8979BE" w14:textId="77777777" w:rsidR="007966FB" w:rsidRPr="00AB4256" w:rsidRDefault="007966FB" w:rsidP="00AB4256">
            <w:pPr>
              <w:tabs>
                <w:tab w:val="clear" w:pos="284"/>
              </w:tabs>
              <w:spacing w:before="0" w:after="0"/>
              <w:jc w:val="center"/>
            </w:pPr>
            <w:r w:rsidRPr="00AB4256">
              <w:t>3,8</w:t>
            </w:r>
          </w:p>
        </w:tc>
      </w:tr>
      <w:tr w:rsidR="00AB4256" w:rsidRPr="007966FB" w14:paraId="2825F8D6" w14:textId="77777777" w:rsidTr="00AB4256">
        <w:trPr>
          <w:trHeight w:val="785"/>
        </w:trPr>
        <w:tc>
          <w:tcPr>
            <w:tcW w:w="2268" w:type="dxa"/>
            <w:hideMark/>
          </w:tcPr>
          <w:p w14:paraId="74259E0F" w14:textId="77777777" w:rsidR="007966FB" w:rsidRPr="007966FB" w:rsidRDefault="007966FB" w:rsidP="007966FB">
            <w:pPr>
              <w:tabs>
                <w:tab w:val="clear" w:pos="284"/>
              </w:tabs>
              <w:spacing w:after="160"/>
              <w:rPr>
                <w:sz w:val="16"/>
              </w:rPr>
            </w:pPr>
            <w:r w:rsidRPr="007966FB">
              <w:rPr>
                <w:sz w:val="16"/>
              </w:rPr>
              <w:t>ŚREDNIA Z OCEN</w:t>
            </w:r>
          </w:p>
        </w:tc>
        <w:tc>
          <w:tcPr>
            <w:tcW w:w="1361" w:type="dxa"/>
            <w:hideMark/>
          </w:tcPr>
          <w:p w14:paraId="622DA9C5" w14:textId="1F641976" w:rsidR="007966FB" w:rsidRPr="007966FB" w:rsidRDefault="007966FB" w:rsidP="00AB4256">
            <w:pPr>
              <w:tabs>
                <w:tab w:val="clear" w:pos="284"/>
              </w:tabs>
              <w:spacing w:after="160"/>
              <w:jc w:val="center"/>
              <w:rPr>
                <w:sz w:val="16"/>
              </w:rPr>
            </w:pPr>
            <w:r w:rsidRPr="007966FB">
              <w:rPr>
                <w:sz w:val="16"/>
              </w:rPr>
              <w:t>4,44 ≈</w:t>
            </w:r>
            <w:r w:rsidR="00AB4256">
              <w:rPr>
                <w:sz w:val="16"/>
              </w:rPr>
              <w:br/>
            </w:r>
            <w:r w:rsidRPr="007966FB">
              <w:rPr>
                <w:sz w:val="16"/>
              </w:rPr>
              <w:t xml:space="preserve"> Dobra (4)</w:t>
            </w:r>
          </w:p>
        </w:tc>
        <w:tc>
          <w:tcPr>
            <w:tcW w:w="1361" w:type="dxa"/>
            <w:hideMark/>
          </w:tcPr>
          <w:p w14:paraId="0CD6E261" w14:textId="712B262A" w:rsidR="007966FB" w:rsidRPr="007966FB" w:rsidRDefault="007966FB" w:rsidP="00AB4256">
            <w:pPr>
              <w:tabs>
                <w:tab w:val="clear" w:pos="284"/>
              </w:tabs>
              <w:spacing w:after="160"/>
              <w:jc w:val="center"/>
              <w:rPr>
                <w:sz w:val="16"/>
              </w:rPr>
            </w:pPr>
            <w:r w:rsidRPr="007966FB">
              <w:rPr>
                <w:sz w:val="16"/>
              </w:rPr>
              <w:t xml:space="preserve">4,11 ≈ </w:t>
            </w:r>
            <w:r w:rsidR="00AB4256">
              <w:rPr>
                <w:sz w:val="16"/>
              </w:rPr>
              <w:br/>
            </w:r>
            <w:r w:rsidRPr="007966FB">
              <w:rPr>
                <w:sz w:val="16"/>
              </w:rPr>
              <w:t>Dobra (4)</w:t>
            </w:r>
          </w:p>
        </w:tc>
        <w:tc>
          <w:tcPr>
            <w:tcW w:w="1361" w:type="dxa"/>
            <w:hideMark/>
          </w:tcPr>
          <w:p w14:paraId="2AB767B9" w14:textId="5D932624" w:rsidR="007966FB" w:rsidRPr="007966FB" w:rsidRDefault="007966FB" w:rsidP="00AB4256">
            <w:pPr>
              <w:tabs>
                <w:tab w:val="clear" w:pos="284"/>
              </w:tabs>
              <w:spacing w:after="160"/>
              <w:jc w:val="center"/>
              <w:rPr>
                <w:sz w:val="16"/>
              </w:rPr>
            </w:pPr>
            <w:r w:rsidRPr="007966FB">
              <w:rPr>
                <w:sz w:val="16"/>
              </w:rPr>
              <w:t xml:space="preserve">3,44 ≈ </w:t>
            </w:r>
            <w:r w:rsidR="00AB4256">
              <w:rPr>
                <w:sz w:val="16"/>
              </w:rPr>
              <w:br/>
            </w:r>
            <w:r w:rsidRPr="007966FB">
              <w:rPr>
                <w:sz w:val="16"/>
              </w:rPr>
              <w:t>Średnia (3)</w:t>
            </w:r>
          </w:p>
        </w:tc>
        <w:tc>
          <w:tcPr>
            <w:tcW w:w="1361" w:type="dxa"/>
            <w:hideMark/>
          </w:tcPr>
          <w:p w14:paraId="5912FECB" w14:textId="059D44FA" w:rsidR="007966FB" w:rsidRPr="007966FB" w:rsidRDefault="007966FB" w:rsidP="00AB4256">
            <w:pPr>
              <w:tabs>
                <w:tab w:val="clear" w:pos="284"/>
              </w:tabs>
              <w:spacing w:after="160"/>
              <w:jc w:val="center"/>
              <w:rPr>
                <w:sz w:val="16"/>
              </w:rPr>
            </w:pPr>
            <w:r w:rsidRPr="007966FB">
              <w:rPr>
                <w:sz w:val="16"/>
              </w:rPr>
              <w:t xml:space="preserve">3,33 ≈ </w:t>
            </w:r>
            <w:r w:rsidR="00024ECA">
              <w:rPr>
                <w:sz w:val="16"/>
              </w:rPr>
              <w:br/>
            </w:r>
            <w:r w:rsidRPr="007966FB">
              <w:rPr>
                <w:sz w:val="16"/>
              </w:rPr>
              <w:t>Średnia (3)</w:t>
            </w:r>
          </w:p>
        </w:tc>
        <w:tc>
          <w:tcPr>
            <w:tcW w:w="1361" w:type="dxa"/>
            <w:hideMark/>
          </w:tcPr>
          <w:p w14:paraId="48C5A2BD" w14:textId="64243F09" w:rsidR="007966FB" w:rsidRPr="007966FB" w:rsidRDefault="007966FB" w:rsidP="00AB4256">
            <w:pPr>
              <w:tabs>
                <w:tab w:val="clear" w:pos="284"/>
              </w:tabs>
              <w:spacing w:after="160"/>
              <w:jc w:val="center"/>
              <w:rPr>
                <w:sz w:val="16"/>
              </w:rPr>
            </w:pPr>
            <w:r w:rsidRPr="007966FB">
              <w:rPr>
                <w:sz w:val="16"/>
              </w:rPr>
              <w:t xml:space="preserve">3,22 ≈ </w:t>
            </w:r>
            <w:r w:rsidR="00AB4256">
              <w:rPr>
                <w:sz w:val="16"/>
              </w:rPr>
              <w:br/>
            </w:r>
            <w:r w:rsidRPr="007966FB">
              <w:rPr>
                <w:sz w:val="16"/>
              </w:rPr>
              <w:t>Średnia (3)</w:t>
            </w:r>
          </w:p>
        </w:tc>
        <w:tc>
          <w:tcPr>
            <w:tcW w:w="1361" w:type="dxa"/>
            <w:hideMark/>
          </w:tcPr>
          <w:p w14:paraId="61010333" w14:textId="5BD49677" w:rsidR="007966FB" w:rsidRPr="007966FB" w:rsidRDefault="007966FB" w:rsidP="00AB4256">
            <w:pPr>
              <w:tabs>
                <w:tab w:val="clear" w:pos="284"/>
              </w:tabs>
              <w:spacing w:after="160"/>
              <w:jc w:val="center"/>
              <w:rPr>
                <w:sz w:val="16"/>
              </w:rPr>
            </w:pPr>
            <w:r w:rsidRPr="007966FB">
              <w:rPr>
                <w:sz w:val="16"/>
              </w:rPr>
              <w:t xml:space="preserve">3,00 ≈ </w:t>
            </w:r>
            <w:r w:rsidR="00024ECA">
              <w:rPr>
                <w:sz w:val="16"/>
              </w:rPr>
              <w:br/>
            </w:r>
            <w:r w:rsidRPr="007966FB">
              <w:rPr>
                <w:sz w:val="16"/>
              </w:rPr>
              <w:t>Średnia (3)</w:t>
            </w:r>
          </w:p>
        </w:tc>
        <w:tc>
          <w:tcPr>
            <w:tcW w:w="1361" w:type="dxa"/>
            <w:hideMark/>
          </w:tcPr>
          <w:p w14:paraId="7EE4B3DC" w14:textId="2B59F129" w:rsidR="007966FB" w:rsidRPr="007966FB" w:rsidRDefault="007966FB" w:rsidP="00AB4256">
            <w:pPr>
              <w:tabs>
                <w:tab w:val="clear" w:pos="284"/>
              </w:tabs>
              <w:spacing w:after="160"/>
              <w:jc w:val="center"/>
              <w:rPr>
                <w:sz w:val="16"/>
              </w:rPr>
            </w:pPr>
            <w:r w:rsidRPr="007966FB">
              <w:rPr>
                <w:sz w:val="16"/>
              </w:rPr>
              <w:t xml:space="preserve">2,89 </w:t>
            </w:r>
            <w:r w:rsidR="00AB4256" w:rsidRPr="007966FB">
              <w:rPr>
                <w:sz w:val="16"/>
              </w:rPr>
              <w:t>≈</w:t>
            </w:r>
            <w:r w:rsidRPr="007966FB">
              <w:rPr>
                <w:sz w:val="16"/>
              </w:rPr>
              <w:t xml:space="preserve"> </w:t>
            </w:r>
            <w:r w:rsidR="00AB4256">
              <w:rPr>
                <w:sz w:val="16"/>
              </w:rPr>
              <w:br/>
            </w:r>
            <w:r w:rsidRPr="007966FB">
              <w:rPr>
                <w:sz w:val="16"/>
              </w:rPr>
              <w:t>Średnia (3)</w:t>
            </w:r>
          </w:p>
        </w:tc>
        <w:tc>
          <w:tcPr>
            <w:tcW w:w="1361" w:type="dxa"/>
            <w:hideMark/>
          </w:tcPr>
          <w:p w14:paraId="26D4F430" w14:textId="2A9D0060" w:rsidR="007966FB" w:rsidRPr="007966FB" w:rsidRDefault="007966FB" w:rsidP="00AB4256">
            <w:pPr>
              <w:tabs>
                <w:tab w:val="clear" w:pos="284"/>
              </w:tabs>
              <w:spacing w:after="160"/>
              <w:jc w:val="center"/>
              <w:rPr>
                <w:sz w:val="16"/>
              </w:rPr>
            </w:pPr>
            <w:r w:rsidRPr="007966FB">
              <w:rPr>
                <w:sz w:val="16"/>
              </w:rPr>
              <w:t>2,78 ≈</w:t>
            </w:r>
            <w:r w:rsidR="00AB4256">
              <w:rPr>
                <w:sz w:val="16"/>
              </w:rPr>
              <w:br/>
            </w:r>
            <w:r w:rsidRPr="007966FB">
              <w:rPr>
                <w:sz w:val="16"/>
              </w:rPr>
              <w:t xml:space="preserve"> Średnia (3)</w:t>
            </w:r>
          </w:p>
        </w:tc>
        <w:tc>
          <w:tcPr>
            <w:tcW w:w="957" w:type="dxa"/>
            <w:hideMark/>
          </w:tcPr>
          <w:p w14:paraId="52A89341" w14:textId="1465EF54" w:rsidR="007966FB" w:rsidRPr="007966FB" w:rsidRDefault="007966FB" w:rsidP="007966FB">
            <w:pPr>
              <w:tabs>
                <w:tab w:val="clear" w:pos="284"/>
              </w:tabs>
              <w:rPr>
                <w:sz w:val="16"/>
              </w:rPr>
            </w:pPr>
          </w:p>
        </w:tc>
      </w:tr>
    </w:tbl>
    <w:p w14:paraId="211DA64E" w14:textId="2AC6A0F3" w:rsidR="001F0F07" w:rsidRDefault="001F0F07" w:rsidP="00D415F4">
      <w:pPr>
        <w:pStyle w:val="rdo"/>
      </w:pPr>
      <w:r>
        <w:t>Źródło: opracowanie własne</w:t>
      </w:r>
      <w:r w:rsidR="002071E4">
        <w:t>.</w:t>
      </w:r>
    </w:p>
    <w:p w14:paraId="788B7E1B" w14:textId="791CF570" w:rsidR="001F0F07" w:rsidRPr="001F0F07" w:rsidRDefault="001F0F07" w:rsidP="001F0F07">
      <w:pPr>
        <w:sectPr w:rsidR="001F0F07" w:rsidRPr="001F0F07" w:rsidSect="0063376C">
          <w:pgSz w:w="16838" w:h="11906" w:orient="landscape"/>
          <w:pgMar w:top="1134" w:right="1418" w:bottom="1134" w:left="1418" w:header="709" w:footer="709" w:gutter="567"/>
          <w:cols w:space="708"/>
          <w:docGrid w:linePitch="360"/>
        </w:sectPr>
      </w:pPr>
    </w:p>
    <w:p w14:paraId="01FD58AA" w14:textId="74A39DA2" w:rsidR="000A2C47" w:rsidRDefault="00EF0CC4" w:rsidP="00EF0CC4">
      <w:pPr>
        <w:pStyle w:val="Nagwek3"/>
      </w:pPr>
      <w:bookmarkStart w:id="148" w:name="_Toc27125344"/>
      <w:r>
        <w:lastRenderedPageBreak/>
        <w:t xml:space="preserve">Panel </w:t>
      </w:r>
      <w:r w:rsidR="00A050E7">
        <w:t>i</w:t>
      </w:r>
      <w:r>
        <w:t>nternetowy CAWI</w:t>
      </w:r>
      <w:bookmarkEnd w:id="148"/>
    </w:p>
    <w:p w14:paraId="5B542FCC" w14:textId="2CD8B31E" w:rsidR="00D768D1" w:rsidRDefault="00CD6F88" w:rsidP="009C6EC5">
      <w:r>
        <w:t>W badaniu wzięło udział 4001 osób, mieszkańców wyznaczonych 20 miast</w:t>
      </w:r>
      <w:r w:rsidR="003439C9">
        <w:t xml:space="preserve"> (por. </w:t>
      </w:r>
      <w:r w:rsidR="003439C9">
        <w:fldChar w:fldCharType="begin"/>
      </w:r>
      <w:r w:rsidR="003439C9">
        <w:instrText xml:space="preserve"> REF _Ref23948027 \h </w:instrText>
      </w:r>
      <w:r w:rsidR="003439C9">
        <w:fldChar w:fldCharType="separate"/>
      </w:r>
      <w:r w:rsidR="00C93FD7" w:rsidRPr="001633D6">
        <w:t xml:space="preserve">Tabela </w:t>
      </w:r>
      <w:r w:rsidR="00C93FD7">
        <w:rPr>
          <w:noProof/>
        </w:rPr>
        <w:t>9</w:t>
      </w:r>
      <w:r w:rsidR="003439C9">
        <w:fldChar w:fldCharType="end"/>
      </w:r>
      <w:r w:rsidR="003439C9">
        <w:t>)</w:t>
      </w:r>
      <w:r>
        <w:t xml:space="preserve">. </w:t>
      </w:r>
      <w:r w:rsidR="00D768D1">
        <w:t>Punktem wyjścia dla wyboru miast do panelu CAWI miała być uzupełniona baza danych o transporcie dla miast z próby do analizy metodą SPSM, jednak ze względu na brak ankietowanych w niektórych miastach uzupełniono ich listę o dodatkowe jednostki.</w:t>
      </w:r>
    </w:p>
    <w:p w14:paraId="247724C2" w14:textId="6FDB6B34" w:rsidR="00F053B7" w:rsidRDefault="001E4E7E" w:rsidP="009C6EC5">
      <w:r>
        <w:t xml:space="preserve">Kobiety stanowiły 59% osób ankietowanych, a 41% mężczyźni, co odpowiada przewadze demograficznej kobiet w Polsce oraz wyższemu odsetkowi korzystania z komunikacji miejskiej (główny przedmiot badania). Demografię osób ankietowanych przedstawia </w:t>
      </w:r>
      <w:r>
        <w:fldChar w:fldCharType="begin"/>
      </w:r>
      <w:r>
        <w:instrText xml:space="preserve"> REF _Ref24816076 \h </w:instrText>
      </w:r>
      <w:r>
        <w:fldChar w:fldCharType="separate"/>
      </w:r>
      <w:r w:rsidR="00C93FD7">
        <w:t xml:space="preserve">Rysunek </w:t>
      </w:r>
      <w:r w:rsidR="00C93FD7">
        <w:rPr>
          <w:noProof/>
        </w:rPr>
        <w:t>12</w:t>
      </w:r>
      <w:r>
        <w:fldChar w:fldCharType="end"/>
      </w:r>
      <w:r>
        <w:t xml:space="preserve">. </w:t>
      </w:r>
    </w:p>
    <w:p w14:paraId="1CE92279" w14:textId="51D62ECA" w:rsidR="00CD6F88" w:rsidRDefault="001E4E7E" w:rsidP="00D415F4">
      <w:pPr>
        <w:pStyle w:val="rdo"/>
      </w:pPr>
      <w:bookmarkStart w:id="149" w:name="_Ref24816076"/>
      <w:bookmarkStart w:id="150" w:name="_Toc27125390"/>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12</w:t>
      </w:r>
      <w:r w:rsidR="003C20BE">
        <w:rPr>
          <w:noProof/>
        </w:rPr>
        <w:fldChar w:fldCharType="end"/>
      </w:r>
      <w:bookmarkEnd w:id="149"/>
      <w:r>
        <w:t>. Wykres demograficzny osób ankietowanych.</w:t>
      </w:r>
      <w:bookmarkEnd w:id="150"/>
    </w:p>
    <w:p w14:paraId="7111F739" w14:textId="28BBDC47" w:rsidR="00CD6F88" w:rsidRDefault="001E4E7E" w:rsidP="007D50DF">
      <w:pPr>
        <w:jc w:val="center"/>
      </w:pPr>
      <w:r>
        <w:rPr>
          <w:noProof/>
          <w:lang w:eastAsia="pl-PL"/>
        </w:rPr>
        <w:drawing>
          <wp:inline distT="0" distB="0" distL="0" distR="0" wp14:anchorId="6D9EA677" wp14:editId="782E64B5">
            <wp:extent cx="4572000" cy="1182757"/>
            <wp:effectExtent l="0" t="0" r="0" b="0"/>
            <wp:docPr id="50" name="Wykres 50" descr="Wykres demograficzny osób ankietowanych w panelu CAWI. Kobiety stanowiły 59% osób ankietowanych, a mężczyźni 41%. Prawie 50% ankietowanych było w wieku między 31 a 54 lata, a około 30% w wieku co najmniej 55 lat.">
              <a:extLst xmlns:a="http://schemas.openxmlformats.org/drawingml/2006/main">
                <a:ext uri="{FF2B5EF4-FFF2-40B4-BE49-F238E27FC236}">
                  <a16:creationId xmlns:a16="http://schemas.microsoft.com/office/drawing/2014/main" id="{CBAC1C8A-2EB0-42C5-97F8-8929D9864E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9FE4F7B" w14:textId="5F2715D1" w:rsidR="008C2AB5" w:rsidRDefault="008C2AB5" w:rsidP="00D415F4">
      <w:pPr>
        <w:pStyle w:val="rdo"/>
      </w:pPr>
      <w:r>
        <w:t>Źródło: opracowanie własne.</w:t>
      </w:r>
    </w:p>
    <w:p w14:paraId="7D5F1F6C" w14:textId="42096346" w:rsidR="0037497C" w:rsidRDefault="0037497C" w:rsidP="0037497C">
      <w:r>
        <w:t>70% odpytywanych osób było w stanie zatrudnienia (pracujący), 9% osób uczyło się lub studiowało, 5% pozostawała bez pracy i 18% było emerytem lub rencistą. Podział wiekowy pomiędzy poszczególne zajęcia obrazuje</w:t>
      </w:r>
      <w:r w:rsidR="004C5ECB">
        <w:t xml:space="preserve"> </w:t>
      </w:r>
      <w:r w:rsidR="004C5ECB">
        <w:fldChar w:fldCharType="begin"/>
      </w:r>
      <w:r w:rsidR="004C5ECB">
        <w:instrText xml:space="preserve"> REF _Ref25171804 \h </w:instrText>
      </w:r>
      <w:r w:rsidR="004C5ECB">
        <w:fldChar w:fldCharType="separate"/>
      </w:r>
      <w:r w:rsidR="00C93FD7">
        <w:t xml:space="preserve">Rysunek </w:t>
      </w:r>
      <w:r w:rsidR="00C93FD7">
        <w:rPr>
          <w:noProof/>
        </w:rPr>
        <w:t>13</w:t>
      </w:r>
      <w:r w:rsidR="004C5ECB">
        <w:fldChar w:fldCharType="end"/>
      </w:r>
      <w:r>
        <w:t>.</w:t>
      </w:r>
    </w:p>
    <w:p w14:paraId="16C12193" w14:textId="785FEF09" w:rsidR="00F053B7" w:rsidRDefault="00F053B7" w:rsidP="00D415F4">
      <w:pPr>
        <w:pStyle w:val="rdo"/>
      </w:pPr>
      <w:bookmarkStart w:id="151" w:name="_Ref25171804"/>
      <w:bookmarkStart w:id="152" w:name="_Ref25171794"/>
      <w:bookmarkStart w:id="153" w:name="_Toc27125391"/>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13</w:t>
      </w:r>
      <w:r w:rsidR="003C20BE">
        <w:rPr>
          <w:noProof/>
        </w:rPr>
        <w:fldChar w:fldCharType="end"/>
      </w:r>
      <w:bookmarkEnd w:id="151"/>
      <w:r>
        <w:t>. Aktualne zajęcie osób ankietowanych w podziale na wiek.</w:t>
      </w:r>
      <w:bookmarkEnd w:id="152"/>
      <w:bookmarkEnd w:id="153"/>
    </w:p>
    <w:p w14:paraId="1B29DA85" w14:textId="446945A2" w:rsidR="001E4E7E" w:rsidRDefault="00F053B7" w:rsidP="001A6C9D">
      <w:pPr>
        <w:spacing w:after="0"/>
        <w:jc w:val="center"/>
      </w:pPr>
      <w:r>
        <w:rPr>
          <w:noProof/>
          <w:lang w:eastAsia="pl-PL"/>
        </w:rPr>
        <w:drawing>
          <wp:inline distT="0" distB="0" distL="0" distR="0" wp14:anchorId="52441205" wp14:editId="26DA6FB0">
            <wp:extent cx="4572000" cy="1828800"/>
            <wp:effectExtent l="0" t="0" r="0" b="0"/>
            <wp:docPr id="51" name="Wykres 51" descr="Wykres obrazujący aktualne zajęcie osób ankietowanych w podziale na wiek. Wśród osób studiujących lub uczących się dominowały osoby do 30 roku życia, a wśród emerytów lub rencistów mający co najmniej 55 lat. ">
              <a:extLst xmlns:a="http://schemas.openxmlformats.org/drawingml/2006/main">
                <a:ext uri="{FF2B5EF4-FFF2-40B4-BE49-F238E27FC236}">
                  <a16:creationId xmlns:a16="http://schemas.microsoft.com/office/drawing/2014/main" id="{0E4C1975-9174-4FC1-B91F-F3B0D6B37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5A130CB" w14:textId="2FD64729" w:rsidR="008C2AB5" w:rsidRDefault="008C2AB5" w:rsidP="00D415F4">
      <w:pPr>
        <w:pStyle w:val="rdo"/>
      </w:pPr>
      <w:r>
        <w:t>Źródło: opracowanie własne.</w:t>
      </w:r>
    </w:p>
    <w:p w14:paraId="5C2A2487" w14:textId="77777777" w:rsidR="0037497C" w:rsidRDefault="0037497C" w:rsidP="0037497C">
      <w:pPr>
        <w:jc w:val="left"/>
      </w:pPr>
      <w:r>
        <w:t xml:space="preserve">Ankietowanych zidentyfikowano również pod względem wykształcenia (podstawowe, zawodowe, średnie i wyższe) oraz, ze względu na specyfikę badania, ze względu na zamieszkiwane miasto. </w:t>
      </w:r>
    </w:p>
    <w:p w14:paraId="5BB6D8F9" w14:textId="4F789223" w:rsidR="001E4E7E" w:rsidRDefault="0037497C" w:rsidP="007D50DF">
      <w:r>
        <w:t xml:space="preserve">Odpowiedzi ankietowanych </w:t>
      </w:r>
      <w:r w:rsidR="007D50DF">
        <w:t xml:space="preserve">na postawione pytania </w:t>
      </w:r>
      <w:r>
        <w:t>zestawione zostały w różnych przekrojach</w:t>
      </w:r>
      <w:r w:rsidR="007D50DF">
        <w:t>. Dla wyróżnienia zachowań komunikacyjnych mieszkańców mniejszych, średnich i większych miast wyniki zagregowano m.in. w dwóch zbiorach miast: 3-elementowym o liczbie mieszkańców między 100-200 tys., 200-400 i 400-800 oraz 4-elementowanym o liczbie mieszkańców 100-150 tys., 150-250, 250-450 i 450-800. Ponadto w przekrojach odpowiedzi wyróżniano m.in. pod względem wieku, wykształcenia, zajęcia, dostępności samochodu w gospodarstwie, środka codziennych podróży oraz płci. Pełna z</w:t>
      </w:r>
      <w:r w:rsidR="001E4E7E">
        <w:t>ebrana baza danych odpowiedzi osób ankietowanych dołączona została do Raportu (</w:t>
      </w:r>
      <w:r w:rsidR="007D50DF">
        <w:t xml:space="preserve">por. </w:t>
      </w:r>
      <w:r w:rsidR="001E4E7E">
        <w:fldChar w:fldCharType="begin"/>
      </w:r>
      <w:r w:rsidR="001E4E7E">
        <w:instrText xml:space="preserve"> REF Załącznik5 \h </w:instrText>
      </w:r>
      <w:r w:rsidR="001E4E7E">
        <w:fldChar w:fldCharType="separate"/>
      </w:r>
      <w:r w:rsidR="00C93FD7" w:rsidRPr="00CE65CD">
        <w:rPr>
          <w:color w:val="000000" w:themeColor="text1"/>
        </w:rPr>
        <w:t>Załącznik 5</w:t>
      </w:r>
      <w:r w:rsidR="001E4E7E">
        <w:fldChar w:fldCharType="end"/>
      </w:r>
      <w:r w:rsidR="001E4E7E">
        <w:t>).</w:t>
      </w:r>
    </w:p>
    <w:p w14:paraId="53CA718B" w14:textId="1014304A" w:rsidR="00F04F88" w:rsidRDefault="00F04F88" w:rsidP="007D50DF">
      <w:r>
        <w:lastRenderedPageBreak/>
        <w:t xml:space="preserve">Pierwsze pytanie, związane z przedmiotem badania, dotyczyło dostępności samochodu w gospodarstwie domowym. Samochód dostępny był średnio w 82% gospodarstwach domowych. Przy czym należy zauważyć, że </w:t>
      </w:r>
      <w:r w:rsidR="00A73946">
        <w:t xml:space="preserve">stopień zmotoryzowania </w:t>
      </w:r>
      <w:r>
        <w:t xml:space="preserve">był </w:t>
      </w:r>
      <w:r w:rsidR="00A73946">
        <w:t xml:space="preserve">najwyższy </w:t>
      </w:r>
      <w:r>
        <w:t xml:space="preserve">w miastach </w:t>
      </w:r>
      <w:r w:rsidR="00A73946">
        <w:t>najmniej ludnych</w:t>
      </w:r>
      <w:r>
        <w:t xml:space="preserve">, a </w:t>
      </w:r>
      <w:r w:rsidR="00A73946">
        <w:t xml:space="preserve">najniższy </w:t>
      </w:r>
      <w:r>
        <w:t xml:space="preserve">w miastach </w:t>
      </w:r>
      <w:r w:rsidR="00A73946">
        <w:t xml:space="preserve">najludniejszych </w:t>
      </w:r>
      <w:r>
        <w:t xml:space="preserve">(por. </w:t>
      </w:r>
      <w:r>
        <w:fldChar w:fldCharType="begin"/>
      </w:r>
      <w:r>
        <w:instrText xml:space="preserve"> REF _Ref24818749 \h </w:instrText>
      </w:r>
      <w:r>
        <w:fldChar w:fldCharType="separate"/>
      </w:r>
      <w:r w:rsidR="00C93FD7">
        <w:t xml:space="preserve">Rysunek </w:t>
      </w:r>
      <w:r w:rsidR="00C93FD7">
        <w:rPr>
          <w:noProof/>
        </w:rPr>
        <w:t>14</w:t>
      </w:r>
      <w:r>
        <w:fldChar w:fldCharType="end"/>
      </w:r>
      <w:r>
        <w:t xml:space="preserve">). </w:t>
      </w:r>
    </w:p>
    <w:p w14:paraId="1F658D80" w14:textId="5528D534" w:rsidR="00F04F88" w:rsidRDefault="00F04F88" w:rsidP="00D415F4">
      <w:pPr>
        <w:pStyle w:val="rdo"/>
      </w:pPr>
      <w:bookmarkStart w:id="154" w:name="_Ref24818749"/>
      <w:bookmarkStart w:id="155" w:name="_Toc27125392"/>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14</w:t>
      </w:r>
      <w:r w:rsidR="003C20BE">
        <w:rPr>
          <w:noProof/>
        </w:rPr>
        <w:fldChar w:fldCharType="end"/>
      </w:r>
      <w:bookmarkEnd w:id="154"/>
      <w:r>
        <w:t>. Dostępność samochodu w gospodarstwie domowym w zależności od wielkości miasta.</w:t>
      </w:r>
      <w:bookmarkEnd w:id="155"/>
    </w:p>
    <w:p w14:paraId="294F5F48" w14:textId="4A74B9A0" w:rsidR="007D50DF" w:rsidRDefault="007D50DF" w:rsidP="001A6C9D">
      <w:pPr>
        <w:spacing w:before="0" w:after="0"/>
        <w:jc w:val="center"/>
      </w:pPr>
      <w:r>
        <w:rPr>
          <w:noProof/>
          <w:lang w:eastAsia="pl-PL"/>
        </w:rPr>
        <w:drawing>
          <wp:inline distT="0" distB="0" distL="0" distR="0" wp14:anchorId="614D1914" wp14:editId="7286DF9B">
            <wp:extent cx="4465320" cy="1914525"/>
            <wp:effectExtent l="0" t="0" r="0" b="0"/>
            <wp:docPr id="52" name="Wykres 52" descr="Na wykresie przedstawiono największa dostępność samochodu w grupie miast między 100 a 200 tysięcy mieszkańców, a najmniejszą w grupie miast między 400 a 800 tysięcy mieszkańców. ">
              <a:extLst xmlns:a="http://schemas.openxmlformats.org/drawingml/2006/main">
                <a:ext uri="{FF2B5EF4-FFF2-40B4-BE49-F238E27FC236}">
                  <a16:creationId xmlns:a16="http://schemas.microsoft.com/office/drawing/2014/main" id="{2DC1F51A-CF3D-4C30-87E6-274DDE0698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B01FEC5" w14:textId="58ECB0D3" w:rsidR="008C2AB5" w:rsidRDefault="008C2AB5" w:rsidP="00D415F4">
      <w:pPr>
        <w:pStyle w:val="rdo"/>
      </w:pPr>
      <w:r>
        <w:t>Źródło: opracowanie własne.</w:t>
      </w:r>
    </w:p>
    <w:p w14:paraId="7C780E8C" w14:textId="1FBC55D2" w:rsidR="0028263A" w:rsidRDefault="00F04F88" w:rsidP="0028263A">
      <w:r>
        <w:t xml:space="preserve">Panel CAWI posłużył do wyznaczenia podziału </w:t>
      </w:r>
      <w:r w:rsidR="00A73946">
        <w:t xml:space="preserve">międzygałęziowego </w:t>
      </w:r>
      <w:r>
        <w:t>w miastach (</w:t>
      </w:r>
      <w:proofErr w:type="spellStart"/>
      <w:r w:rsidRPr="00D43957">
        <w:rPr>
          <w:i/>
          <w:iCs/>
        </w:rPr>
        <w:t>modal</w:t>
      </w:r>
      <w:proofErr w:type="spellEnd"/>
      <w:r w:rsidRPr="00D43957">
        <w:rPr>
          <w:i/>
          <w:iCs/>
        </w:rPr>
        <w:t xml:space="preserve"> </w:t>
      </w:r>
      <w:proofErr w:type="spellStart"/>
      <w:r w:rsidRPr="00D43957">
        <w:rPr>
          <w:i/>
          <w:iCs/>
        </w:rPr>
        <w:t>split</w:t>
      </w:r>
      <w:proofErr w:type="spellEnd"/>
      <w:r>
        <w:t>)</w:t>
      </w:r>
      <w:r w:rsidR="00CE4F4F">
        <w:t>. Ankietowani do wyboru mieli podróż samochodem (osobno jako kierowca i pasażer), taksówką, komunikacją miejską, koleją, autobusem regionalnym</w:t>
      </w:r>
      <w:r w:rsidR="005C58B3">
        <w:t>,</w:t>
      </w:r>
      <w:r w:rsidR="00CE4F4F">
        <w:t xml:space="preserve"> rowerem</w:t>
      </w:r>
      <w:r w:rsidR="005C58B3">
        <w:t xml:space="preserve"> i pieszo</w:t>
      </w:r>
      <w:r w:rsidR="00CE4F4F">
        <w:t>.</w:t>
      </w:r>
      <w:r w:rsidR="005C58B3">
        <w:t xml:space="preserve"> Dane posłużyły do wyznaczenia </w:t>
      </w:r>
      <w:proofErr w:type="spellStart"/>
      <w:r w:rsidR="005C58B3" w:rsidRPr="00307E9E">
        <w:rPr>
          <w:i/>
        </w:rPr>
        <w:t>modal</w:t>
      </w:r>
      <w:proofErr w:type="spellEnd"/>
      <w:r w:rsidR="005C58B3" w:rsidRPr="00307E9E">
        <w:rPr>
          <w:i/>
        </w:rPr>
        <w:t xml:space="preserve"> </w:t>
      </w:r>
      <w:proofErr w:type="spellStart"/>
      <w:r w:rsidR="005C58B3" w:rsidRPr="00307E9E">
        <w:rPr>
          <w:i/>
        </w:rPr>
        <w:t>splitu</w:t>
      </w:r>
      <w:proofErr w:type="spellEnd"/>
      <w:r w:rsidR="005C58B3">
        <w:t xml:space="preserve"> codziennych podróży </w:t>
      </w:r>
      <w:r w:rsidR="00E07928">
        <w:t>nie pieszych</w:t>
      </w:r>
      <w:r w:rsidR="005C58B3">
        <w:t>.</w:t>
      </w:r>
      <w:r w:rsidR="009E2FD3">
        <w:t xml:space="preserve"> W przypadku wybrania przez osobę ankietowaną więcej niż jednego codziennego środka transportu, uznano, że </w:t>
      </w:r>
      <w:r w:rsidR="009A0B6A">
        <w:t xml:space="preserve">każdy </w:t>
      </w:r>
      <w:r w:rsidR="009E2FD3">
        <w:t xml:space="preserve">wybór ma takie samo znaczenie, jak wybranie </w:t>
      </w:r>
      <w:r w:rsidR="009A0B6A">
        <w:t>pojedynczego</w:t>
      </w:r>
      <w:r w:rsidR="009E2FD3">
        <w:t xml:space="preserve"> środka transportu, ponieważ w badaniu i tak nie było możliwości ważenia długości podróży wykonywanych przez mieszkańców.</w:t>
      </w:r>
      <w:r w:rsidR="009A0B6A">
        <w:t xml:space="preserve"> Wyznaczone </w:t>
      </w:r>
      <w:proofErr w:type="spellStart"/>
      <w:r w:rsidR="009A0B6A" w:rsidRPr="00307E9E">
        <w:rPr>
          <w:i/>
        </w:rPr>
        <w:t>mod</w:t>
      </w:r>
      <w:r w:rsidR="0086617A" w:rsidRPr="00307E9E">
        <w:rPr>
          <w:i/>
        </w:rPr>
        <w:t>a</w:t>
      </w:r>
      <w:r w:rsidR="009A0B6A" w:rsidRPr="00307E9E">
        <w:rPr>
          <w:i/>
        </w:rPr>
        <w:t>l</w:t>
      </w:r>
      <w:proofErr w:type="spellEnd"/>
      <w:r w:rsidR="009A0B6A" w:rsidRPr="00307E9E">
        <w:rPr>
          <w:i/>
        </w:rPr>
        <w:t xml:space="preserve"> </w:t>
      </w:r>
      <w:proofErr w:type="spellStart"/>
      <w:r w:rsidR="009A0B6A" w:rsidRPr="00307E9E">
        <w:rPr>
          <w:i/>
        </w:rPr>
        <w:t>splity</w:t>
      </w:r>
      <w:proofErr w:type="spellEnd"/>
      <w:r w:rsidR="009A0B6A" w:rsidRPr="00307E9E">
        <w:rPr>
          <w:i/>
        </w:rPr>
        <w:t xml:space="preserve"> </w:t>
      </w:r>
      <w:r w:rsidR="009A0B6A">
        <w:t>w podziale na 3 kategorie miast i ogó</w:t>
      </w:r>
      <w:r w:rsidR="0086617A">
        <w:t>ł</w:t>
      </w:r>
      <w:r w:rsidR="009A0B6A">
        <w:t xml:space="preserve"> ankietowanych obrazuje </w:t>
      </w:r>
      <w:r w:rsidR="009A0B6A">
        <w:fldChar w:fldCharType="begin"/>
      </w:r>
      <w:r w:rsidR="009A0B6A">
        <w:instrText xml:space="preserve"> REF _Ref24820454 \h </w:instrText>
      </w:r>
      <w:r w:rsidR="009A0B6A">
        <w:fldChar w:fldCharType="separate"/>
      </w:r>
      <w:r w:rsidR="00C93FD7">
        <w:t xml:space="preserve">Rysunek </w:t>
      </w:r>
      <w:r w:rsidR="00C93FD7">
        <w:rPr>
          <w:noProof/>
        </w:rPr>
        <w:t>15</w:t>
      </w:r>
      <w:r w:rsidR="009A0B6A">
        <w:fldChar w:fldCharType="end"/>
      </w:r>
      <w:r w:rsidR="009A0B6A">
        <w:t>.</w:t>
      </w:r>
    </w:p>
    <w:p w14:paraId="495C29DF" w14:textId="28EB7460" w:rsidR="009A0B6A" w:rsidRDefault="009A0B6A" w:rsidP="00D415F4">
      <w:pPr>
        <w:pStyle w:val="rdo"/>
      </w:pPr>
      <w:bookmarkStart w:id="156" w:name="_Ref24820454"/>
      <w:bookmarkStart w:id="157" w:name="_Toc27125393"/>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15</w:t>
      </w:r>
      <w:r w:rsidR="003C20BE">
        <w:rPr>
          <w:noProof/>
        </w:rPr>
        <w:fldChar w:fldCharType="end"/>
      </w:r>
      <w:bookmarkEnd w:id="156"/>
      <w:r>
        <w:t xml:space="preserve">. Podział modalny codziennych podróży </w:t>
      </w:r>
      <w:r w:rsidR="00B32789">
        <w:t xml:space="preserve">w badanych przekrojach </w:t>
      </w:r>
      <w:r w:rsidR="00A73946">
        <w:t xml:space="preserve">ludności </w:t>
      </w:r>
      <w:r>
        <w:t>miast.</w:t>
      </w:r>
      <w:bookmarkEnd w:id="157"/>
    </w:p>
    <w:p w14:paraId="449D4FD8" w14:textId="39CF5886" w:rsidR="00CE4F4F" w:rsidRDefault="008057F5" w:rsidP="001227AF">
      <w:pPr>
        <w:spacing w:before="120" w:after="120"/>
      </w:pPr>
      <w:r w:rsidRPr="008057F5">
        <w:rPr>
          <w:noProof/>
          <w:lang w:eastAsia="pl-PL"/>
        </w:rPr>
        <w:drawing>
          <wp:inline distT="0" distB="0" distL="0" distR="0" wp14:anchorId="177136D7" wp14:editId="18D6282F">
            <wp:extent cx="2844000" cy="2743200"/>
            <wp:effectExtent l="0" t="0" r="0" b="0"/>
            <wp:docPr id="9" name="Wykres 9" descr="Wykres obrazuje podział modalny podróży codziennych wszystkich osób ankietowanych. 54% z nich odbywało się samochodem, 29% komunikacją miejską, 8% rowerem, autobusem regio 5%, koleją lub taksówką po 2%.">
              <a:extLst xmlns:a="http://schemas.openxmlformats.org/drawingml/2006/main">
                <a:ext uri="{FF2B5EF4-FFF2-40B4-BE49-F238E27FC236}">
                  <a16:creationId xmlns:a16="http://schemas.microsoft.com/office/drawing/2014/main" id="{302B566E-97C4-4972-9062-737E3C282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8057F5">
        <w:rPr>
          <w:noProof/>
          <w:lang w:eastAsia="pl-PL"/>
        </w:rPr>
        <w:drawing>
          <wp:inline distT="0" distB="0" distL="0" distR="0" wp14:anchorId="6DBE77CA" wp14:editId="10B2AFCE">
            <wp:extent cx="2844000" cy="2743200"/>
            <wp:effectExtent l="0" t="0" r="0" b="0"/>
            <wp:docPr id="12" name="Wykres 12" descr="Wykres obrazuje podział modalny podróży codziennych osób ankietowanych w miastach o ludności między 100 a 200 tysięcy mieszkańców. 61% podróży odbywało się samochodem, 23% komunikacją miejską, 8% rowerem, autobusem regio 5%, koleją 2% i taksówką 1%.">
              <a:extLst xmlns:a="http://schemas.openxmlformats.org/drawingml/2006/main">
                <a:ext uri="{FF2B5EF4-FFF2-40B4-BE49-F238E27FC236}">
                  <a16:creationId xmlns:a16="http://schemas.microsoft.com/office/drawing/2014/main" id="{AF25DFB1-B18C-4703-907B-FD145F6201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283CD57" w14:textId="211958BB" w:rsidR="008C2AB5" w:rsidRDefault="008C2AB5" w:rsidP="00D415F4">
      <w:pPr>
        <w:pStyle w:val="rdo"/>
      </w:pPr>
      <w:r>
        <w:t>Źródło: opracowanie własne</w:t>
      </w:r>
      <w:r w:rsidR="002071E4">
        <w:t>.</w:t>
      </w:r>
    </w:p>
    <w:p w14:paraId="31876381" w14:textId="5FB3193C" w:rsidR="008057F5" w:rsidRDefault="008057F5" w:rsidP="001227AF">
      <w:pPr>
        <w:spacing w:before="240"/>
      </w:pPr>
      <w:r w:rsidRPr="008057F5">
        <w:rPr>
          <w:noProof/>
          <w:lang w:eastAsia="pl-PL"/>
        </w:rPr>
        <w:lastRenderedPageBreak/>
        <w:drawing>
          <wp:inline distT="0" distB="0" distL="0" distR="0" wp14:anchorId="72E54143" wp14:editId="7D9705BC">
            <wp:extent cx="2843530" cy="2619361"/>
            <wp:effectExtent l="0" t="0" r="0" b="0"/>
            <wp:docPr id="13" name="Wykres 13" descr="Wykres obrazuje podział modalny podróży codziennych osób ankietowanych w miastach o ludności między 200 a 400 tysięcy mieszkańców. 55% podróży odbywało się samochodem, 28% komunikacją miejską, 8% rowerem, autobusem regio 5%, koleją 2% i taksówką 2%.">
              <a:extLst xmlns:a="http://schemas.openxmlformats.org/drawingml/2006/main">
                <a:ext uri="{FF2B5EF4-FFF2-40B4-BE49-F238E27FC236}">
                  <a16:creationId xmlns:a16="http://schemas.microsoft.com/office/drawing/2014/main" id="{98D21148-25F8-4210-849B-1E4BF0190C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8057F5">
        <w:rPr>
          <w:noProof/>
          <w:lang w:eastAsia="pl-PL"/>
        </w:rPr>
        <w:drawing>
          <wp:inline distT="0" distB="0" distL="0" distR="0" wp14:anchorId="4F72E549" wp14:editId="5715A26F">
            <wp:extent cx="2844000" cy="2617151"/>
            <wp:effectExtent l="0" t="0" r="0" b="0"/>
            <wp:docPr id="4" name="Wykres 4" descr="Wykres obrazuje podział modalny podróży codziennych osób ankietowanych w miastach o ludności między 400 a 800 tysięcy mieszkańców. 48% podróży odbywało się samochodem, 35% komunikacją miejską, 8% rowerem, autobusem regio 5%, koleją 2% i taksówką 2%.">
              <a:extLst xmlns:a="http://schemas.openxmlformats.org/drawingml/2006/main">
                <a:ext uri="{FF2B5EF4-FFF2-40B4-BE49-F238E27FC236}">
                  <a16:creationId xmlns:a16="http://schemas.microsoft.com/office/drawing/2014/main" id="{D875BA1D-F63C-45EF-AA25-40192AFBCF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4DBFA45" w14:textId="646DB83A" w:rsidR="008C2AB5" w:rsidRDefault="008C2AB5" w:rsidP="00D415F4">
      <w:pPr>
        <w:pStyle w:val="rdo"/>
      </w:pPr>
      <w:r>
        <w:t>Źródło: opracowanie własne</w:t>
      </w:r>
      <w:r w:rsidR="002071E4">
        <w:t>.</w:t>
      </w:r>
    </w:p>
    <w:p w14:paraId="05AEB26A" w14:textId="7654DE53" w:rsidR="00715346" w:rsidRDefault="00715346" w:rsidP="00715346">
      <w:bookmarkStart w:id="158" w:name="_Hlk25244590"/>
      <w:r>
        <w:t xml:space="preserve">Udało się uzyskać obraz dnia codziennego podróży mieszkańców, w którym największe znaczenie ma transport indywidualny samochodem (54%) oraz komunikacją miejską (29%). Udział podróży komunikacją miejską rośnie, a samochodem maleje wraz ze wzrostem liczby mieszkańców miasta. Wynik szczególnie istotny jest w grupie mniejszych miast między 100 a 200 tysięcy mieszkańców, ponieważ interwencje podejmowane w transporcie publicznym w tych miastach odbywają się </w:t>
      </w:r>
      <w:r w:rsidR="00A73946">
        <w:t>przy bardzo niekorzystnym podziale rynku</w:t>
      </w:r>
      <w:r>
        <w:t xml:space="preserve"> – w przypadku miast tej wielkości większość, bo 61% ankietowanych, korzysta z samochodu, a zaledwie 23% z komunikacji miejskiej. Równocześnie wraz ze wzrostem wielkości miasta rośnie udział podróży taksówkami</w:t>
      </w:r>
      <w:r w:rsidR="00A73946">
        <w:t>, aczkolwiek w każdym przypadku jest on w granicach błędu</w:t>
      </w:r>
      <w:r>
        <w:t>. Natomiast udział podróży koleją, autobusami regionalnymi i</w:t>
      </w:r>
      <w:r w:rsidR="00FE5D20">
        <w:t> </w:t>
      </w:r>
      <w:r>
        <w:t>rowerem w badaniu CAWI okazał się niezależny od wielkości miasta.</w:t>
      </w:r>
    </w:p>
    <w:bookmarkEnd w:id="158"/>
    <w:p w14:paraId="19FF4CA6" w14:textId="19FCDAA0" w:rsidR="00715346" w:rsidRDefault="00715346" w:rsidP="00715346">
      <w:r>
        <w:t xml:space="preserve">Dodatkowych informacji o przyzwyczajeniach mieszkańców przyniosła analiza poszczególnych miast (por. </w:t>
      </w:r>
      <w:r>
        <w:fldChar w:fldCharType="begin"/>
      </w:r>
      <w:r>
        <w:instrText xml:space="preserve"> REF _Ref25074287 \h  \* MERGEFORMAT </w:instrText>
      </w:r>
      <w:r>
        <w:fldChar w:fldCharType="separate"/>
      </w:r>
      <w:r w:rsidR="00C93FD7">
        <w:t xml:space="preserve">Rysunek </w:t>
      </w:r>
      <w:r w:rsidR="00C93FD7">
        <w:rPr>
          <w:noProof/>
        </w:rPr>
        <w:t>16</w:t>
      </w:r>
      <w:r>
        <w:fldChar w:fldCharType="end"/>
      </w:r>
      <w:r>
        <w:t>). W Płocku, z bardzo rozbudowanym układem drogowym, uzyskano najwyższy odsetek podróży samochodem (71%). Podobna sytuacja dotyczyła też Rzeszowa (67%). Wiązało się to również z najniższym udziałem podróży komunikacją miejską (po 16%). Natomiast najwyższy udział podróży komunikacją miejską uzyskano w największym</w:t>
      </w:r>
      <w:r w:rsidRPr="00F313E7">
        <w:t xml:space="preserve"> </w:t>
      </w:r>
      <w:r>
        <w:t xml:space="preserve">z badanych miast pod względem liczby ludności, czyli w Krakowie (42%). Kolejne wyniki dotyczyły zresztą pozostałych największych badanych miast, czyli Wrocławia (40%) i Łodzi (36%). </w:t>
      </w:r>
    </w:p>
    <w:p w14:paraId="722C425C" w14:textId="77777777" w:rsidR="00715346" w:rsidRDefault="00715346" w:rsidP="00715346">
      <w:r>
        <w:t xml:space="preserve">Jeśli chodzi natomiast o wykorzystanie roweru, jako codziennego środka podróży, to najwyższy udział tego środka transportu uzyskano w badaniu wśród mieszkańców Torunia (16%), a najniższy wśród zielonogórzan (2%). W tym miejscu uwidacznia się wpływ zwartości miast, ukształtowania terenu oraz inwestycji w infrastrukturę, gdzie wysoki odsetek odnotowano w mieście stosunkowo „płaskim”, niezbyt rozległym oraz z rozbudowaną infrastrukturą rowerową. </w:t>
      </w:r>
    </w:p>
    <w:p w14:paraId="26FABD42" w14:textId="77777777" w:rsidR="00715346" w:rsidRDefault="00715346" w:rsidP="00715346">
      <w:r>
        <w:t>W badaniu uwidocznił się też wpływ honorowania biletów komunikacji miejskiej w połączeniach kolejowych. P</w:t>
      </w:r>
      <w:r w:rsidRPr="003E6C6A">
        <w:t>osiadacze biletów okresowych opolskiego MZK mogą bez dodatkowych opłat korzystać z pociągów Przewozów Regionalnych w granicach administracyjnych Opol</w:t>
      </w:r>
      <w:r>
        <w:t xml:space="preserve">a i to w tym mieście, na tym samym poziomie co w Gdyni (trójmiejska SKM), uzyskano najwyższy udział podróży koleją (5,3%). Nieco mniejszy udział podróży koleją ujawnił się zresztą też w Gdańsku (4,5%). Część mieszkańców badanych miast na co dzień opuszcza też własne ośrodki miejskie </w:t>
      </w:r>
      <w:r>
        <w:lastRenderedPageBreak/>
        <w:t xml:space="preserve">autobusami regionalnymi, by dojechać do ośrodków ościennych. Niezależnie od wielkości miasta, wśród odpowiedzi uzyskano 5% udział podróży tego typu połączeniami. </w:t>
      </w:r>
    </w:p>
    <w:p w14:paraId="0124A056" w14:textId="17437D7A" w:rsidR="008C2AB5" w:rsidRDefault="008C2AB5" w:rsidP="00D415F4">
      <w:pPr>
        <w:pStyle w:val="rdo"/>
      </w:pPr>
      <w:bookmarkStart w:id="159" w:name="_Ref25074287"/>
      <w:bookmarkStart w:id="160" w:name="_Ref24924562"/>
      <w:bookmarkStart w:id="161" w:name="_Toc27125394"/>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16</w:t>
      </w:r>
      <w:r w:rsidR="003C20BE">
        <w:rPr>
          <w:noProof/>
        </w:rPr>
        <w:fldChar w:fldCharType="end"/>
      </w:r>
      <w:bookmarkEnd w:id="159"/>
      <w:r>
        <w:t xml:space="preserve">. </w:t>
      </w:r>
      <w:proofErr w:type="spellStart"/>
      <w:r w:rsidRPr="00307E9E">
        <w:rPr>
          <w:i/>
        </w:rPr>
        <w:t>Modal</w:t>
      </w:r>
      <w:proofErr w:type="spellEnd"/>
      <w:r w:rsidRPr="00307E9E">
        <w:rPr>
          <w:i/>
        </w:rPr>
        <w:t xml:space="preserve"> </w:t>
      </w:r>
      <w:proofErr w:type="spellStart"/>
      <w:r w:rsidRPr="00307E9E">
        <w:rPr>
          <w:i/>
        </w:rPr>
        <w:t>split</w:t>
      </w:r>
      <w:proofErr w:type="spellEnd"/>
      <w:r w:rsidRPr="00CC0415">
        <w:t xml:space="preserve"> podróży codziennych w grupie badanych mieszkańców miast Polski.</w:t>
      </w:r>
      <w:bookmarkEnd w:id="161"/>
    </w:p>
    <w:p w14:paraId="63FE5CF0" w14:textId="05EC3DAD" w:rsidR="008379EE" w:rsidRDefault="008379EE" w:rsidP="00DA5829">
      <w:pPr>
        <w:pStyle w:val="Legenda"/>
        <w:spacing w:before="120" w:after="120"/>
        <w:jc w:val="left"/>
      </w:pPr>
      <w:r w:rsidRPr="008057F5">
        <w:rPr>
          <w:noProof/>
          <w:lang w:eastAsia="pl-PL"/>
        </w:rPr>
        <w:drawing>
          <wp:inline distT="0" distB="0" distL="0" distR="0" wp14:anchorId="30B90A6F" wp14:editId="7D4989B2">
            <wp:extent cx="5764530" cy="4444409"/>
            <wp:effectExtent l="0" t="0" r="7620" b="0"/>
            <wp:docPr id="53" name="Wykres 53" descr="Wykres obrazujący podział modalny podróży codziennych mieszkańców miast badanych w CAWI: Zielona Góra, Wrocław, Toruń, Szczecin, Rzeszów, Poznań, Płock, Opole, Olsztyn, Łódź, Lublin, Kraków, Kielce, Gorzów Wielkopolski, Gdynia, Gdańsk, Elbląg, Częstochowa, Bydgoszcz, Białystok i wynik ogólny.">
              <a:extLst xmlns:a="http://schemas.openxmlformats.org/drawingml/2006/main">
                <a:ext uri="{FF2B5EF4-FFF2-40B4-BE49-F238E27FC236}">
                  <a16:creationId xmlns:a16="http://schemas.microsoft.com/office/drawing/2014/main" id="{4585A117-93F0-46E7-8818-9508B70D5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End w:id="160"/>
    </w:p>
    <w:p w14:paraId="5306CE58" w14:textId="60416F0C" w:rsidR="008C2AB5" w:rsidRPr="00BA71A3" w:rsidRDefault="008C2AB5" w:rsidP="00D415F4">
      <w:pPr>
        <w:pStyle w:val="rdo"/>
      </w:pPr>
      <w:r>
        <w:t>Źródło: opracowanie własne</w:t>
      </w:r>
      <w:r w:rsidR="002071E4">
        <w:t>.</w:t>
      </w:r>
    </w:p>
    <w:p w14:paraId="23BD3AB7" w14:textId="614E4C78" w:rsidR="0025450D" w:rsidRDefault="0025450D" w:rsidP="00DA5829">
      <w:pPr>
        <w:spacing w:before="0" w:after="120"/>
      </w:pPr>
      <w:r>
        <w:t>W badaniu częstotliwości korzystania z poszczególnych środków transportu najchętniej wybierano opcję podróży pieszych (por.</w:t>
      </w:r>
      <w:r w:rsidR="003865EA">
        <w:t xml:space="preserve"> </w:t>
      </w:r>
      <w:r w:rsidR="003865EA">
        <w:fldChar w:fldCharType="begin"/>
      </w:r>
      <w:r w:rsidR="003865EA">
        <w:instrText xml:space="preserve"> REF _Ref25249134 \h </w:instrText>
      </w:r>
      <w:r w:rsidR="003865EA">
        <w:fldChar w:fldCharType="separate"/>
      </w:r>
      <w:r w:rsidR="00C93FD7">
        <w:t xml:space="preserve">Rysunek </w:t>
      </w:r>
      <w:r w:rsidR="00C93FD7">
        <w:rPr>
          <w:noProof/>
        </w:rPr>
        <w:t>17</w:t>
      </w:r>
      <w:r w:rsidR="003865EA">
        <w:fldChar w:fldCharType="end"/>
      </w:r>
      <w:r>
        <w:t>), chociaż w pytaniu</w:t>
      </w:r>
      <w:r w:rsidR="00A73946">
        <w:t xml:space="preserve"> ze względu na formułę panelu internetowego</w:t>
      </w:r>
      <w:r>
        <w:t xml:space="preserve"> </w:t>
      </w:r>
      <w:r w:rsidR="00A73946">
        <w:t>przyjęto szerokie rozumienie pojęcia podróży, bez skomplikowanych zawężeń, które część respondentów mogłaby ignorować, doprowadzając do nieporównywalności danych</w:t>
      </w:r>
      <w:r>
        <w:t>. Niemniej pozytywnie należy odnotować fakt, że większość osób uznaje swoje codzienne przemieszczanie się również jako podróż pieszo. Należy też zaznaczyć, że większość ankietowanych osób korzysta z</w:t>
      </w:r>
      <w:r>
        <w:rPr>
          <w:rFonts w:ascii="Calibri" w:hAnsi="Calibri" w:cs="Calibri"/>
        </w:rPr>
        <w:t> </w:t>
      </w:r>
      <w:r>
        <w:t xml:space="preserve">komunikacji miejskiej lub podróży samochodem jako pasażer przynajmniej raz w miesiącu lub rzadziej. Natomiast prawie 20% ankietowanych w ogóle nie korzysta z samochodu jako kierowca lub z taksówki. </w:t>
      </w:r>
    </w:p>
    <w:p w14:paraId="1A02CF8B" w14:textId="41F2C3AC" w:rsidR="004C5ECB" w:rsidRDefault="00715346" w:rsidP="00715346">
      <w:pPr>
        <w:spacing w:before="0"/>
      </w:pPr>
      <w:r w:rsidRPr="00DA5829">
        <w:t xml:space="preserve">W gronie wszystkich respondentów zapytano </w:t>
      </w:r>
      <w:r>
        <w:t>o ocenę wybranych cech komunikacji miejskiej (por.</w:t>
      </w:r>
      <w:bookmarkStart w:id="162" w:name="_Hlk25171971"/>
      <w:r w:rsidR="003865EA">
        <w:t xml:space="preserve"> </w:t>
      </w:r>
      <w:r w:rsidR="003865EA">
        <w:fldChar w:fldCharType="begin"/>
      </w:r>
      <w:r w:rsidR="003865EA">
        <w:instrText xml:space="preserve"> REF _Ref25249144 \h </w:instrText>
      </w:r>
      <w:r w:rsidR="003865EA">
        <w:fldChar w:fldCharType="separate"/>
      </w:r>
      <w:r w:rsidR="00C93FD7">
        <w:t xml:space="preserve">Rysunek </w:t>
      </w:r>
      <w:r w:rsidR="00C93FD7">
        <w:rPr>
          <w:noProof/>
        </w:rPr>
        <w:t>18</w:t>
      </w:r>
      <w:r w:rsidR="003865EA">
        <w:fldChar w:fldCharType="end"/>
      </w:r>
      <w:r w:rsidR="004C5ECB">
        <w:t xml:space="preserve">). </w:t>
      </w:r>
      <w:r w:rsidR="004C5ECB" w:rsidRPr="004C5ECB">
        <w:t xml:space="preserve">Ankietowani najgorzej ocenili dopasowanie do potrzeb (lub w ogóle obecność) parkingów </w:t>
      </w:r>
      <w:r w:rsidR="004C5ECB" w:rsidRPr="00307E9E">
        <w:rPr>
          <w:i/>
        </w:rPr>
        <w:t xml:space="preserve">Park &amp; </w:t>
      </w:r>
      <w:proofErr w:type="spellStart"/>
      <w:r w:rsidR="004C5ECB" w:rsidRPr="00307E9E">
        <w:rPr>
          <w:i/>
        </w:rPr>
        <w:t>Ride</w:t>
      </w:r>
      <w:proofErr w:type="spellEnd"/>
      <w:r w:rsidR="004C5ECB" w:rsidRPr="004C5ECB">
        <w:t xml:space="preserve"> – ocena zła lub bardzo zła około 20% ankietowanych. Drugim najgorzej ocenianym czynnikiem był czas podróży (13%), jednak równocześnie ponad połowa ankietowanych oceniała ten czynnik jako dobry lub bardzo dobry. O ile łatwość przesiadki między komunikacją miejską a koleją oceniana też była dobrze, tak w przypadku integracji taryfowej uwidocznił się brak takiej oferty - ponad 25% osób stwierdziło, że nie korzysta z takiej oferty lub jej ona nie dotyczy. Spośród badanych czynników najlepiej przez ankietowanych oceniane były kwestie związane </w:t>
      </w:r>
      <w:r w:rsidR="004C5ECB" w:rsidRPr="004C5ECB">
        <w:lastRenderedPageBreak/>
        <w:t>z</w:t>
      </w:r>
      <w:r w:rsidR="004C5ECB">
        <w:t> </w:t>
      </w:r>
      <w:r w:rsidR="004C5ECB" w:rsidRPr="004C5ECB">
        <w:t>bezpieczeństwem – zarówno osobistym przed i w czasie podróży, jak również kultura jazdy prowadzących.</w:t>
      </w:r>
    </w:p>
    <w:p w14:paraId="50B372DA" w14:textId="740D7834" w:rsidR="004C5ECB" w:rsidRDefault="004C5ECB" w:rsidP="004C5ECB">
      <w:pPr>
        <w:pStyle w:val="Legenda"/>
        <w:spacing w:before="120" w:after="0"/>
        <w:jc w:val="left"/>
      </w:pPr>
      <w:bookmarkStart w:id="163" w:name="_Ref25249134"/>
      <w:bookmarkStart w:id="164" w:name="_Toc27125395"/>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17</w:t>
      </w:r>
      <w:r w:rsidR="003C20BE">
        <w:rPr>
          <w:noProof/>
        </w:rPr>
        <w:fldChar w:fldCharType="end"/>
      </w:r>
      <w:bookmarkEnd w:id="163"/>
      <w:r>
        <w:t>. Częstotliwość korzystania ze środków transportu w grupie badanych osób.</w:t>
      </w:r>
      <w:bookmarkEnd w:id="164"/>
    </w:p>
    <w:p w14:paraId="0F49F9D4" w14:textId="77777777" w:rsidR="004C5ECB" w:rsidRDefault="004C5ECB" w:rsidP="004C5ECB">
      <w:pPr>
        <w:spacing w:before="0" w:after="0" w:line="259" w:lineRule="auto"/>
        <w:jc w:val="left"/>
      </w:pPr>
      <w:r>
        <w:rPr>
          <w:noProof/>
          <w:lang w:eastAsia="pl-PL"/>
        </w:rPr>
        <w:drawing>
          <wp:inline distT="0" distB="0" distL="0" distR="0" wp14:anchorId="78AD7031" wp14:editId="575CB6F9">
            <wp:extent cx="5764530" cy="2232211"/>
            <wp:effectExtent l="0" t="0" r="7620" b="0"/>
            <wp:docPr id="38" name="Wykres 38" descr="Wykres przedstawiający częstotliwość odbywania podróży pieszych, samochodem jako kierowca, samochodem jako pasażer, komunikacją miejską, rowerem, autobusem regionalnym, koleją i taksówką. Ponad 60% ankietowanych zadeklarowało codzienne podróże piesze, natomiast w badanej próbie około 30% osób nie korzysta w ogóle z roweru, autobusów regionalnych, kolei albo taksówki.">
              <a:extLst xmlns:a="http://schemas.openxmlformats.org/drawingml/2006/main">
                <a:ext uri="{FF2B5EF4-FFF2-40B4-BE49-F238E27FC236}">
                  <a16:creationId xmlns:a16="http://schemas.microsoft.com/office/drawing/2014/main" id="{00E10681-18AB-412B-83F2-5FC1CB397C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401EB52" w14:textId="494E015E" w:rsidR="004C5ECB" w:rsidRDefault="004C5ECB" w:rsidP="004C5ECB">
      <w:pPr>
        <w:pStyle w:val="rdo"/>
      </w:pPr>
      <w:r>
        <w:t>Źródło: opracowanie własne</w:t>
      </w:r>
      <w:r w:rsidR="002071E4">
        <w:t>.</w:t>
      </w:r>
    </w:p>
    <w:p w14:paraId="361EF393" w14:textId="7511BC3E" w:rsidR="004C5ECB" w:rsidRDefault="004C5ECB" w:rsidP="004C5ECB">
      <w:pPr>
        <w:pStyle w:val="Legenda"/>
        <w:jc w:val="left"/>
      </w:pPr>
      <w:bookmarkStart w:id="165" w:name="_Ref25249144"/>
      <w:bookmarkStart w:id="166" w:name="_Toc27125396"/>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18</w:t>
      </w:r>
      <w:r w:rsidR="003C20BE">
        <w:rPr>
          <w:noProof/>
        </w:rPr>
        <w:fldChar w:fldCharType="end"/>
      </w:r>
      <w:bookmarkEnd w:id="165"/>
      <w:r>
        <w:t>. Ocena komunikacji miejskiej (wszyscy respondenci).</w:t>
      </w:r>
      <w:bookmarkEnd w:id="166"/>
    </w:p>
    <w:p w14:paraId="5C73144F" w14:textId="77777777" w:rsidR="004C5ECB" w:rsidRDefault="004C5ECB" w:rsidP="004C5ECB">
      <w:pPr>
        <w:spacing w:before="0" w:line="259" w:lineRule="auto"/>
        <w:jc w:val="center"/>
      </w:pPr>
      <w:r>
        <w:rPr>
          <w:noProof/>
          <w:lang w:eastAsia="pl-PL"/>
        </w:rPr>
        <w:drawing>
          <wp:inline distT="0" distB="0" distL="0" distR="0" wp14:anchorId="180CE4A4" wp14:editId="0C9898C5">
            <wp:extent cx="5760085" cy="2562446"/>
            <wp:effectExtent l="0" t="0" r="0" b="0"/>
            <wp:docPr id="41" name="Wykres 41" descr="Wykres oceny komunikacji miejskiej przez wszystkich respondentów. Najgorzej oceniano dopasowanie parkingów parkuj i jedź do potrzeb. Kolejno lepsze oceny przyznawano czasowi podróży, wspólnemu biletowi na komunikację miejską i kolej, łatwości przesiadek z komunikacji miejskiej na kolej, łatwości przesiadek w komunikacji miejskiej i bezpieczeństwu osobistemu. Najlepszą ocenę przyznano bezpieczeństwie jazdy. ">
              <a:extLst xmlns:a="http://schemas.openxmlformats.org/drawingml/2006/main">
                <a:ext uri="{FF2B5EF4-FFF2-40B4-BE49-F238E27FC236}">
                  <a16:creationId xmlns:a16="http://schemas.microsoft.com/office/drawing/2014/main" id="{EA6CBEE2-E901-4BA4-9E73-C5CA1F9C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5DF0699" w14:textId="50973D1A" w:rsidR="004C5ECB" w:rsidRDefault="004C5ECB" w:rsidP="004C5ECB">
      <w:pPr>
        <w:pStyle w:val="rdo"/>
      </w:pPr>
      <w:r>
        <w:t>Źródło: opracowanie własne</w:t>
      </w:r>
      <w:r w:rsidR="002071E4">
        <w:t>.</w:t>
      </w:r>
    </w:p>
    <w:p w14:paraId="1B7BADFD" w14:textId="19F03457" w:rsidR="004C5ECB" w:rsidRDefault="004C5ECB" w:rsidP="004C5ECB">
      <w:pPr>
        <w:spacing w:before="0"/>
      </w:pPr>
      <w:r>
        <w:t>Ocenie jakościowej poddana została też dostępność komunikacji miejskiej (</w:t>
      </w:r>
      <w:r>
        <w:fldChar w:fldCharType="begin"/>
      </w:r>
      <w:r>
        <w:instrText xml:space="preserve"> REF _Ref24929313 \h </w:instrText>
      </w:r>
      <w:r>
        <w:fldChar w:fldCharType="separate"/>
      </w:r>
      <w:r w:rsidR="00C93FD7">
        <w:t xml:space="preserve">Rysunek </w:t>
      </w:r>
      <w:r w:rsidR="00C93FD7">
        <w:rPr>
          <w:noProof/>
        </w:rPr>
        <w:t>19</w:t>
      </w:r>
      <w:r>
        <w:fldChar w:fldCharType="end"/>
      </w:r>
      <w:r>
        <w:t>). Respondentów zapytano o 10 aspektów tej cechy. Najgorzej oceniono poziom cen biletów, informacje w sytuacjach awaryjnych oraz częstotliwość kursowania. Zła ocena poziomu cen biletów może dziwić, ponieważ w porównaniu do krajów zachodnich ceny nie są na wysokim poziomie, jednak może w tej ocenie się uwidaczniać wysoka dysproporcja względem niskiego kosztu użytkowania samochodu w mieście. Ankietowani najlepiej ocenili natomiast czytelność informacji o rozkładzie jazdy, lokalizację przystanków oraz łatwość zakupu biletów. W sytuacji, gdy rozwinięto w polskich miastach różne kanały dystrybucji biletów (karty miejskie, bilety mobilne, systemy bazujące na kartach płatniczych), prawie 80% respondentów ocenia łatwość zakupu biletów dobrze lub bardzo dobrze.</w:t>
      </w:r>
    </w:p>
    <w:p w14:paraId="53CCDC89" w14:textId="77777777" w:rsidR="004C5ECB" w:rsidRPr="004C5ECB" w:rsidRDefault="004C5ECB" w:rsidP="004C5ECB"/>
    <w:p w14:paraId="49207FCE" w14:textId="2A22C3BE" w:rsidR="004C57E5" w:rsidRDefault="004C57E5" w:rsidP="000F4D69">
      <w:pPr>
        <w:pStyle w:val="Legenda"/>
        <w:spacing w:after="0"/>
        <w:jc w:val="left"/>
      </w:pPr>
      <w:bookmarkStart w:id="167" w:name="_Ref24929313"/>
      <w:bookmarkStart w:id="168" w:name="_Toc27125397"/>
      <w:bookmarkEnd w:id="162"/>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19</w:t>
      </w:r>
      <w:r w:rsidR="003C20BE">
        <w:rPr>
          <w:noProof/>
        </w:rPr>
        <w:fldChar w:fldCharType="end"/>
      </w:r>
      <w:bookmarkEnd w:id="167"/>
      <w:r>
        <w:t>.</w:t>
      </w:r>
      <w:r w:rsidRPr="004C57E5">
        <w:t xml:space="preserve"> </w:t>
      </w:r>
      <w:r>
        <w:t>Ocena dostępności komunikacji miejskiej (wszyscy respondenci).</w:t>
      </w:r>
      <w:bookmarkEnd w:id="168"/>
    </w:p>
    <w:p w14:paraId="3513259E" w14:textId="5F4EE290" w:rsidR="00ED0C3E" w:rsidRDefault="004C57E5" w:rsidP="000F4D69">
      <w:pPr>
        <w:spacing w:before="0"/>
        <w:jc w:val="center"/>
      </w:pPr>
      <w:r>
        <w:rPr>
          <w:noProof/>
          <w:lang w:eastAsia="pl-PL"/>
        </w:rPr>
        <w:drawing>
          <wp:inline distT="0" distB="0" distL="0" distR="0" wp14:anchorId="527151D1" wp14:editId="46A62D8D">
            <wp:extent cx="5760085" cy="3062177"/>
            <wp:effectExtent l="0" t="0" r="0" b="5080"/>
            <wp:docPr id="33" name="Wykres 33" descr="Wykres z oceną dostępności komunikacji miejskiej przez wszystkich respondentów w skali 5 stopniowej. Najgorsze oceny przyznano poziomowi cen biletów oraz informacji w sytuacjach awaryjnych. Następnie co raz lepsze oceny dotyczyły odpowiedniości częstotliwości kursowania, informacji za ile minut przyjedzie pojazd, odpowiedniości godzin kursowania, dostosowania pojazdów do wjazdu wózkiem, korzystnego przebiegu tras i łatwości zakupu biletów. Najlepsze oceny przyznano dogodnej lokalizacji przystanków i czytelności informacji o rozkładzie jazdy.">
              <a:extLst xmlns:a="http://schemas.openxmlformats.org/drawingml/2006/main">
                <a:ext uri="{FF2B5EF4-FFF2-40B4-BE49-F238E27FC236}">
                  <a16:creationId xmlns:a16="http://schemas.microsoft.com/office/drawing/2014/main" id="{75A4D064-9F26-4E11-ABB6-35B37B664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05696D6" w14:textId="550FF300" w:rsidR="009773AF" w:rsidRDefault="009773AF" w:rsidP="00AC0A56">
      <w:pPr>
        <w:pStyle w:val="rdo"/>
      </w:pPr>
      <w:r>
        <w:t>Źródło: opracowanie własne</w:t>
      </w:r>
      <w:r w:rsidR="002071E4">
        <w:t>.</w:t>
      </w:r>
    </w:p>
    <w:p w14:paraId="0F7324A9" w14:textId="24488908" w:rsidR="000E312F" w:rsidRDefault="000E312F" w:rsidP="00AC0A56">
      <w:pPr>
        <w:pStyle w:val="rdo"/>
      </w:pPr>
      <w:bookmarkStart w:id="169" w:name="_Ref24930162"/>
      <w:bookmarkStart w:id="170" w:name="_Toc27125398"/>
      <w:r>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20</w:t>
      </w:r>
      <w:r w:rsidR="003C20BE">
        <w:rPr>
          <w:noProof/>
        </w:rPr>
        <w:fldChar w:fldCharType="end"/>
      </w:r>
      <w:bookmarkEnd w:id="169"/>
      <w:r>
        <w:t>. Ocena komfortu pojazdów transportu publicznego</w:t>
      </w:r>
      <w:r w:rsidRPr="000E312F">
        <w:t xml:space="preserve"> </w:t>
      </w:r>
      <w:r>
        <w:t>(wszyscy respondenci).</w:t>
      </w:r>
      <w:bookmarkEnd w:id="170"/>
    </w:p>
    <w:p w14:paraId="4AAD25A1" w14:textId="34D483D9" w:rsidR="00ED0C3E" w:rsidRDefault="000E312F" w:rsidP="00CE4F4F">
      <w:r w:rsidRPr="008057F5">
        <w:rPr>
          <w:noProof/>
          <w:lang w:eastAsia="pl-PL"/>
        </w:rPr>
        <w:drawing>
          <wp:inline distT="0" distB="0" distL="0" distR="0" wp14:anchorId="112953EE" wp14:editId="1A4E90C7">
            <wp:extent cx="5760085" cy="3104707"/>
            <wp:effectExtent l="0" t="0" r="0" b="635"/>
            <wp:docPr id="37" name="Wykres 37" descr="Ocena komfortu pojazdów transportu publicznego przez wszystkich respondentów. Najwięcej ocen złych i bardzo złych zebrał parametr odpowiedniości temperatury latem oraz uciążliwości w wyniku drgań i hałasu. Najlepiej oceniono dostępność miejsc stojących w pojazdach.">
              <a:extLst xmlns:a="http://schemas.openxmlformats.org/drawingml/2006/main">
                <a:ext uri="{FF2B5EF4-FFF2-40B4-BE49-F238E27FC236}">
                  <a16:creationId xmlns:a16="http://schemas.microsoft.com/office/drawing/2014/main" id="{1F0E669C-7871-49AA-9F60-4C28EFD8FF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7D2DFA4" w14:textId="5FEA17B2" w:rsidR="009773AF" w:rsidRDefault="009773AF" w:rsidP="00D415F4">
      <w:pPr>
        <w:pStyle w:val="rdo"/>
      </w:pPr>
      <w:r>
        <w:t>Źródło: opracowanie własne</w:t>
      </w:r>
      <w:r w:rsidR="002071E4">
        <w:t>.</w:t>
      </w:r>
    </w:p>
    <w:p w14:paraId="175904DD" w14:textId="64536D5B" w:rsidR="00002FD4" w:rsidRDefault="00002FD4" w:rsidP="00002FD4">
      <w:pPr>
        <w:spacing w:before="0"/>
      </w:pPr>
      <w:r>
        <w:t xml:space="preserve">Ankietowani ocenili też komfort pojazdów transportu publicznego (por. </w:t>
      </w:r>
      <w:r>
        <w:fldChar w:fldCharType="begin"/>
      </w:r>
      <w:r>
        <w:instrText xml:space="preserve"> REF _Ref24930162 \h </w:instrText>
      </w:r>
      <w:r>
        <w:fldChar w:fldCharType="separate"/>
      </w:r>
      <w:r w:rsidR="00C93FD7">
        <w:t xml:space="preserve">Rysunek </w:t>
      </w:r>
      <w:r w:rsidR="00C93FD7">
        <w:rPr>
          <w:noProof/>
        </w:rPr>
        <w:t>20</w:t>
      </w:r>
      <w:r>
        <w:fldChar w:fldCharType="end"/>
      </w:r>
      <w:r>
        <w:t>). Zdecydowanie najgorzej (prawie 30% odpowiedzi zła lub bardzo zła) respondenci ocenili odpowiedniość temperatury latem (badanie przeprowadzono w październiku). Może to wynikać z</w:t>
      </w:r>
      <w:r w:rsidR="00FE5D20">
        <w:t> </w:t>
      </w:r>
      <w:r>
        <w:t xml:space="preserve">niewystarczającej liczby taboru wyposażonego w klimatyzację lub trudności operatorów komunikacji w odpowiednim ustawieniu jej działania. Odsetek odpowiedzi negatywnych wyższy był też w przypadku pytania o poziom drgań i hałasu w pojazdach, ale też dostępność miejsc </w:t>
      </w:r>
      <w:r>
        <w:lastRenderedPageBreak/>
        <w:t>siedzących (15% odpowiedzi). Z odpowiedzi ankietowanych wynika jednak, że problemem nie jest już dziś dostępność miejsc stojących w pojazdach, ponieważ prawie 80% osób oceniło tę cechę dobrze lub bardzo dobrze, najlepiej spośród ocenianych parametrów taboru.</w:t>
      </w:r>
    </w:p>
    <w:p w14:paraId="5EF05253" w14:textId="527E000E" w:rsidR="00715346" w:rsidRDefault="00715346" w:rsidP="00715346">
      <w:r>
        <w:t xml:space="preserve">Celem panelu CAWI była m.in. jakościowa ocena informacji w sytuacjach awaryjnych, kwestii podnoszonej m.in. przez organizatorów transportu w czasie wywiadów IDI. Źle lub bardzo źle oceniało ją ponad 20% respondentów, postanowiono więc sprawdzić, jak poziom informacji oceniano w kategoriach wielkości miast oraz w poszczególnych ośrodkach (por. </w:t>
      </w:r>
      <w:r>
        <w:fldChar w:fldCharType="begin"/>
      </w:r>
      <w:r>
        <w:instrText xml:space="preserve"> REF _Ref24930939 \h </w:instrText>
      </w:r>
      <w:r>
        <w:fldChar w:fldCharType="separate"/>
      </w:r>
      <w:r w:rsidR="00C93FD7">
        <w:t xml:space="preserve">Rysunek </w:t>
      </w:r>
      <w:r w:rsidR="00C93FD7">
        <w:rPr>
          <w:noProof/>
        </w:rPr>
        <w:t>21</w:t>
      </w:r>
      <w:r>
        <w:fldChar w:fldCharType="end"/>
      </w:r>
      <w:r>
        <w:t xml:space="preserve">). </w:t>
      </w:r>
    </w:p>
    <w:p w14:paraId="44932A8B" w14:textId="77777777" w:rsidR="00715346" w:rsidRDefault="00715346" w:rsidP="00715346">
      <w:r>
        <w:t>Okazało się, że informacje w sytuacjach awaryjnych gorzej oceniano w miastach większych, a w szczególności ośrodkach z komunikacją tramwajową. Na podobnym poziomie ocena negatywna dotyczyła m.in. Łodzi, Częstochowy, Gorzowa Wielkopolskiego, Wrocławia, Elbląga i Gdańska. Wyraźnie najmniejszy odsetek negatywnych odpowiedzi pojawił się natomiast w przypadku płockiej komunikacji miejskiej (dostępne tylko autobusy).</w:t>
      </w:r>
    </w:p>
    <w:p w14:paraId="4E620A9C" w14:textId="5C3523F6" w:rsidR="00715346" w:rsidRDefault="00715346" w:rsidP="00715346">
      <w:r>
        <w:t xml:space="preserve">W ostatniej grupie pytań zapytano ankietowanych, na ile zgadzają się z postawionymi stwierdzeniami (por. </w:t>
      </w:r>
      <w:r>
        <w:fldChar w:fldCharType="begin"/>
      </w:r>
      <w:r>
        <w:instrText xml:space="preserve"> REF _Ref24931368 \h </w:instrText>
      </w:r>
      <w:r>
        <w:fldChar w:fldCharType="separate"/>
      </w:r>
      <w:r w:rsidR="00C93FD7">
        <w:t xml:space="preserve">Rysunek </w:t>
      </w:r>
      <w:r w:rsidR="00C93FD7">
        <w:rPr>
          <w:noProof/>
        </w:rPr>
        <w:t>22</w:t>
      </w:r>
      <w:r>
        <w:fldChar w:fldCharType="end"/>
      </w:r>
      <w:r>
        <w:t xml:space="preserve">). Ponad 70% w grupie osób zamiennie korzystających z samochodu i komunikacji miejskiej stwierdziło, że komunikacja pozwala im łatwo dostać się do wszystkich ważnych miejsc w mieście. Pozytywnie oceniano też komfort i nieuciążliwość przesiadek między pojazdami komunikacji miejskiej. </w:t>
      </w:r>
    </w:p>
    <w:p w14:paraId="71BE7EA2" w14:textId="21288FF7" w:rsidR="00715346" w:rsidRDefault="00715346">
      <w:pPr>
        <w:spacing w:before="0" w:line="259" w:lineRule="auto"/>
        <w:jc w:val="left"/>
        <w:sectPr w:rsidR="00715346" w:rsidSect="0063376C">
          <w:pgSz w:w="11906" w:h="16838"/>
          <w:pgMar w:top="1418" w:right="1134" w:bottom="1418" w:left="1134" w:header="709" w:footer="709" w:gutter="567"/>
          <w:cols w:space="708"/>
          <w:docGrid w:linePitch="360"/>
        </w:sectPr>
      </w:pPr>
    </w:p>
    <w:p w14:paraId="06001A16" w14:textId="117A1372" w:rsidR="00CE02DC" w:rsidRDefault="00CE02DC" w:rsidP="00CE02DC">
      <w:pPr>
        <w:pStyle w:val="Legenda"/>
      </w:pPr>
      <w:bookmarkStart w:id="171" w:name="_Toc529789056"/>
      <w:bookmarkStart w:id="172" w:name="_Ref24930939"/>
      <w:bookmarkStart w:id="173" w:name="_Toc27125399"/>
      <w:bookmarkEnd w:id="171"/>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21</w:t>
      </w:r>
      <w:r w:rsidR="003C20BE">
        <w:rPr>
          <w:noProof/>
        </w:rPr>
        <w:fldChar w:fldCharType="end"/>
      </w:r>
      <w:bookmarkEnd w:id="172"/>
      <w:r>
        <w:t>.</w:t>
      </w:r>
      <w:r w:rsidRPr="00CE02DC">
        <w:t xml:space="preserve"> </w:t>
      </w:r>
      <w:r>
        <w:t>Ocena zła lub bardzo zła dostępności informacji w sytuacjach awaryjnych z podziałem na poszczególne miasta (wszyscy respondenci).</w:t>
      </w:r>
      <w:bookmarkEnd w:id="173"/>
    </w:p>
    <w:p w14:paraId="5E0B3659" w14:textId="639AD614" w:rsidR="008057F5" w:rsidRDefault="00CE02DC" w:rsidP="008057F5">
      <w:r w:rsidRPr="008057F5">
        <w:rPr>
          <w:noProof/>
          <w:lang w:eastAsia="pl-PL"/>
        </w:rPr>
        <mc:AlternateContent>
          <mc:Choice Requires="wps">
            <w:drawing>
              <wp:anchor distT="0" distB="0" distL="114300" distR="114300" simplePos="0" relativeHeight="251655168" behindDoc="0" locked="0" layoutInCell="1" allowOverlap="1" wp14:anchorId="55979B3C" wp14:editId="4914100D">
                <wp:simplePos x="0" y="0"/>
                <wp:positionH relativeFrom="column">
                  <wp:posOffset>1798025</wp:posOffset>
                </wp:positionH>
                <wp:positionV relativeFrom="paragraph">
                  <wp:posOffset>123575</wp:posOffset>
                </wp:positionV>
                <wp:extent cx="0" cy="3284264"/>
                <wp:effectExtent l="19050" t="0" r="19050" b="0"/>
                <wp:wrapNone/>
                <wp:docPr id="21" name="Łącznik prosty 2" descr="Linia oddzielająca dane dotyczące poszczególnych klas wielkości miast od pojedynczych jednoste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284264"/>
                        </a:xfrm>
                        <a:prstGeom prst="line">
                          <a:avLst/>
                        </a:prstGeom>
                        <a:ln w="3175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CC6CC6" id="Łącznik prosty 2" o:spid="_x0000_s1026" alt="Linia oddzielająca dane dotyczące poszczególnych klas wielkości miast od pojedynczych jednostek."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pt,9.75pt" to="141.6pt,26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" strokecolor="red" strokeweight="2.5pt">
                <v:stroke dashstyle="longDash" joinstyle="miter"/>
                <o:lock v:ext="edit" shapetype="f"/>
              </v:line>
            </w:pict>
          </mc:Fallback>
        </mc:AlternateContent>
      </w:r>
      <w:r w:rsidRPr="008057F5">
        <w:rPr>
          <w:noProof/>
          <w:lang w:eastAsia="pl-PL"/>
        </w:rPr>
        <mc:AlternateContent>
          <mc:Choice Requires="wps">
            <w:drawing>
              <wp:anchor distT="0" distB="0" distL="114300" distR="114300" simplePos="0" relativeHeight="251657216" behindDoc="0" locked="0" layoutInCell="1" allowOverlap="1" wp14:anchorId="065880D2" wp14:editId="7FB1B263">
                <wp:simplePos x="0" y="0"/>
                <wp:positionH relativeFrom="column">
                  <wp:posOffset>745401</wp:posOffset>
                </wp:positionH>
                <wp:positionV relativeFrom="paragraph">
                  <wp:posOffset>123574</wp:posOffset>
                </wp:positionV>
                <wp:extent cx="0" cy="3285460"/>
                <wp:effectExtent l="19050" t="0" r="19050" b="0"/>
                <wp:wrapNone/>
                <wp:docPr id="24" name="Łącznik prosty 2" descr="Linia oddzielająca dane ogółu miast od klas ludności jednostek miejskich."/>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285460"/>
                        </a:xfrm>
                        <a:prstGeom prst="line">
                          <a:avLst/>
                        </a:prstGeom>
                        <a:ln w="3175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9A9CD8" id="Łącznik prosty 2" o:spid="_x0000_s1026" alt="Linia oddzielająca dane ogółu miast od klas ludności jednostek miejskich."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7pt,9.75pt" to="58.7pt,2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" strokecolor="red" strokeweight="2.5pt">
                <v:stroke dashstyle="longDash" joinstyle="miter"/>
                <o:lock v:ext="edit" shapetype="f"/>
              </v:line>
            </w:pict>
          </mc:Fallback>
        </mc:AlternateContent>
      </w:r>
      <w:r w:rsidR="008057F5" w:rsidRPr="008057F5">
        <w:rPr>
          <w:noProof/>
          <w:lang w:eastAsia="pl-PL"/>
        </w:rPr>
        <w:drawing>
          <wp:inline distT="0" distB="0" distL="0" distR="0" wp14:anchorId="1353501D" wp14:editId="6907A81B">
            <wp:extent cx="8891270" cy="4561368"/>
            <wp:effectExtent l="0" t="0" r="5080" b="0"/>
            <wp:docPr id="22" name="Wykres 22" descr="Ocena zła lub bardzo zła dostępności informacji w sytuacjach awaryjnych z podziałem na klasy miast, poszczególne miasta i ogół ankietowanych. Około 22% ankietowanych ocenia ten parametr komunikacji miejskiej jako zły i odsetek ten rośnie wraz z liczbą mieszkańców danej jednostki. Wyraźnie gorzej pod względem informacji awaryjnych oceniane są miasta z komunikacją tramwajową.">
              <a:extLst xmlns:a="http://schemas.openxmlformats.org/drawingml/2006/main">
                <a:ext uri="{FF2B5EF4-FFF2-40B4-BE49-F238E27FC236}">
                  <a16:creationId xmlns:a16="http://schemas.microsoft.com/office/drawing/2014/main" id="{45ED6216-8B13-42D0-B15C-EF4E933D11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613A9D6" w14:textId="0A6399E6" w:rsidR="009773AF" w:rsidRDefault="009773AF" w:rsidP="00D415F4">
      <w:pPr>
        <w:pStyle w:val="rdo"/>
      </w:pPr>
      <w:r>
        <w:t>Źródło: opracowanie własne.</w:t>
      </w:r>
    </w:p>
    <w:p w14:paraId="40856B62" w14:textId="283F6E6F" w:rsidR="0077402E" w:rsidRDefault="0077402E" w:rsidP="0077402E">
      <w:pPr>
        <w:pStyle w:val="Legenda"/>
        <w:spacing w:after="120"/>
      </w:pPr>
      <w:bookmarkStart w:id="174" w:name="_Ref24931368"/>
      <w:bookmarkStart w:id="175" w:name="_Toc27125400"/>
      <w:r>
        <w:lastRenderedPageBreak/>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22</w:t>
      </w:r>
      <w:r w:rsidR="003C20BE">
        <w:rPr>
          <w:noProof/>
        </w:rPr>
        <w:fldChar w:fldCharType="end"/>
      </w:r>
      <w:bookmarkEnd w:id="174"/>
      <w:r>
        <w:t>.</w:t>
      </w:r>
      <w:r w:rsidR="009773AF">
        <w:t xml:space="preserve"> </w:t>
      </w:r>
      <w:r>
        <w:t>Czy Pan/Pani zgadza się czy nie zgadza z poniższymi stwierdzeniami? (ocena wśród korzystających zamiennie z samochodu i komunikacji miejskiej)</w:t>
      </w:r>
      <w:bookmarkEnd w:id="175"/>
    </w:p>
    <w:p w14:paraId="71B7578D" w14:textId="7F9018A1" w:rsidR="00CE02DC" w:rsidRDefault="00CE02DC" w:rsidP="0077402E">
      <w:pPr>
        <w:spacing w:before="0"/>
      </w:pPr>
      <w:r w:rsidRPr="008057F5">
        <w:rPr>
          <w:noProof/>
          <w:lang w:eastAsia="pl-PL"/>
        </w:rPr>
        <w:drawing>
          <wp:inline distT="0" distB="0" distL="0" distR="0" wp14:anchorId="3FCC6BEF" wp14:editId="61CC21E6">
            <wp:extent cx="8867775" cy="3923414"/>
            <wp:effectExtent l="0" t="0" r="0" b="1270"/>
            <wp:docPr id="17" name="Wykres 17" descr="Wykres zawierający zgodność wśród korzystających zamiennie z samochodu i komunikacji miejskiej co do postawionych tez dotyczących transportu w ich mieście. Większość osób zgodziło się ze stwierdzeniami, że za pomocą komunikacji miejskiej mogą łatwo dotrzeć do wszystkich ważnych miejsc, środki komunikacji miejskiej są komfortowe i czasem zastanawiam się czy iść pieszo czy jechać autobusem.  Ponad połowa respondentów nie zgodziła się jednak ze stwierdzeniami, że w ich mieście łatwo jest znaleźć miejsce do zaparkowania i że bez samochodu nie byłyby w stanie dotrzeć do pracy.">
              <a:extLst xmlns:a="http://schemas.openxmlformats.org/drawingml/2006/main">
                <a:ext uri="{FF2B5EF4-FFF2-40B4-BE49-F238E27FC236}">
                  <a16:creationId xmlns:a16="http://schemas.microsoft.com/office/drawing/2014/main" id="{E3137DA0-6884-4FE7-B3D2-423652F4D3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60DD11F" w14:textId="4B10EE82" w:rsidR="009773AF" w:rsidRDefault="009773AF" w:rsidP="00D415F4">
      <w:pPr>
        <w:pStyle w:val="rdo"/>
      </w:pPr>
      <w:r>
        <w:t>Źródło: opracowanie własne.</w:t>
      </w:r>
    </w:p>
    <w:p w14:paraId="745B9C96" w14:textId="2DB368F1" w:rsidR="005C667E" w:rsidRDefault="005C667E" w:rsidP="0077402E">
      <w:pPr>
        <w:spacing w:before="0"/>
        <w:sectPr w:rsidR="005C667E" w:rsidSect="008057F5">
          <w:pgSz w:w="16838" w:h="11906" w:orient="landscape"/>
          <w:pgMar w:top="1134" w:right="1418" w:bottom="1134" w:left="1418" w:header="709" w:footer="709" w:gutter="567"/>
          <w:cols w:space="708"/>
          <w:docGrid w:linePitch="360"/>
        </w:sectPr>
      </w:pPr>
      <w:r>
        <w:t xml:space="preserve">W badaniu uwidoczniły się problemy z parkowaniem w polskich miastach. 60% ankietowanych nie zgodziło się ze stwierdzeniem, że w ich mieście łatwo znaleźć miejsce do zaparkowania. Podobny odsetek nie zgodził się jednak ze stwierdzeniem, że bez samochodu nie byłby w stanie dotrzeć do pracy, co oznacza, że komunikacja miejska dojazd ten zapewnia. Pełne wyniki badania panelem CAWI zawiera </w:t>
      </w:r>
      <w:r>
        <w:fldChar w:fldCharType="begin"/>
      </w:r>
      <w:r>
        <w:instrText xml:space="preserve"> REF Załącznik5 \h </w:instrText>
      </w:r>
      <w:r>
        <w:fldChar w:fldCharType="separate"/>
      </w:r>
      <w:r w:rsidR="00C93FD7" w:rsidRPr="00CE65CD">
        <w:rPr>
          <w:color w:val="000000" w:themeColor="text1"/>
        </w:rPr>
        <w:t>Załącznik 5</w:t>
      </w:r>
      <w:r>
        <w:fldChar w:fldCharType="end"/>
      </w:r>
      <w:r>
        <w:t>.</w:t>
      </w:r>
    </w:p>
    <w:p w14:paraId="562CE17A" w14:textId="1E39C886" w:rsidR="00505691" w:rsidRPr="00DD74F2" w:rsidRDefault="00505691" w:rsidP="00F06D0A">
      <w:pPr>
        <w:pStyle w:val="Nagwek2"/>
      </w:pPr>
      <w:bookmarkStart w:id="176" w:name="_Toc27125345"/>
      <w:r w:rsidRPr="00DD74F2">
        <w:lastRenderedPageBreak/>
        <w:t>Analizy ilościowe</w:t>
      </w:r>
      <w:bookmarkEnd w:id="176"/>
    </w:p>
    <w:p w14:paraId="186D5D20" w14:textId="2EB4D925" w:rsidR="00F06D0A" w:rsidRPr="00B320B7" w:rsidRDefault="00B320B7" w:rsidP="00B320B7">
      <w:pPr>
        <w:pStyle w:val="Nagwek3"/>
      </w:pPr>
      <w:bookmarkStart w:id="177" w:name="_Toc27125346"/>
      <w:r w:rsidRPr="00B320B7">
        <w:t>Wypracowanie założeń analiz metodą PSM</w:t>
      </w:r>
      <w:bookmarkEnd w:id="177"/>
    </w:p>
    <w:p w14:paraId="74DCB461" w14:textId="1D654306" w:rsidR="00742CBC" w:rsidRDefault="00742CBC" w:rsidP="00742CBC">
      <w:bookmarkStart w:id="178" w:name="_Hlk25244691"/>
      <w:r>
        <w:t>Dla metody PSM przeprowadzono p</w:t>
      </w:r>
      <w:r w:rsidRPr="006547D7">
        <w:t xml:space="preserve">ilotaż możliwości analizy zmian płynności ruchu w skali pojedynczych </w:t>
      </w:r>
      <w:r w:rsidR="00B320B7">
        <w:t>odcinków</w:t>
      </w:r>
      <w:r>
        <w:t xml:space="preserve"> </w:t>
      </w:r>
      <w:r w:rsidRPr="006547D7">
        <w:t xml:space="preserve">wraz z wykonaniem próbnego poszukiwania odcinków kontrfaktycznych dla </w:t>
      </w:r>
      <w:r>
        <w:t xml:space="preserve">wybranych </w:t>
      </w:r>
      <w:r w:rsidRPr="006547D7">
        <w:t>10 inwestycji VI OP POIiŚ</w:t>
      </w:r>
      <w:r>
        <w:t xml:space="preserve"> 2014-2020</w:t>
      </w:r>
      <w:r w:rsidRPr="006547D7">
        <w:t>.</w:t>
      </w:r>
      <w:r>
        <w:t xml:space="preserve"> Odcinki kontrfaktyczne wybierano z puli ponad 100 odcinków sieci komunikacyjnych miast Polski, którym przypisano najważniejsze cechy mogące determinować płynność oraz bezpieczeństwo ruchu.</w:t>
      </w:r>
    </w:p>
    <w:bookmarkEnd w:id="178"/>
    <w:p w14:paraId="5200E80C" w14:textId="77777777" w:rsidR="00742CBC" w:rsidRPr="00F32C52" w:rsidRDefault="00742CBC" w:rsidP="00742CBC">
      <w:r w:rsidRPr="00F32C52">
        <w:t>Oddzielnie sparowano odcinki komunikacji tramwajowej i odcinki komunikacji autobusowej, które w wyniku przeprowadzenia inwestycji w ramach POIiŚ będą obsługiwane komunikacją tramwajową</w:t>
      </w:r>
      <w:r>
        <w:t xml:space="preserve">. </w:t>
      </w:r>
      <w:r w:rsidRPr="00F32C52">
        <w:t xml:space="preserve">Przy </w:t>
      </w:r>
      <w:r>
        <w:t xml:space="preserve">finalnym </w:t>
      </w:r>
      <w:r w:rsidRPr="00F32C52">
        <w:t>parowaniu odcinków uwzględniono następujące zmienne:</w:t>
      </w:r>
    </w:p>
    <w:p w14:paraId="07D2E31D" w14:textId="3C89C549" w:rsidR="00742CBC" w:rsidRPr="00F32C52" w:rsidRDefault="00A73946" w:rsidP="001B2A4E">
      <w:pPr>
        <w:pStyle w:val="Akapitzlist"/>
        <w:numPr>
          <w:ilvl w:val="0"/>
          <w:numId w:val="12"/>
        </w:numPr>
      </w:pPr>
      <w:r>
        <w:t>liczba kursów</w:t>
      </w:r>
      <w:r w:rsidRPr="00F32C52">
        <w:t xml:space="preserve"> </w:t>
      </w:r>
      <w:r w:rsidR="00742CBC" w:rsidRPr="00F32C52">
        <w:t xml:space="preserve">na </w:t>
      </w:r>
      <w:r>
        <w:t>godzinę</w:t>
      </w:r>
      <w:r w:rsidR="00742CBC" w:rsidRPr="00F32C52">
        <w:t xml:space="preserve"> szczytu</w:t>
      </w:r>
      <w:r w:rsidR="00742CBC">
        <w:t>;</w:t>
      </w:r>
    </w:p>
    <w:p w14:paraId="405F7F57" w14:textId="352F4411" w:rsidR="00742CBC" w:rsidRPr="00F32C52" w:rsidRDefault="00A73946" w:rsidP="001B2A4E">
      <w:pPr>
        <w:pStyle w:val="Akapitzlist"/>
        <w:numPr>
          <w:ilvl w:val="0"/>
          <w:numId w:val="12"/>
        </w:numPr>
      </w:pPr>
      <w:r>
        <w:t>liczba przystanków</w:t>
      </w:r>
      <w:r w:rsidRPr="00F32C52">
        <w:t xml:space="preserve"> </w:t>
      </w:r>
      <w:r w:rsidR="00742CBC" w:rsidRPr="00F32C52">
        <w:t xml:space="preserve">na </w:t>
      </w:r>
      <w:r w:rsidR="00D43957">
        <w:t xml:space="preserve">kilometr </w:t>
      </w:r>
      <w:r w:rsidR="00742CBC" w:rsidRPr="00F32C52">
        <w:t>tras</w:t>
      </w:r>
      <w:r w:rsidR="00D43957">
        <w:t>y;</w:t>
      </w:r>
    </w:p>
    <w:p w14:paraId="2AA5021A" w14:textId="77777777" w:rsidR="00742CBC" w:rsidRPr="00F32C52" w:rsidRDefault="00742CBC" w:rsidP="001B2A4E">
      <w:pPr>
        <w:pStyle w:val="Akapitzlist"/>
        <w:numPr>
          <w:ilvl w:val="0"/>
          <w:numId w:val="12"/>
        </w:numPr>
      </w:pPr>
      <w:r w:rsidRPr="00F32C52">
        <w:t>przekrój drogi (liczba pasów w 1 kierunku) – ze zwiększoną wagą dla odcinków autobusowych</w:t>
      </w:r>
      <w:r>
        <w:t>;</w:t>
      </w:r>
    </w:p>
    <w:p w14:paraId="174E5C97" w14:textId="7153094E" w:rsidR="00742CBC" w:rsidRPr="00F32C52" w:rsidRDefault="00742CBC" w:rsidP="001B2A4E">
      <w:pPr>
        <w:pStyle w:val="Akapitzlist"/>
        <w:numPr>
          <w:ilvl w:val="0"/>
          <w:numId w:val="12"/>
        </w:numPr>
      </w:pPr>
      <w:r w:rsidRPr="00F32C52">
        <w:t xml:space="preserve">buspas lub </w:t>
      </w:r>
      <w:r w:rsidR="00A3257C" w:rsidRPr="00F32C52">
        <w:t>wydzielon</w:t>
      </w:r>
      <w:r w:rsidR="00A3257C">
        <w:t>e</w:t>
      </w:r>
      <w:r w:rsidR="00A3257C" w:rsidRPr="00F32C52">
        <w:t xml:space="preserve"> </w:t>
      </w:r>
      <w:r w:rsidRPr="00F32C52">
        <w:t>tor</w:t>
      </w:r>
      <w:r w:rsidR="00A3257C">
        <w:t>owisko</w:t>
      </w:r>
      <w:r w:rsidRPr="00F32C52">
        <w:t xml:space="preserve"> – ze zwiększoną wagą dla odcinków tramwajowych</w:t>
      </w:r>
      <w:r>
        <w:t>;</w:t>
      </w:r>
    </w:p>
    <w:p w14:paraId="3442C8B9" w14:textId="77777777" w:rsidR="00742CBC" w:rsidRPr="00F32C52" w:rsidRDefault="00742CBC" w:rsidP="001B2A4E">
      <w:pPr>
        <w:pStyle w:val="Akapitzlist"/>
        <w:numPr>
          <w:ilvl w:val="0"/>
          <w:numId w:val="12"/>
        </w:numPr>
      </w:pPr>
      <w:r w:rsidRPr="00F32C52">
        <w:t>prędkość dopuszczalna (km/h)</w:t>
      </w:r>
      <w:r>
        <w:t>;</w:t>
      </w:r>
    </w:p>
    <w:p w14:paraId="011B4012" w14:textId="1998D9F8" w:rsidR="00742CBC" w:rsidRPr="00F32C52" w:rsidRDefault="00A3257C" w:rsidP="001B2A4E">
      <w:pPr>
        <w:pStyle w:val="Akapitzlist"/>
        <w:numPr>
          <w:ilvl w:val="0"/>
          <w:numId w:val="12"/>
        </w:numPr>
      </w:pPr>
      <w:r w:rsidRPr="00A3257C">
        <w:t xml:space="preserve">liczba </w:t>
      </w:r>
      <w:r w:rsidR="00742CBC" w:rsidRPr="00A3257C">
        <w:t>skrzyżowa</w:t>
      </w:r>
      <w:r w:rsidRPr="00A3257C">
        <w:t>ń</w:t>
      </w:r>
      <w:r w:rsidR="00742CBC" w:rsidRPr="00F32C52">
        <w:t xml:space="preserve"> z sygnalizacją</w:t>
      </w:r>
      <w:r w:rsidR="00742CBC">
        <w:t>;</w:t>
      </w:r>
    </w:p>
    <w:p w14:paraId="0D75A45F" w14:textId="17EEB079" w:rsidR="00742CBC" w:rsidRPr="00F32C52" w:rsidRDefault="00A3257C" w:rsidP="001B2A4E">
      <w:pPr>
        <w:pStyle w:val="Akapitzlist"/>
        <w:numPr>
          <w:ilvl w:val="0"/>
          <w:numId w:val="12"/>
        </w:numPr>
      </w:pPr>
      <w:r w:rsidRPr="00B646F8">
        <w:t>liczba skrzyżowań</w:t>
      </w:r>
      <w:r w:rsidRPr="00F32C52">
        <w:t xml:space="preserve"> </w:t>
      </w:r>
      <w:r w:rsidR="00742CBC" w:rsidRPr="00F32C52">
        <w:t>bez sygnalizacji</w:t>
      </w:r>
      <w:r w:rsidR="00742CBC">
        <w:t>;</w:t>
      </w:r>
    </w:p>
    <w:p w14:paraId="752F7BF8" w14:textId="45B54790" w:rsidR="00742CBC" w:rsidRPr="00F32C52" w:rsidRDefault="00A3257C" w:rsidP="001B2A4E">
      <w:pPr>
        <w:pStyle w:val="Akapitzlist"/>
        <w:numPr>
          <w:ilvl w:val="0"/>
          <w:numId w:val="12"/>
        </w:numPr>
      </w:pPr>
      <w:r>
        <w:t xml:space="preserve">liczba </w:t>
      </w:r>
      <w:r w:rsidR="00742CBC" w:rsidRPr="00F32C52">
        <w:t>przejazd</w:t>
      </w:r>
      <w:r>
        <w:t>ów</w:t>
      </w:r>
      <w:r w:rsidR="00742CBC" w:rsidRPr="00F32C52">
        <w:t>, przejś</w:t>
      </w:r>
      <w:r>
        <w:t>ć dla pieszych</w:t>
      </w:r>
      <w:r w:rsidR="00742CBC" w:rsidRPr="00F32C52">
        <w:t xml:space="preserve">, rond bez </w:t>
      </w:r>
      <w:r>
        <w:t>sygnalizacji świetlnej</w:t>
      </w:r>
      <w:r w:rsidR="00742CBC">
        <w:t>;</w:t>
      </w:r>
    </w:p>
    <w:p w14:paraId="39B3CBEC" w14:textId="77777777" w:rsidR="00742CBC" w:rsidRPr="00F32C52" w:rsidRDefault="00742CBC" w:rsidP="001B2A4E">
      <w:pPr>
        <w:pStyle w:val="Akapitzlist"/>
        <w:numPr>
          <w:ilvl w:val="0"/>
          <w:numId w:val="12"/>
        </w:numPr>
      </w:pPr>
      <w:r w:rsidRPr="00F32C52">
        <w:t>ruch wahadłowy - ze zwiększoną wagą dla odcinków tramwajowych</w:t>
      </w:r>
      <w:r>
        <w:t>.</w:t>
      </w:r>
    </w:p>
    <w:p w14:paraId="41A2F17A" w14:textId="77777777" w:rsidR="00742CBC" w:rsidRDefault="00742CBC" w:rsidP="00742CBC">
      <w:r>
        <w:t>W kolejnych krokach:</w:t>
      </w:r>
    </w:p>
    <w:p w14:paraId="2316BFDF" w14:textId="77777777" w:rsidR="00742CBC" w:rsidRDefault="00742CBC" w:rsidP="001B2A4E">
      <w:pPr>
        <w:pStyle w:val="Akapitzlist"/>
        <w:numPr>
          <w:ilvl w:val="0"/>
          <w:numId w:val="13"/>
        </w:numPr>
      </w:pPr>
      <w:r>
        <w:t>dokonano podziału zbioru odcinków na te poddane interwencji i pozostałe, na podstawie czego stworzono zmienną binarną, gdzie wartość 1 oznacza przeprowadzenie interwencji na danym odcinku;</w:t>
      </w:r>
    </w:p>
    <w:p w14:paraId="3ACB8CBA" w14:textId="55A29825" w:rsidR="00742CBC" w:rsidRDefault="00742CBC" w:rsidP="001B2A4E">
      <w:pPr>
        <w:pStyle w:val="Akapitzlist"/>
        <w:numPr>
          <w:ilvl w:val="0"/>
          <w:numId w:val="13"/>
        </w:numPr>
      </w:pPr>
      <w:r>
        <w:t xml:space="preserve">obliczono </w:t>
      </w:r>
      <w:proofErr w:type="spellStart"/>
      <w:r>
        <w:rPr>
          <w:i/>
          <w:iCs/>
        </w:rPr>
        <w:t>Propensity</w:t>
      </w:r>
      <w:proofErr w:type="spellEnd"/>
      <w:r>
        <w:rPr>
          <w:i/>
          <w:iCs/>
        </w:rPr>
        <w:t xml:space="preserve"> </w:t>
      </w:r>
      <w:proofErr w:type="spellStart"/>
      <w:r>
        <w:rPr>
          <w:i/>
          <w:iCs/>
        </w:rPr>
        <w:t>Score</w:t>
      </w:r>
      <w:proofErr w:type="spellEnd"/>
      <w:r>
        <w:rPr>
          <w:i/>
          <w:iCs/>
        </w:rPr>
        <w:t xml:space="preserve"> </w:t>
      </w:r>
      <w:r>
        <w:t xml:space="preserve">dla wszystkich odcinków </w:t>
      </w:r>
      <w:r w:rsidR="00B320B7">
        <w:t>sieci komunikacyjnej</w:t>
      </w:r>
      <w:r>
        <w:t xml:space="preserve"> przy uwzględnieniu wymienionych powyżej zmiennych parujących;</w:t>
      </w:r>
    </w:p>
    <w:p w14:paraId="2DE296AF" w14:textId="77777777" w:rsidR="00742CBC" w:rsidRDefault="00742CBC" w:rsidP="001B2A4E">
      <w:pPr>
        <w:pStyle w:val="Akapitzlist"/>
        <w:numPr>
          <w:ilvl w:val="0"/>
          <w:numId w:val="13"/>
        </w:numPr>
      </w:pPr>
      <w:r>
        <w:t>uszeregowano odcinki według wartości</w:t>
      </w:r>
      <w:r w:rsidRPr="00E05D0F">
        <w:rPr>
          <w:i/>
          <w:iCs/>
        </w:rPr>
        <w:t xml:space="preserve"> </w:t>
      </w:r>
      <w:proofErr w:type="spellStart"/>
      <w:r>
        <w:rPr>
          <w:i/>
          <w:iCs/>
        </w:rPr>
        <w:t>Propensity</w:t>
      </w:r>
      <w:proofErr w:type="spellEnd"/>
      <w:r>
        <w:rPr>
          <w:i/>
          <w:iCs/>
        </w:rPr>
        <w:t xml:space="preserve"> </w:t>
      </w:r>
      <w:proofErr w:type="spellStart"/>
      <w:r>
        <w:rPr>
          <w:i/>
          <w:iCs/>
        </w:rPr>
        <w:t>Score</w:t>
      </w:r>
      <w:proofErr w:type="spellEnd"/>
      <w:r>
        <w:t>;</w:t>
      </w:r>
    </w:p>
    <w:p w14:paraId="68BB8C9E" w14:textId="77777777" w:rsidR="00742CBC" w:rsidRDefault="00742CBC" w:rsidP="001B2A4E">
      <w:pPr>
        <w:pStyle w:val="Akapitzlist"/>
        <w:numPr>
          <w:ilvl w:val="0"/>
          <w:numId w:val="13"/>
        </w:numPr>
      </w:pPr>
      <w:r>
        <w:t xml:space="preserve">dla każdego odcinka poddanego interwencji poszukiwano odcinka kontrfaktycznego o zbliżonej wartości </w:t>
      </w:r>
      <w:proofErr w:type="spellStart"/>
      <w:r>
        <w:rPr>
          <w:i/>
          <w:iCs/>
        </w:rPr>
        <w:t>Propensity</w:t>
      </w:r>
      <w:proofErr w:type="spellEnd"/>
      <w:r>
        <w:rPr>
          <w:i/>
          <w:iCs/>
        </w:rPr>
        <w:t xml:space="preserve"> </w:t>
      </w:r>
      <w:proofErr w:type="spellStart"/>
      <w:r>
        <w:rPr>
          <w:i/>
          <w:iCs/>
        </w:rPr>
        <w:t>Score</w:t>
      </w:r>
      <w:proofErr w:type="spellEnd"/>
      <w:r>
        <w:t>.</w:t>
      </w:r>
    </w:p>
    <w:p w14:paraId="7E0E6974" w14:textId="7B1BDADC" w:rsidR="00742CBC" w:rsidRDefault="00742CBC" w:rsidP="00742CBC">
      <w:r w:rsidRPr="00F32C52">
        <w:t>Dla każdego z odcinków poddanych interwencji udało się dopasować po trzy najbardziej podobne odcinki kontrfaktyczne</w:t>
      </w:r>
      <w:r>
        <w:t xml:space="preserve">. Zestawienie dopasowań dla odcinków komunikacji autobusowej przedstawia </w:t>
      </w:r>
      <w:r>
        <w:fldChar w:fldCharType="begin"/>
      </w:r>
      <w:r>
        <w:instrText xml:space="preserve"> REF _Ref24459367 \h </w:instrText>
      </w:r>
      <w:r>
        <w:fldChar w:fldCharType="separate"/>
      </w:r>
      <w:r w:rsidR="00C93FD7">
        <w:t xml:space="preserve">Tabela </w:t>
      </w:r>
      <w:r w:rsidR="00C93FD7">
        <w:rPr>
          <w:noProof/>
        </w:rPr>
        <w:t>14</w:t>
      </w:r>
      <w:r>
        <w:fldChar w:fldCharType="end"/>
      </w:r>
      <w:r>
        <w:t xml:space="preserve">, natomiast dla komunikacji tramwajowej </w:t>
      </w:r>
      <w:r>
        <w:fldChar w:fldCharType="begin"/>
      </w:r>
      <w:r>
        <w:instrText xml:space="preserve"> REF _Ref24459390 \h </w:instrText>
      </w:r>
      <w:r>
        <w:fldChar w:fldCharType="separate"/>
      </w:r>
      <w:r w:rsidR="00C93FD7">
        <w:t xml:space="preserve">Tabela </w:t>
      </w:r>
      <w:r w:rsidR="00C93FD7">
        <w:rPr>
          <w:noProof/>
        </w:rPr>
        <w:t>15</w:t>
      </w:r>
      <w:r>
        <w:fldChar w:fldCharType="end"/>
      </w:r>
      <w:r>
        <w:t>.</w:t>
      </w:r>
    </w:p>
    <w:p w14:paraId="09F0821A" w14:textId="76052574" w:rsidR="00742CBC" w:rsidRDefault="00742CBC" w:rsidP="00742CBC">
      <w:pPr>
        <w:pStyle w:val="Legenda"/>
      </w:pPr>
      <w:bookmarkStart w:id="179" w:name="_Ref24459367"/>
      <w:bookmarkStart w:id="180" w:name="_Toc27125372"/>
      <w:r>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14</w:t>
      </w:r>
      <w:r w:rsidR="003C20BE">
        <w:rPr>
          <w:noProof/>
        </w:rPr>
        <w:fldChar w:fldCharType="end"/>
      </w:r>
      <w:bookmarkEnd w:id="179"/>
      <w:r>
        <w:t xml:space="preserve">. </w:t>
      </w:r>
      <w:r w:rsidRPr="00B53970">
        <w:t>Zestawienie odcinków komunikacji autobusowej wraz z dopasowanymi odcinkami kontrfaktycznymi</w:t>
      </w:r>
      <w:bookmarkEnd w:id="180"/>
    </w:p>
    <w:tbl>
      <w:tblPr>
        <w:tblStyle w:val="WolanskiCorpTabela"/>
        <w:tblW w:w="0" w:type="auto"/>
        <w:tblLook w:val="0420" w:firstRow="1" w:lastRow="0" w:firstColumn="0" w:lastColumn="0" w:noHBand="0" w:noVBand="1"/>
      </w:tblPr>
      <w:tblGrid>
        <w:gridCol w:w="3544"/>
        <w:gridCol w:w="5527"/>
      </w:tblGrid>
      <w:tr w:rsidR="00742CBC" w14:paraId="268D1C05" w14:textId="77777777" w:rsidTr="00DD74F2">
        <w:trPr>
          <w:cnfStyle w:val="100000000000" w:firstRow="1" w:lastRow="0" w:firstColumn="0" w:lastColumn="0" w:oddVBand="0" w:evenVBand="0" w:oddHBand="0" w:evenHBand="0" w:firstRowFirstColumn="0" w:firstRowLastColumn="0" w:lastRowFirstColumn="0" w:lastRowLastColumn="0"/>
        </w:trPr>
        <w:tc>
          <w:tcPr>
            <w:tcW w:w="3544" w:type="dxa"/>
          </w:tcPr>
          <w:p w14:paraId="6ABBD5C4" w14:textId="77777777" w:rsidR="00742CBC" w:rsidRPr="00D415F4" w:rsidRDefault="00742CBC" w:rsidP="00532766">
            <w:pPr>
              <w:rPr>
                <w:sz w:val="18"/>
                <w:szCs w:val="18"/>
              </w:rPr>
            </w:pPr>
            <w:r w:rsidRPr="00D415F4">
              <w:rPr>
                <w:sz w:val="18"/>
                <w:szCs w:val="18"/>
              </w:rPr>
              <w:t>odcinek</w:t>
            </w:r>
          </w:p>
        </w:tc>
        <w:tc>
          <w:tcPr>
            <w:tcW w:w="5528" w:type="dxa"/>
          </w:tcPr>
          <w:p w14:paraId="4304B47E" w14:textId="77777777" w:rsidR="00742CBC" w:rsidRPr="00D415F4" w:rsidRDefault="00742CBC" w:rsidP="00532766">
            <w:pPr>
              <w:rPr>
                <w:sz w:val="18"/>
                <w:szCs w:val="18"/>
              </w:rPr>
            </w:pPr>
            <w:r w:rsidRPr="00D415F4">
              <w:rPr>
                <w:sz w:val="18"/>
                <w:szCs w:val="18"/>
              </w:rPr>
              <w:t>odcinki kontrfaktyczne</w:t>
            </w:r>
          </w:p>
        </w:tc>
      </w:tr>
      <w:tr w:rsidR="00742CBC" w14:paraId="23B977F0"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0E78A1EB" w14:textId="77777777" w:rsidR="00742CBC" w:rsidRPr="00D415F4" w:rsidRDefault="00742CBC" w:rsidP="00532766">
            <w:pPr>
              <w:rPr>
                <w:sz w:val="18"/>
                <w:szCs w:val="18"/>
              </w:rPr>
            </w:pPr>
            <w:r w:rsidRPr="00D415F4">
              <w:rPr>
                <w:rFonts w:ascii="Lora" w:hAnsi="Lora" w:cs="Arial"/>
                <w:kern w:val="24"/>
                <w:sz w:val="18"/>
                <w:szCs w:val="18"/>
              </w:rPr>
              <w:t>Tramwaj Nowy Dwór (Wrocław)</w:t>
            </w:r>
          </w:p>
        </w:tc>
        <w:tc>
          <w:tcPr>
            <w:tcW w:w="5528" w:type="dxa"/>
          </w:tcPr>
          <w:p w14:paraId="44E86D64" w14:textId="77777777" w:rsidR="00742CBC" w:rsidRPr="00D415F4" w:rsidRDefault="00742CBC" w:rsidP="00532766">
            <w:pPr>
              <w:rPr>
                <w:sz w:val="18"/>
                <w:szCs w:val="18"/>
              </w:rPr>
            </w:pPr>
            <w:r w:rsidRPr="00D415F4">
              <w:rPr>
                <w:rFonts w:ascii="Lora" w:hAnsi="Lora" w:cs="Arial"/>
                <w:kern w:val="24"/>
                <w:sz w:val="18"/>
                <w:szCs w:val="18"/>
              </w:rPr>
              <w:t xml:space="preserve">Ursus-Niedźwiadek (Warszawa), </w:t>
            </w:r>
            <w:proofErr w:type="spellStart"/>
            <w:r w:rsidRPr="00D415F4">
              <w:rPr>
                <w:rFonts w:ascii="Lora" w:hAnsi="Lora" w:cs="Arial"/>
                <w:kern w:val="24"/>
                <w:sz w:val="18"/>
                <w:szCs w:val="18"/>
              </w:rPr>
              <w:t>Podbórz</w:t>
            </w:r>
            <w:proofErr w:type="spellEnd"/>
            <w:r w:rsidRPr="00D415F4">
              <w:rPr>
                <w:rFonts w:ascii="Lora" w:hAnsi="Lora" w:cs="Arial"/>
                <w:kern w:val="24"/>
                <w:sz w:val="18"/>
                <w:szCs w:val="18"/>
              </w:rPr>
              <w:t xml:space="preserve"> (Szczecin), Tatrzańskie (Bydgoszcz)</w:t>
            </w:r>
          </w:p>
        </w:tc>
      </w:tr>
      <w:tr w:rsidR="00742CBC" w14:paraId="0DF7A72B" w14:textId="77777777" w:rsidTr="00DD74F2">
        <w:tc>
          <w:tcPr>
            <w:tcW w:w="3544" w:type="dxa"/>
          </w:tcPr>
          <w:p w14:paraId="1D3AE72A" w14:textId="77777777" w:rsidR="00742CBC" w:rsidRPr="00D415F4" w:rsidRDefault="00742CBC" w:rsidP="00532766">
            <w:pPr>
              <w:rPr>
                <w:sz w:val="18"/>
                <w:szCs w:val="18"/>
              </w:rPr>
            </w:pPr>
            <w:r w:rsidRPr="00D415F4">
              <w:rPr>
                <w:rFonts w:ascii="Lora" w:hAnsi="Lora" w:cs="Arial"/>
                <w:kern w:val="24"/>
                <w:sz w:val="18"/>
                <w:szCs w:val="18"/>
              </w:rPr>
              <w:t>Tramwaj Jar (Toruń)</w:t>
            </w:r>
          </w:p>
        </w:tc>
        <w:tc>
          <w:tcPr>
            <w:tcW w:w="5528" w:type="dxa"/>
          </w:tcPr>
          <w:p w14:paraId="77C2F9D7" w14:textId="77777777" w:rsidR="00742CBC" w:rsidRPr="00D415F4" w:rsidRDefault="00742CBC" w:rsidP="00532766">
            <w:pPr>
              <w:rPr>
                <w:sz w:val="18"/>
                <w:szCs w:val="18"/>
              </w:rPr>
            </w:pPr>
            <w:r w:rsidRPr="00D415F4">
              <w:rPr>
                <w:rFonts w:ascii="Lora" w:hAnsi="Lora" w:cs="Arial"/>
                <w:kern w:val="24"/>
                <w:sz w:val="18"/>
                <w:szCs w:val="18"/>
              </w:rPr>
              <w:t xml:space="preserve">Tatrzańskie (Bydgoszcz), </w:t>
            </w:r>
            <w:proofErr w:type="spellStart"/>
            <w:r w:rsidRPr="00D415F4">
              <w:rPr>
                <w:rFonts w:ascii="Lora" w:hAnsi="Lora" w:cs="Arial"/>
                <w:kern w:val="24"/>
                <w:sz w:val="18"/>
                <w:szCs w:val="18"/>
              </w:rPr>
              <w:t>Garbary</w:t>
            </w:r>
            <w:proofErr w:type="spellEnd"/>
            <w:r w:rsidRPr="00D415F4">
              <w:rPr>
                <w:rFonts w:ascii="Lora" w:hAnsi="Lora" w:cs="Arial"/>
                <w:kern w:val="24"/>
                <w:sz w:val="18"/>
                <w:szCs w:val="18"/>
              </w:rPr>
              <w:t>/</w:t>
            </w:r>
            <w:proofErr w:type="spellStart"/>
            <w:r w:rsidRPr="00D415F4">
              <w:rPr>
                <w:rFonts w:ascii="Lora" w:hAnsi="Lora" w:cs="Arial"/>
                <w:kern w:val="24"/>
                <w:sz w:val="18"/>
                <w:szCs w:val="18"/>
              </w:rPr>
              <w:t>Boranta</w:t>
            </w:r>
            <w:proofErr w:type="spellEnd"/>
            <w:r w:rsidRPr="00D415F4">
              <w:rPr>
                <w:rFonts w:ascii="Lora" w:hAnsi="Lora" w:cs="Arial"/>
                <w:kern w:val="24"/>
                <w:sz w:val="18"/>
                <w:szCs w:val="18"/>
              </w:rPr>
              <w:t xml:space="preserve"> (Poznań), Mieszka I (Szczecin)</w:t>
            </w:r>
          </w:p>
        </w:tc>
      </w:tr>
      <w:tr w:rsidR="00742CBC" w14:paraId="075B0F69"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70D4CC0C" w14:textId="77777777" w:rsidR="00742CBC" w:rsidRPr="00D415F4" w:rsidRDefault="00742CBC" w:rsidP="00532766">
            <w:pPr>
              <w:rPr>
                <w:sz w:val="18"/>
                <w:szCs w:val="18"/>
              </w:rPr>
            </w:pPr>
            <w:r w:rsidRPr="00D415F4">
              <w:rPr>
                <w:rFonts w:ascii="Lora" w:hAnsi="Lora" w:cs="Arial"/>
                <w:kern w:val="24"/>
                <w:sz w:val="18"/>
                <w:szCs w:val="18"/>
              </w:rPr>
              <w:lastRenderedPageBreak/>
              <w:t>Tramwaj Wilanów (Warszawa)</w:t>
            </w:r>
          </w:p>
        </w:tc>
        <w:tc>
          <w:tcPr>
            <w:tcW w:w="5528" w:type="dxa"/>
          </w:tcPr>
          <w:p w14:paraId="2EA4E7BD" w14:textId="77777777" w:rsidR="00742CBC" w:rsidRPr="00D415F4" w:rsidRDefault="00742CBC" w:rsidP="00532766">
            <w:pPr>
              <w:rPr>
                <w:sz w:val="18"/>
                <w:szCs w:val="18"/>
              </w:rPr>
            </w:pPr>
            <w:r w:rsidRPr="00D415F4">
              <w:rPr>
                <w:rFonts w:ascii="Lora" w:hAnsi="Lora" w:cs="Arial"/>
                <w:kern w:val="24"/>
                <w:sz w:val="18"/>
                <w:szCs w:val="18"/>
              </w:rPr>
              <w:t>Mieszka I (Szczecin), Połczyńska (Warszawa), Kuźnicy Kołłątajowskiej (Kraków)</w:t>
            </w:r>
          </w:p>
        </w:tc>
      </w:tr>
    </w:tbl>
    <w:p w14:paraId="4B6AE923" w14:textId="77777777" w:rsidR="00742CBC" w:rsidRDefault="00742CBC" w:rsidP="00742CBC">
      <w:pPr>
        <w:pStyle w:val="rdo"/>
      </w:pPr>
      <w:r>
        <w:t>Źródło: opracowanie własne.</w:t>
      </w:r>
    </w:p>
    <w:p w14:paraId="5F7ED42E" w14:textId="723DA752" w:rsidR="00742CBC" w:rsidRDefault="00742CBC" w:rsidP="00742CBC">
      <w:pPr>
        <w:pStyle w:val="Legenda"/>
      </w:pPr>
      <w:bookmarkStart w:id="181" w:name="_Ref24459390"/>
      <w:bookmarkStart w:id="182" w:name="_Toc27125373"/>
      <w:r>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15</w:t>
      </w:r>
      <w:r w:rsidR="003C20BE">
        <w:rPr>
          <w:noProof/>
        </w:rPr>
        <w:fldChar w:fldCharType="end"/>
      </w:r>
      <w:bookmarkEnd w:id="181"/>
      <w:r>
        <w:t xml:space="preserve">. </w:t>
      </w:r>
      <w:r w:rsidRPr="007432A1">
        <w:t>Zestawienie odcinków komunikacji tramwajowej wraz z dopasowanymi odcinkami kontrfaktycznymi</w:t>
      </w:r>
      <w:bookmarkEnd w:id="182"/>
    </w:p>
    <w:tbl>
      <w:tblPr>
        <w:tblStyle w:val="WolanskiCorpTabela"/>
        <w:tblW w:w="0" w:type="auto"/>
        <w:tblLook w:val="0420" w:firstRow="1" w:lastRow="0" w:firstColumn="0" w:lastColumn="0" w:noHBand="0" w:noVBand="1"/>
      </w:tblPr>
      <w:tblGrid>
        <w:gridCol w:w="3544"/>
        <w:gridCol w:w="5527"/>
      </w:tblGrid>
      <w:tr w:rsidR="00742CBC" w:rsidRPr="00856073" w14:paraId="7FCE7C9B" w14:textId="77777777" w:rsidTr="00DD74F2">
        <w:trPr>
          <w:cnfStyle w:val="100000000000" w:firstRow="1" w:lastRow="0" w:firstColumn="0" w:lastColumn="0" w:oddVBand="0" w:evenVBand="0" w:oddHBand="0" w:evenHBand="0" w:firstRowFirstColumn="0" w:firstRowLastColumn="0" w:lastRowFirstColumn="0" w:lastRowLastColumn="0"/>
        </w:trPr>
        <w:tc>
          <w:tcPr>
            <w:tcW w:w="3544" w:type="dxa"/>
          </w:tcPr>
          <w:p w14:paraId="1F9EDB34" w14:textId="77777777" w:rsidR="00742CBC" w:rsidRPr="00D415F4" w:rsidRDefault="00742CBC" w:rsidP="00532766">
            <w:pPr>
              <w:rPr>
                <w:b w:val="0"/>
                <w:bCs/>
                <w:sz w:val="18"/>
                <w:szCs w:val="18"/>
              </w:rPr>
            </w:pPr>
            <w:r w:rsidRPr="00D415F4">
              <w:rPr>
                <w:bCs/>
                <w:sz w:val="18"/>
                <w:szCs w:val="18"/>
              </w:rPr>
              <w:t>odcinek</w:t>
            </w:r>
          </w:p>
        </w:tc>
        <w:tc>
          <w:tcPr>
            <w:tcW w:w="5528" w:type="dxa"/>
          </w:tcPr>
          <w:p w14:paraId="2C4C2259" w14:textId="77777777" w:rsidR="00742CBC" w:rsidRPr="00D415F4" w:rsidRDefault="00742CBC" w:rsidP="00532766">
            <w:pPr>
              <w:rPr>
                <w:b w:val="0"/>
                <w:bCs/>
                <w:sz w:val="18"/>
                <w:szCs w:val="18"/>
              </w:rPr>
            </w:pPr>
            <w:r w:rsidRPr="00D415F4">
              <w:rPr>
                <w:bCs/>
                <w:sz w:val="18"/>
                <w:szCs w:val="18"/>
              </w:rPr>
              <w:t>odcinki kontrfaktyczne</w:t>
            </w:r>
          </w:p>
        </w:tc>
      </w:tr>
      <w:tr w:rsidR="00742CBC" w:rsidRPr="00856073" w14:paraId="4E7A79A1"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2F8F4311" w14:textId="77777777" w:rsidR="00742CBC" w:rsidRPr="00D415F4" w:rsidRDefault="00742CBC" w:rsidP="00532766">
            <w:pPr>
              <w:jc w:val="left"/>
              <w:rPr>
                <w:bCs/>
                <w:sz w:val="18"/>
                <w:szCs w:val="18"/>
              </w:rPr>
            </w:pPr>
            <w:r w:rsidRPr="00D415F4">
              <w:rPr>
                <w:rFonts w:ascii="Lora" w:hAnsi="Lora" w:cs="Arial"/>
                <w:bCs/>
                <w:kern w:val="24"/>
                <w:sz w:val="18"/>
                <w:szCs w:val="18"/>
              </w:rPr>
              <w:t>Tramwaj Sosnowiec-Andersa (GZM)</w:t>
            </w:r>
          </w:p>
        </w:tc>
        <w:tc>
          <w:tcPr>
            <w:tcW w:w="5528" w:type="dxa"/>
          </w:tcPr>
          <w:p w14:paraId="260CA74A" w14:textId="77777777" w:rsidR="00742CBC" w:rsidRPr="00D415F4" w:rsidRDefault="00742CBC" w:rsidP="00532766">
            <w:pPr>
              <w:rPr>
                <w:bCs/>
                <w:sz w:val="18"/>
                <w:szCs w:val="18"/>
              </w:rPr>
            </w:pPr>
            <w:proofErr w:type="spellStart"/>
            <w:r w:rsidRPr="00D415F4">
              <w:rPr>
                <w:rFonts w:ascii="Lora" w:hAnsi="Lora" w:cs="Arial"/>
                <w:bCs/>
                <w:kern w:val="24"/>
                <w:sz w:val="18"/>
                <w:szCs w:val="18"/>
              </w:rPr>
              <w:t>Makoszowy</w:t>
            </w:r>
            <w:proofErr w:type="spellEnd"/>
            <w:r w:rsidRPr="00D415F4">
              <w:rPr>
                <w:rFonts w:ascii="Lora" w:hAnsi="Lora" w:cs="Arial"/>
                <w:bCs/>
                <w:kern w:val="24"/>
                <w:sz w:val="18"/>
                <w:szCs w:val="18"/>
              </w:rPr>
              <w:t xml:space="preserve"> (GZM), Aleja Krakowska (Warszawa), Czeladź Kombatantów (GZM)</w:t>
            </w:r>
          </w:p>
        </w:tc>
      </w:tr>
      <w:tr w:rsidR="00742CBC" w:rsidRPr="00856073" w14:paraId="511341F4" w14:textId="77777777" w:rsidTr="00DD74F2">
        <w:tc>
          <w:tcPr>
            <w:tcW w:w="3544" w:type="dxa"/>
          </w:tcPr>
          <w:p w14:paraId="4B98F4B9" w14:textId="77777777" w:rsidR="00742CBC" w:rsidRPr="00D415F4" w:rsidRDefault="00742CBC" w:rsidP="00532766">
            <w:pPr>
              <w:jc w:val="left"/>
              <w:rPr>
                <w:bCs/>
                <w:sz w:val="18"/>
                <w:szCs w:val="18"/>
              </w:rPr>
            </w:pPr>
            <w:r w:rsidRPr="00D415F4">
              <w:rPr>
                <w:rFonts w:ascii="Lora" w:hAnsi="Lora" w:cs="Arial"/>
                <w:bCs/>
                <w:kern w:val="24"/>
                <w:sz w:val="18"/>
                <w:szCs w:val="18"/>
              </w:rPr>
              <w:t>Tramwaj Szosa Lubicka (Toruń)</w:t>
            </w:r>
          </w:p>
        </w:tc>
        <w:tc>
          <w:tcPr>
            <w:tcW w:w="5528" w:type="dxa"/>
          </w:tcPr>
          <w:p w14:paraId="45F131E0" w14:textId="77777777" w:rsidR="00742CBC" w:rsidRPr="00D415F4" w:rsidRDefault="00742CBC" w:rsidP="00532766">
            <w:pPr>
              <w:rPr>
                <w:bCs/>
                <w:sz w:val="18"/>
                <w:szCs w:val="18"/>
              </w:rPr>
            </w:pPr>
            <w:r w:rsidRPr="00D415F4">
              <w:rPr>
                <w:rFonts w:ascii="Lora" w:hAnsi="Lora" w:cs="Arial"/>
                <w:bCs/>
                <w:kern w:val="24"/>
                <w:sz w:val="18"/>
                <w:szCs w:val="18"/>
              </w:rPr>
              <w:t>Aleja Krakowska (Warszawa), Czeladź Kombatantów (GZM), Zaspa (Gdańsk)</w:t>
            </w:r>
          </w:p>
        </w:tc>
      </w:tr>
      <w:tr w:rsidR="00742CBC" w:rsidRPr="00856073" w14:paraId="058E071D"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6AD616D6" w14:textId="77777777" w:rsidR="00742CBC" w:rsidRPr="00D415F4" w:rsidRDefault="00742CBC" w:rsidP="00532766">
            <w:pPr>
              <w:jc w:val="left"/>
              <w:rPr>
                <w:bCs/>
                <w:sz w:val="18"/>
                <w:szCs w:val="18"/>
              </w:rPr>
            </w:pPr>
            <w:r w:rsidRPr="00D415F4">
              <w:rPr>
                <w:rFonts w:ascii="Lora" w:hAnsi="Lora" w:cs="Arial"/>
                <w:bCs/>
                <w:kern w:val="24"/>
                <w:sz w:val="18"/>
                <w:szCs w:val="18"/>
              </w:rPr>
              <w:t>Tramwaj Toruńska (Bydgoszcz)</w:t>
            </w:r>
          </w:p>
        </w:tc>
        <w:tc>
          <w:tcPr>
            <w:tcW w:w="5528" w:type="dxa"/>
          </w:tcPr>
          <w:p w14:paraId="323710D8" w14:textId="77777777" w:rsidR="00742CBC" w:rsidRPr="00D415F4" w:rsidRDefault="00742CBC" w:rsidP="00532766">
            <w:pPr>
              <w:rPr>
                <w:bCs/>
                <w:sz w:val="18"/>
                <w:szCs w:val="18"/>
              </w:rPr>
            </w:pPr>
            <w:r w:rsidRPr="00D415F4">
              <w:rPr>
                <w:rFonts w:ascii="Lora" w:hAnsi="Lora" w:cs="Arial"/>
                <w:bCs/>
                <w:kern w:val="24"/>
                <w:sz w:val="18"/>
                <w:szCs w:val="18"/>
              </w:rPr>
              <w:t>Stoki (Łódź), Szopienice-Mysłowice (GZM), Tworzeń Huta Katowice (GZM)</w:t>
            </w:r>
          </w:p>
        </w:tc>
      </w:tr>
      <w:tr w:rsidR="00742CBC" w:rsidRPr="00856073" w14:paraId="40C919E6" w14:textId="77777777" w:rsidTr="00DD74F2">
        <w:tc>
          <w:tcPr>
            <w:tcW w:w="3544" w:type="dxa"/>
          </w:tcPr>
          <w:p w14:paraId="34B39271" w14:textId="77777777" w:rsidR="00742CBC" w:rsidRPr="00D415F4" w:rsidRDefault="00742CBC" w:rsidP="00532766">
            <w:pPr>
              <w:jc w:val="left"/>
              <w:rPr>
                <w:rFonts w:ascii="Lora" w:hAnsi="Lora" w:cs="Arial"/>
                <w:bCs/>
                <w:kern w:val="24"/>
                <w:sz w:val="18"/>
                <w:szCs w:val="18"/>
              </w:rPr>
            </w:pPr>
            <w:r w:rsidRPr="00D415F4">
              <w:rPr>
                <w:rFonts w:ascii="Lora" w:hAnsi="Lora" w:cs="Arial"/>
                <w:bCs/>
                <w:kern w:val="24"/>
                <w:sz w:val="18"/>
                <w:szCs w:val="18"/>
              </w:rPr>
              <w:t>Tramwaj Zabrze-Wolności (GZM)</w:t>
            </w:r>
          </w:p>
        </w:tc>
        <w:tc>
          <w:tcPr>
            <w:tcW w:w="5528" w:type="dxa"/>
          </w:tcPr>
          <w:p w14:paraId="6805C7A6" w14:textId="77777777" w:rsidR="00742CBC" w:rsidRPr="00D415F4" w:rsidRDefault="00742CBC" w:rsidP="00532766">
            <w:pPr>
              <w:rPr>
                <w:rFonts w:ascii="Lora" w:hAnsi="Lora" w:cs="Arial"/>
                <w:bCs/>
                <w:kern w:val="24"/>
                <w:sz w:val="18"/>
                <w:szCs w:val="18"/>
              </w:rPr>
            </w:pPr>
            <w:r w:rsidRPr="00D415F4">
              <w:rPr>
                <w:rFonts w:ascii="Lora" w:hAnsi="Lora" w:cs="Arial"/>
                <w:bCs/>
                <w:kern w:val="24"/>
                <w:sz w:val="18"/>
                <w:szCs w:val="18"/>
              </w:rPr>
              <w:t>Włókniarzy (Łódź), Gdańska-Żeromskiego (Łódź), Hallera (Wrocław)</w:t>
            </w:r>
          </w:p>
        </w:tc>
      </w:tr>
      <w:tr w:rsidR="00742CBC" w:rsidRPr="00856073" w14:paraId="313105A4"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7DF36A49" w14:textId="77777777" w:rsidR="00742CBC" w:rsidRPr="00D415F4" w:rsidRDefault="00742CBC" w:rsidP="00532766">
            <w:pPr>
              <w:jc w:val="left"/>
              <w:rPr>
                <w:rFonts w:ascii="Lora" w:hAnsi="Lora" w:cs="Arial"/>
                <w:bCs/>
                <w:kern w:val="24"/>
                <w:sz w:val="18"/>
                <w:szCs w:val="18"/>
              </w:rPr>
            </w:pPr>
            <w:r w:rsidRPr="00D415F4">
              <w:rPr>
                <w:rFonts w:ascii="Lora" w:hAnsi="Lora" w:cs="Arial"/>
                <w:bCs/>
                <w:kern w:val="24"/>
                <w:sz w:val="18"/>
                <w:szCs w:val="18"/>
              </w:rPr>
              <w:t>Tramwaj Kolumba-Pomorzany (Szczecin)</w:t>
            </w:r>
          </w:p>
        </w:tc>
        <w:tc>
          <w:tcPr>
            <w:tcW w:w="5528" w:type="dxa"/>
          </w:tcPr>
          <w:p w14:paraId="7E417BA3" w14:textId="77777777" w:rsidR="00742CBC" w:rsidRPr="00D415F4" w:rsidRDefault="00742CBC" w:rsidP="00532766">
            <w:pPr>
              <w:rPr>
                <w:rFonts w:ascii="Lora" w:hAnsi="Lora" w:cs="Arial"/>
                <w:bCs/>
                <w:kern w:val="24"/>
                <w:sz w:val="18"/>
                <w:szCs w:val="18"/>
              </w:rPr>
            </w:pPr>
            <w:r w:rsidRPr="00D415F4">
              <w:rPr>
                <w:rFonts w:ascii="Lora" w:hAnsi="Lora" w:cs="Arial"/>
                <w:bCs/>
                <w:kern w:val="24"/>
                <w:sz w:val="18"/>
                <w:szCs w:val="18"/>
              </w:rPr>
              <w:t>Gdańska-Żeromskiego (Łódź), Hallera (Wrocław), Kazimierz Górniczy (GZM)</w:t>
            </w:r>
          </w:p>
        </w:tc>
      </w:tr>
      <w:tr w:rsidR="00742CBC" w:rsidRPr="00856073" w14:paraId="1E2E8DF1" w14:textId="77777777" w:rsidTr="00DD74F2">
        <w:tc>
          <w:tcPr>
            <w:tcW w:w="3544" w:type="dxa"/>
          </w:tcPr>
          <w:p w14:paraId="40B22DEF" w14:textId="77777777" w:rsidR="00742CBC" w:rsidRPr="00D415F4" w:rsidRDefault="00742CBC" w:rsidP="00532766">
            <w:pPr>
              <w:jc w:val="left"/>
              <w:rPr>
                <w:rFonts w:ascii="Lora" w:hAnsi="Lora" w:cs="Arial"/>
                <w:bCs/>
                <w:kern w:val="24"/>
                <w:sz w:val="18"/>
                <w:szCs w:val="18"/>
              </w:rPr>
            </w:pPr>
            <w:r w:rsidRPr="00D415F4">
              <w:rPr>
                <w:rFonts w:ascii="Lora" w:hAnsi="Lora" w:cs="Arial"/>
                <w:bCs/>
                <w:kern w:val="24"/>
                <w:sz w:val="18"/>
                <w:szCs w:val="18"/>
              </w:rPr>
              <w:t xml:space="preserve">Tramwaj </w:t>
            </w:r>
            <w:proofErr w:type="spellStart"/>
            <w:r w:rsidRPr="00D415F4">
              <w:rPr>
                <w:rFonts w:ascii="Lora" w:hAnsi="Lora" w:cs="Arial"/>
                <w:bCs/>
                <w:kern w:val="24"/>
                <w:sz w:val="18"/>
                <w:szCs w:val="18"/>
              </w:rPr>
              <w:t>Żegrze</w:t>
            </w:r>
            <w:proofErr w:type="spellEnd"/>
            <w:r w:rsidRPr="00D415F4">
              <w:rPr>
                <w:rFonts w:ascii="Lora" w:hAnsi="Lora" w:cs="Arial"/>
                <w:bCs/>
                <w:kern w:val="24"/>
                <w:sz w:val="18"/>
                <w:szCs w:val="18"/>
              </w:rPr>
              <w:t xml:space="preserve"> (Poznań)</w:t>
            </w:r>
          </w:p>
        </w:tc>
        <w:tc>
          <w:tcPr>
            <w:tcW w:w="5528" w:type="dxa"/>
          </w:tcPr>
          <w:p w14:paraId="0E98FCFF" w14:textId="77777777" w:rsidR="00742CBC" w:rsidRPr="00D415F4" w:rsidRDefault="00742CBC" w:rsidP="00532766">
            <w:pPr>
              <w:rPr>
                <w:rFonts w:ascii="Lora" w:hAnsi="Lora" w:cs="Arial"/>
                <w:bCs/>
                <w:kern w:val="24"/>
                <w:sz w:val="18"/>
                <w:szCs w:val="18"/>
              </w:rPr>
            </w:pPr>
            <w:r w:rsidRPr="00D415F4">
              <w:rPr>
                <w:rFonts w:ascii="Lora" w:hAnsi="Lora" w:cs="Arial"/>
                <w:bCs/>
                <w:kern w:val="24"/>
                <w:sz w:val="18"/>
                <w:szCs w:val="18"/>
              </w:rPr>
              <w:t>Hallera (Wrocław), Kazimierz Górniczy (GZM), Dębiec (Poznań)</w:t>
            </w:r>
          </w:p>
        </w:tc>
      </w:tr>
      <w:tr w:rsidR="00742CBC" w:rsidRPr="00856073" w14:paraId="080ED2BA" w14:textId="77777777" w:rsidTr="00DD74F2">
        <w:trPr>
          <w:cnfStyle w:val="000000100000" w:firstRow="0" w:lastRow="0" w:firstColumn="0" w:lastColumn="0" w:oddVBand="0" w:evenVBand="0" w:oddHBand="1" w:evenHBand="0" w:firstRowFirstColumn="0" w:firstRowLastColumn="0" w:lastRowFirstColumn="0" w:lastRowLastColumn="0"/>
        </w:trPr>
        <w:tc>
          <w:tcPr>
            <w:tcW w:w="3544" w:type="dxa"/>
          </w:tcPr>
          <w:p w14:paraId="7B081F14" w14:textId="77777777" w:rsidR="00742CBC" w:rsidRPr="00D415F4" w:rsidRDefault="00742CBC" w:rsidP="00532766">
            <w:pPr>
              <w:jc w:val="left"/>
              <w:rPr>
                <w:rFonts w:ascii="Lora" w:hAnsi="Lora" w:cs="Arial"/>
                <w:bCs/>
                <w:kern w:val="24"/>
                <w:sz w:val="18"/>
                <w:szCs w:val="18"/>
              </w:rPr>
            </w:pPr>
            <w:r w:rsidRPr="00D415F4">
              <w:rPr>
                <w:rFonts w:ascii="Lora" w:hAnsi="Lora" w:cs="Arial"/>
                <w:bCs/>
                <w:kern w:val="24"/>
                <w:sz w:val="18"/>
                <w:szCs w:val="18"/>
              </w:rPr>
              <w:t>Tramwaj Powstańców-Pomorzany (Szczecin)</w:t>
            </w:r>
          </w:p>
        </w:tc>
        <w:tc>
          <w:tcPr>
            <w:tcW w:w="5528" w:type="dxa"/>
          </w:tcPr>
          <w:p w14:paraId="019D3BE1" w14:textId="77777777" w:rsidR="00742CBC" w:rsidRPr="00D415F4" w:rsidRDefault="00742CBC" w:rsidP="00532766">
            <w:pPr>
              <w:rPr>
                <w:rFonts w:ascii="Lora" w:hAnsi="Lora" w:cs="Arial"/>
                <w:bCs/>
                <w:kern w:val="24"/>
                <w:sz w:val="18"/>
                <w:szCs w:val="18"/>
              </w:rPr>
            </w:pPr>
            <w:r w:rsidRPr="00D415F4">
              <w:rPr>
                <w:rFonts w:ascii="Lora" w:hAnsi="Lora" w:cs="Arial"/>
                <w:bCs/>
                <w:kern w:val="24"/>
                <w:sz w:val="18"/>
                <w:szCs w:val="18"/>
              </w:rPr>
              <w:t>Zgoda/Wirek (GZM), Lotnicza (Wrocław), Żerań Wschodni (Warszawa)</w:t>
            </w:r>
          </w:p>
        </w:tc>
      </w:tr>
    </w:tbl>
    <w:p w14:paraId="3BB6CE96" w14:textId="77777777" w:rsidR="00742CBC" w:rsidRDefault="00742CBC" w:rsidP="00742CBC">
      <w:pPr>
        <w:pStyle w:val="rdo"/>
      </w:pPr>
      <w:r>
        <w:t>Źródło: opracowanie własne.</w:t>
      </w:r>
    </w:p>
    <w:p w14:paraId="6F202B7D" w14:textId="77777777" w:rsidR="00742CBC" w:rsidRPr="000572D4" w:rsidRDefault="00742CBC" w:rsidP="00742CBC">
      <w:r w:rsidRPr="000572D4">
        <w:t>Udało się zebrać i utrwalić dane w wartościach wejściowych dla następujących wskaźników dla analizy metodą PSM:</w:t>
      </w:r>
    </w:p>
    <w:p w14:paraId="40315E95" w14:textId="7E6D8045" w:rsidR="00742CBC" w:rsidRPr="000572D4" w:rsidRDefault="00742CBC" w:rsidP="001B2A4E">
      <w:pPr>
        <w:pStyle w:val="Akapitzlist"/>
        <w:numPr>
          <w:ilvl w:val="0"/>
          <w:numId w:val="12"/>
        </w:numPr>
      </w:pPr>
      <w:r w:rsidRPr="000572D4">
        <w:t>średnia prędkość podróży samochodem (</w:t>
      </w:r>
      <w:r w:rsidR="00A3257C">
        <w:t xml:space="preserve">wg </w:t>
      </w:r>
      <w:r w:rsidRPr="000572D4">
        <w:t xml:space="preserve">Google </w:t>
      </w:r>
      <w:proofErr w:type="spellStart"/>
      <w:r w:rsidRPr="000572D4">
        <w:t>Maps</w:t>
      </w:r>
      <w:proofErr w:type="spellEnd"/>
      <w:r w:rsidRPr="000572D4">
        <w:t>);</w:t>
      </w:r>
    </w:p>
    <w:p w14:paraId="410663DA" w14:textId="77777777" w:rsidR="00742CBC" w:rsidRPr="000572D4" w:rsidRDefault="00742CBC" w:rsidP="001B2A4E">
      <w:pPr>
        <w:pStyle w:val="Akapitzlist"/>
        <w:numPr>
          <w:ilvl w:val="0"/>
          <w:numId w:val="12"/>
        </w:numPr>
      </w:pPr>
      <w:r w:rsidRPr="000572D4">
        <w:t>średnia prędkość podróży transportem publicznym według rozkładów jazdy;</w:t>
      </w:r>
    </w:p>
    <w:p w14:paraId="2D31875A" w14:textId="77777777" w:rsidR="00742CBC" w:rsidRPr="000572D4" w:rsidRDefault="00742CBC" w:rsidP="001B2A4E">
      <w:pPr>
        <w:pStyle w:val="Akapitzlist"/>
        <w:numPr>
          <w:ilvl w:val="0"/>
          <w:numId w:val="12"/>
        </w:numPr>
      </w:pPr>
      <w:r w:rsidRPr="000572D4">
        <w:t>średnia prędkość podróży transportem publicznym według danych z autokomputerów.</w:t>
      </w:r>
    </w:p>
    <w:p w14:paraId="60224369" w14:textId="77777777" w:rsidR="00742CBC" w:rsidRDefault="00742CBC" w:rsidP="00742CBC">
      <w:pPr>
        <w:tabs>
          <w:tab w:val="num" w:pos="720"/>
        </w:tabs>
      </w:pPr>
      <w:r w:rsidRPr="000572D4">
        <w:t>Dane o rzeczywistych czasach przejazdu komunikacji miejskiej</w:t>
      </w:r>
      <w:r>
        <w:t xml:space="preserve"> </w:t>
      </w:r>
      <w:r w:rsidRPr="000572D4">
        <w:t>pozyskano od 8 miast</w:t>
      </w:r>
      <w:r>
        <w:t>, dodatkowo oczekiwane jest pozyskanie danych od 1 miasta</w:t>
      </w:r>
      <w:r w:rsidRPr="000572D4">
        <w:t xml:space="preserve"> (Szczecin)</w:t>
      </w:r>
      <w:r>
        <w:t xml:space="preserve">, a </w:t>
      </w:r>
      <w:r w:rsidRPr="000572D4">
        <w:t>od 2 organizatorów (GZM i Kraków - autobusy)</w:t>
      </w:r>
      <w:r>
        <w:t xml:space="preserve"> nie udało się uzyskać stosownych danych</w:t>
      </w:r>
      <w:r w:rsidRPr="000572D4">
        <w:t>. Dane były zatem możliwe do przypisania dla 21 z 30 odcinków sieci komunikacyjnej, które stanowiły odcinki kontrfaktyczne w parowaniu metodą PSM.</w:t>
      </w:r>
      <w:r>
        <w:t xml:space="preserve"> </w:t>
      </w:r>
      <w:r w:rsidRPr="000572D4">
        <w:t xml:space="preserve">Wskutek tego efekt netto interwencji </w:t>
      </w:r>
      <w:r>
        <w:t xml:space="preserve">dla tego wskaźnika </w:t>
      </w:r>
      <w:r w:rsidRPr="000572D4">
        <w:t>będzie możliwy do oszacowania jedynie dla 3 z 10 odcinków poddanych analizie.</w:t>
      </w:r>
    </w:p>
    <w:p w14:paraId="1D810A6F" w14:textId="2896B4BD" w:rsidR="00742CBC" w:rsidRDefault="00742CBC" w:rsidP="00742CBC">
      <w:r>
        <w:t xml:space="preserve">Aby dokonać oszacowania efektu netto interwencji w badaniu </w:t>
      </w:r>
      <w:r>
        <w:rPr>
          <w:i/>
          <w:iCs/>
        </w:rPr>
        <w:t xml:space="preserve">ex post </w:t>
      </w:r>
      <w:r>
        <w:t xml:space="preserve">wykorzystując parowanie odcinków sieci </w:t>
      </w:r>
      <w:r w:rsidR="00B320B7">
        <w:t>komunikacyjnej</w:t>
      </w:r>
      <w:r>
        <w:t xml:space="preserve"> metodą PSM niezbędne będzie wykonanie następujących czynności:</w:t>
      </w:r>
    </w:p>
    <w:p w14:paraId="7A79FE64" w14:textId="77777777" w:rsidR="00742CBC" w:rsidRDefault="00742CBC" w:rsidP="001B2A4E">
      <w:pPr>
        <w:pStyle w:val="Akapitzlist"/>
        <w:numPr>
          <w:ilvl w:val="0"/>
          <w:numId w:val="14"/>
        </w:numPr>
      </w:pPr>
      <w:r>
        <w:t xml:space="preserve">obliczenie zmian w wartościach wskaźników pomiędzy rokiem bazowym a rokiem badania ujętym w badaniu </w:t>
      </w:r>
      <w:r>
        <w:rPr>
          <w:i/>
          <w:iCs/>
        </w:rPr>
        <w:t>ex post</w:t>
      </w:r>
      <w:r>
        <w:t>;</w:t>
      </w:r>
    </w:p>
    <w:p w14:paraId="352139C4" w14:textId="50C75198" w:rsidR="00742CBC" w:rsidRDefault="00742CBC" w:rsidP="001B2A4E">
      <w:pPr>
        <w:pStyle w:val="Akapitzlist"/>
        <w:numPr>
          <w:ilvl w:val="0"/>
          <w:numId w:val="14"/>
        </w:numPr>
      </w:pPr>
      <w:r>
        <w:lastRenderedPageBreak/>
        <w:t xml:space="preserve">obliczenie różnic w wielkościach zmian </w:t>
      </w:r>
      <w:r w:rsidR="003C2F20">
        <w:t xml:space="preserve">dla poszczególnych </w:t>
      </w:r>
      <w:r>
        <w:t xml:space="preserve">odcinków </w:t>
      </w:r>
      <w:r w:rsidR="00B320B7">
        <w:t>sieci komunikacyjnej</w:t>
      </w:r>
      <w:r>
        <w:t xml:space="preserve"> (sytuacji kontrfaktycznych)</w:t>
      </w:r>
      <w:r w:rsidR="003C2F20">
        <w:t xml:space="preserve"> mając na uwadze wagi określające podobieństwo kilku odcinków kontrfaktycznych do odcinka poddanego interwencji</w:t>
      </w:r>
      <w:r>
        <w:t>;</w:t>
      </w:r>
    </w:p>
    <w:p w14:paraId="56B1DC5C" w14:textId="77777777" w:rsidR="00742CBC" w:rsidRDefault="00742CBC" w:rsidP="001B2A4E">
      <w:pPr>
        <w:pStyle w:val="Akapitzlist"/>
        <w:numPr>
          <w:ilvl w:val="0"/>
          <w:numId w:val="15"/>
        </w:numPr>
      </w:pPr>
      <w:bookmarkStart w:id="183" w:name="_Hlk15400797"/>
      <w:r w:rsidRPr="00BA794B">
        <w:t xml:space="preserve">określenie wysokości efektów netto </w:t>
      </w:r>
      <w:bookmarkStart w:id="184" w:name="_Hlk15400753"/>
      <w:r w:rsidRPr="00BA794B">
        <w:t>dla jednostek poddanych interwencji (grupy eksperymentalnej) i jednostek niepoddanych interwencji (grupy kontrolnej)</w:t>
      </w:r>
      <w:r>
        <w:t xml:space="preserve"> – jako różnicy lub ilorazu</w:t>
      </w:r>
      <w:r w:rsidRPr="00BA794B">
        <w:t>.</w:t>
      </w:r>
      <w:r>
        <w:t xml:space="preserve"> </w:t>
      </w:r>
      <w:bookmarkEnd w:id="184"/>
    </w:p>
    <w:p w14:paraId="556254DF" w14:textId="77D39483" w:rsidR="00A341AF" w:rsidRPr="00B320B7" w:rsidRDefault="00B320B7" w:rsidP="00B320B7">
      <w:pPr>
        <w:pStyle w:val="Nagwek3"/>
      </w:pPr>
      <w:bookmarkStart w:id="185" w:name="_Toc27125347"/>
      <w:bookmarkEnd w:id="183"/>
      <w:r w:rsidRPr="00B320B7">
        <w:t>Weryfikacja założeń analiz metodą SPSM</w:t>
      </w:r>
      <w:bookmarkEnd w:id="185"/>
    </w:p>
    <w:p w14:paraId="129075DF" w14:textId="77777777" w:rsidR="00DD74F2" w:rsidRPr="000572D4" w:rsidRDefault="00DD74F2" w:rsidP="00DD74F2">
      <w:r>
        <w:t>Podstawą weryfikacji założeń metody SPSM w niniejszym badaniu był proces uzupełniania bazy danych wejściowych z badania pilotażowego. W wyniku zapytań u</w:t>
      </w:r>
      <w:r w:rsidRPr="000572D4">
        <w:t>zupełniono wartości wejściowe kluczowych zmiennych</w:t>
      </w:r>
      <w:r>
        <w:t xml:space="preserve"> </w:t>
      </w:r>
      <w:r w:rsidRPr="000572D4">
        <w:t>dla analizy metodą SPSM:</w:t>
      </w:r>
    </w:p>
    <w:p w14:paraId="4B06B178" w14:textId="77777777" w:rsidR="00DD74F2" w:rsidRDefault="00DD74F2" w:rsidP="001B2A4E">
      <w:pPr>
        <w:pStyle w:val="Akapitzlist"/>
        <w:numPr>
          <w:ilvl w:val="0"/>
          <w:numId w:val="29"/>
        </w:numPr>
        <w:ind w:left="360"/>
      </w:pPr>
      <w:r w:rsidRPr="000572D4">
        <w:t>objaśnianych</w:t>
      </w:r>
      <w:r>
        <w:t>:</w:t>
      </w:r>
    </w:p>
    <w:p w14:paraId="5AD3310B" w14:textId="56872CDD" w:rsidR="00DD74F2" w:rsidRDefault="00DD74F2" w:rsidP="001B2A4E">
      <w:pPr>
        <w:pStyle w:val="Akapitzlist"/>
        <w:numPr>
          <w:ilvl w:val="1"/>
          <w:numId w:val="31"/>
        </w:numPr>
        <w:ind w:left="1080"/>
      </w:pPr>
      <w:r w:rsidRPr="000572D4">
        <w:t>wartość sprzedanych biletów okresowych i ogółem</w:t>
      </w:r>
      <w:r w:rsidR="00A3257C">
        <w:t>,</w:t>
      </w:r>
    </w:p>
    <w:p w14:paraId="730D54C6" w14:textId="1AD0F40D" w:rsidR="00DD74F2" w:rsidRPr="000572D4" w:rsidRDefault="00DD74F2" w:rsidP="001B2A4E">
      <w:pPr>
        <w:pStyle w:val="Akapitzlist"/>
        <w:numPr>
          <w:ilvl w:val="1"/>
          <w:numId w:val="31"/>
        </w:numPr>
        <w:ind w:left="1080"/>
      </w:pPr>
      <w:r w:rsidRPr="000572D4">
        <w:t>liczba przewiezionych pasażerów</w:t>
      </w:r>
      <w:r w:rsidR="00A3257C">
        <w:t>;</w:t>
      </w:r>
    </w:p>
    <w:p w14:paraId="617A31B4" w14:textId="77777777" w:rsidR="00DD74F2" w:rsidRDefault="00DD74F2" w:rsidP="001B2A4E">
      <w:pPr>
        <w:pStyle w:val="Akapitzlist"/>
        <w:numPr>
          <w:ilvl w:val="0"/>
          <w:numId w:val="29"/>
        </w:numPr>
        <w:ind w:left="360"/>
      </w:pPr>
      <w:r w:rsidRPr="000572D4">
        <w:t>objaśniających</w:t>
      </w:r>
      <w:r>
        <w:t>:</w:t>
      </w:r>
    </w:p>
    <w:p w14:paraId="27D1B74F" w14:textId="5D2F616D" w:rsidR="00DD74F2" w:rsidRDefault="00DD74F2" w:rsidP="001B2A4E">
      <w:pPr>
        <w:pStyle w:val="Akapitzlist"/>
        <w:numPr>
          <w:ilvl w:val="1"/>
          <w:numId w:val="30"/>
        </w:numPr>
        <w:ind w:left="1080"/>
      </w:pPr>
      <w:r w:rsidRPr="000572D4">
        <w:t>średni wiek pojazdów</w:t>
      </w:r>
      <w:r w:rsidR="00A3257C">
        <w:t>,</w:t>
      </w:r>
    </w:p>
    <w:p w14:paraId="33722146" w14:textId="7DB9701B" w:rsidR="00DD74F2" w:rsidRDefault="00DD74F2" w:rsidP="001B2A4E">
      <w:pPr>
        <w:pStyle w:val="Akapitzlist"/>
        <w:numPr>
          <w:ilvl w:val="1"/>
          <w:numId w:val="30"/>
        </w:numPr>
        <w:ind w:left="1080"/>
      </w:pPr>
      <w:r w:rsidRPr="000572D4">
        <w:t>praca eksploatacyjna</w:t>
      </w:r>
      <w:r w:rsidR="00A3257C">
        <w:t>,</w:t>
      </w:r>
    </w:p>
    <w:p w14:paraId="3C735086" w14:textId="4E0EB006" w:rsidR="00DD74F2" w:rsidRDefault="00DD74F2" w:rsidP="001B2A4E">
      <w:pPr>
        <w:pStyle w:val="Akapitzlist"/>
        <w:numPr>
          <w:ilvl w:val="1"/>
          <w:numId w:val="30"/>
        </w:numPr>
        <w:ind w:left="1080"/>
      </w:pPr>
      <w:r w:rsidRPr="000572D4">
        <w:t>długość linii komunikacyjnych</w:t>
      </w:r>
      <w:r w:rsidR="00A3257C">
        <w:t>,</w:t>
      </w:r>
    </w:p>
    <w:p w14:paraId="2EE4F335" w14:textId="77777777" w:rsidR="00DD74F2" w:rsidRPr="000572D4" w:rsidRDefault="00DD74F2" w:rsidP="001B2A4E">
      <w:pPr>
        <w:pStyle w:val="Akapitzlist"/>
        <w:numPr>
          <w:ilvl w:val="1"/>
          <w:numId w:val="30"/>
        </w:numPr>
        <w:ind w:left="1080"/>
      </w:pPr>
      <w:r w:rsidRPr="000572D4">
        <w:t>liczba pojazdów w ruchu.</w:t>
      </w:r>
    </w:p>
    <w:p w14:paraId="2052F985" w14:textId="77777777" w:rsidR="00DD74F2" w:rsidRPr="000572D4" w:rsidRDefault="00DD74F2" w:rsidP="00DD74F2">
      <w:r w:rsidRPr="000572D4">
        <w:t>Nie udało się zebrać i utrwalić wartości wejściowych dla nowych wskaźników</w:t>
      </w:r>
      <w:r>
        <w:t>, szczególnie ważnych w kontekście celów niniejszego badania</w:t>
      </w:r>
      <w:r w:rsidRPr="000572D4">
        <w:t>:</w:t>
      </w:r>
    </w:p>
    <w:p w14:paraId="2A3B1ED0" w14:textId="77777777" w:rsidR="00DD74F2" w:rsidRPr="000572D4" w:rsidRDefault="00DD74F2" w:rsidP="001B2A4E">
      <w:pPr>
        <w:pStyle w:val="Akapitzlist"/>
        <w:numPr>
          <w:ilvl w:val="0"/>
          <w:numId w:val="32"/>
        </w:numPr>
      </w:pPr>
      <w:r w:rsidRPr="000572D4">
        <w:t>średni czas likwidacji zdarzeń w sieci transportowej i przywracania ruchu (zmienna objaśniana w obszarze płynności ruchu);</w:t>
      </w:r>
    </w:p>
    <w:p w14:paraId="3919CD95" w14:textId="77777777" w:rsidR="00DD74F2" w:rsidRPr="000572D4" w:rsidRDefault="00DD74F2" w:rsidP="001B2A4E">
      <w:pPr>
        <w:pStyle w:val="Akapitzlist"/>
        <w:numPr>
          <w:ilvl w:val="0"/>
          <w:numId w:val="32"/>
        </w:numPr>
      </w:pPr>
      <w:r w:rsidRPr="000572D4">
        <w:t>liczba fotoradarów i odcinków pomiaru prędkości w mieście (zmienne objaśniające</w:t>
      </w:r>
      <w:r>
        <w:t xml:space="preserve"> w obszarze bezpieczeństwa ruchu</w:t>
      </w:r>
      <w:r w:rsidRPr="000572D4">
        <w:t>).</w:t>
      </w:r>
    </w:p>
    <w:p w14:paraId="2DF09390" w14:textId="1FFFCCC6" w:rsidR="00DD74F2" w:rsidRPr="00365132" w:rsidRDefault="00DD74F2" w:rsidP="00DD74F2">
      <w:r w:rsidRPr="00365132">
        <w:t>Na podstawie analizy uzupełnionej bazy danych dokonano optymalizacji próby miast dla analizy efektu netto interwencji metodą SPSM.</w:t>
      </w:r>
      <w:r>
        <w:t xml:space="preserve"> </w:t>
      </w:r>
      <w:r w:rsidRPr="00365132">
        <w:t xml:space="preserve">Finalna próba liczy zatem 24 miasta </w:t>
      </w:r>
      <w:r>
        <w:t>(por.</w:t>
      </w:r>
      <w:r w:rsidR="008252E6">
        <w:t xml:space="preserve"> </w:t>
      </w:r>
      <w:r w:rsidR="008252E6">
        <w:fldChar w:fldCharType="begin"/>
      </w:r>
      <w:r w:rsidR="008252E6">
        <w:instrText xml:space="preserve"> REF _Ref25159457 \h </w:instrText>
      </w:r>
      <w:r w:rsidR="008252E6">
        <w:fldChar w:fldCharType="separate"/>
      </w:r>
      <w:r w:rsidR="00C93FD7">
        <w:t xml:space="preserve">Tabela </w:t>
      </w:r>
      <w:r w:rsidR="00C93FD7">
        <w:rPr>
          <w:noProof/>
        </w:rPr>
        <w:t>16</w:t>
      </w:r>
      <w:r w:rsidR="008252E6">
        <w:fldChar w:fldCharType="end"/>
      </w:r>
      <w:r>
        <w:t xml:space="preserve">) </w:t>
      </w:r>
      <w:r w:rsidRPr="00365132">
        <w:t>i została rozszerzona o:</w:t>
      </w:r>
    </w:p>
    <w:p w14:paraId="0159CB44" w14:textId="2483A588" w:rsidR="00DD74F2" w:rsidRPr="00365132" w:rsidRDefault="00DD74F2" w:rsidP="001B2A4E">
      <w:pPr>
        <w:pStyle w:val="Akapitzlist"/>
        <w:numPr>
          <w:ilvl w:val="0"/>
          <w:numId w:val="33"/>
        </w:numPr>
      </w:pPr>
      <w:r w:rsidRPr="00365132">
        <w:t>Zgierz</w:t>
      </w:r>
      <w:r w:rsidR="00A3257C">
        <w:t>,</w:t>
      </w:r>
    </w:p>
    <w:p w14:paraId="6CD79BE9" w14:textId="69721397" w:rsidR="00DD74F2" w:rsidRPr="00365132" w:rsidRDefault="00DD74F2" w:rsidP="001B2A4E">
      <w:pPr>
        <w:pStyle w:val="Akapitzlist"/>
        <w:numPr>
          <w:ilvl w:val="0"/>
          <w:numId w:val="33"/>
        </w:numPr>
      </w:pPr>
      <w:r w:rsidRPr="00365132">
        <w:t>Pruszków</w:t>
      </w:r>
      <w:r w:rsidR="00A3257C">
        <w:t>,</w:t>
      </w:r>
    </w:p>
    <w:p w14:paraId="268519EE" w14:textId="03F73AB0" w:rsidR="00DD74F2" w:rsidRDefault="00DD74F2" w:rsidP="001B2A4E">
      <w:pPr>
        <w:pStyle w:val="Akapitzlist"/>
        <w:numPr>
          <w:ilvl w:val="0"/>
          <w:numId w:val="33"/>
        </w:numPr>
      </w:pPr>
      <w:r w:rsidRPr="00365132">
        <w:t>Tczew.</w:t>
      </w:r>
    </w:p>
    <w:p w14:paraId="3E9325DD" w14:textId="41E23352" w:rsidR="00C24C59" w:rsidRDefault="00C24C59" w:rsidP="00C24C59">
      <w:r w:rsidRPr="00C24C59">
        <w:t xml:space="preserve">Istnieje zatem możliwość ponownego przeprowadzenia segmentacji miast w celu zwiększenia jakości modelowania efektu netto metodą SPSM, przy czym przeprowadzenie tej segmentacji będzie zasadne po analizie dostępności danych </w:t>
      </w:r>
      <w:r w:rsidRPr="00760E00">
        <w:rPr>
          <w:i/>
        </w:rPr>
        <w:t>ex post</w:t>
      </w:r>
      <w:r w:rsidRPr="00C24C59">
        <w:t>.</w:t>
      </w:r>
    </w:p>
    <w:p w14:paraId="47A164FF" w14:textId="68B11531" w:rsidR="00C24C59" w:rsidRPr="00365132" w:rsidRDefault="00C24C59" w:rsidP="00C24C59">
      <w:r>
        <w:t xml:space="preserve">Biorąc jednak pod uwagę ograniczenia zaistniałe w trakcie przeprowadzania panelu CAWI, tj. brak ankietowanych dla poszczególnych miast, proponuje się odrębne oszacowanie efektu netto dla zmiennych pochodzących z panelu CAWI, polegające na przeprowadzeniu odrębnej segmentacji miast i stworzeniu oddzielnej rodziny modeli regresji. Do omawianej oddzielnej próby miast, w których udało się przeprowadzić panel CAWI, należy 14 jednostek, oznaczonych w poniższej tabeli (por. </w:t>
      </w:r>
      <w:r>
        <w:fldChar w:fldCharType="begin"/>
      </w:r>
      <w:r>
        <w:instrText xml:space="preserve"> REF _Ref25159457 \h </w:instrText>
      </w:r>
      <w:r>
        <w:fldChar w:fldCharType="separate"/>
      </w:r>
      <w:r w:rsidR="00C93FD7">
        <w:t xml:space="preserve">Tabela </w:t>
      </w:r>
      <w:r w:rsidR="00C93FD7">
        <w:rPr>
          <w:noProof/>
        </w:rPr>
        <w:t>16</w:t>
      </w:r>
      <w:r>
        <w:fldChar w:fldCharType="end"/>
      </w:r>
      <w:r>
        <w:t>).</w:t>
      </w:r>
    </w:p>
    <w:p w14:paraId="5B408E36" w14:textId="485A0D2D" w:rsidR="00DD74F2" w:rsidRDefault="00DD74F2" w:rsidP="00DD74F2">
      <w:pPr>
        <w:pStyle w:val="Legenda"/>
      </w:pPr>
      <w:bookmarkStart w:id="186" w:name="_Ref25159457"/>
      <w:bookmarkStart w:id="187" w:name="_Toc27125374"/>
      <w:r>
        <w:lastRenderedPageBreak/>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16</w:t>
      </w:r>
      <w:r w:rsidR="003C20BE">
        <w:rPr>
          <w:noProof/>
        </w:rPr>
        <w:fldChar w:fldCharType="end"/>
      </w:r>
      <w:bookmarkEnd w:id="186"/>
      <w:r>
        <w:t xml:space="preserve">. </w:t>
      </w:r>
      <w:r w:rsidRPr="004F4EBE">
        <w:t>Lista miast dla późniejszych analiz metodą SPSM</w:t>
      </w:r>
      <w:bookmarkEnd w:id="187"/>
    </w:p>
    <w:tbl>
      <w:tblPr>
        <w:tblStyle w:val="WolanskiCorpTabela"/>
        <w:tblW w:w="4688" w:type="pct"/>
        <w:jc w:val="center"/>
        <w:tblLook w:val="0420" w:firstRow="1" w:lastRow="0" w:firstColumn="0" w:lastColumn="0" w:noHBand="0" w:noVBand="1"/>
      </w:tblPr>
      <w:tblGrid>
        <w:gridCol w:w="1337"/>
        <w:gridCol w:w="2630"/>
        <w:gridCol w:w="1655"/>
        <w:gridCol w:w="2883"/>
      </w:tblGrid>
      <w:tr w:rsidR="00D768D1" w14:paraId="50E2EEF3" w14:textId="62AAB111" w:rsidTr="00554502">
        <w:trPr>
          <w:cnfStyle w:val="100000000000" w:firstRow="1" w:lastRow="0" w:firstColumn="0" w:lastColumn="0" w:oddVBand="0" w:evenVBand="0" w:oddHBand="0" w:evenHBand="0" w:firstRowFirstColumn="0" w:firstRowLastColumn="0" w:lastRowFirstColumn="0" w:lastRowLastColumn="0"/>
          <w:jc w:val="center"/>
        </w:trPr>
        <w:tc>
          <w:tcPr>
            <w:tcW w:w="786" w:type="pct"/>
          </w:tcPr>
          <w:p w14:paraId="569C83C9" w14:textId="77777777" w:rsidR="00D768D1" w:rsidRPr="00D415F4" w:rsidRDefault="00D768D1" w:rsidP="00532766">
            <w:pPr>
              <w:rPr>
                <w:sz w:val="18"/>
                <w:szCs w:val="18"/>
              </w:rPr>
            </w:pPr>
            <w:r w:rsidRPr="00D415F4">
              <w:rPr>
                <w:sz w:val="18"/>
                <w:szCs w:val="18"/>
              </w:rPr>
              <w:t>miasto</w:t>
            </w:r>
          </w:p>
        </w:tc>
        <w:tc>
          <w:tcPr>
            <w:tcW w:w="1546" w:type="pct"/>
          </w:tcPr>
          <w:p w14:paraId="4D788B83" w14:textId="3FC1AB95" w:rsidR="00D768D1" w:rsidRPr="00D415F4" w:rsidRDefault="00D768D1" w:rsidP="00D415F4">
            <w:pPr>
              <w:jc w:val="center"/>
              <w:rPr>
                <w:sz w:val="18"/>
                <w:szCs w:val="18"/>
              </w:rPr>
            </w:pPr>
            <w:r w:rsidRPr="00D415F4">
              <w:rPr>
                <w:sz w:val="18"/>
                <w:szCs w:val="18"/>
              </w:rPr>
              <w:t>POIiŚ</w:t>
            </w:r>
            <w:r>
              <w:rPr>
                <w:sz w:val="18"/>
                <w:szCs w:val="18"/>
              </w:rPr>
              <w:t xml:space="preserve"> / spoza POIiŚ</w:t>
            </w:r>
          </w:p>
        </w:tc>
        <w:tc>
          <w:tcPr>
            <w:tcW w:w="973" w:type="pct"/>
          </w:tcPr>
          <w:p w14:paraId="248D0419" w14:textId="77777777" w:rsidR="00D768D1" w:rsidRPr="00D415F4" w:rsidRDefault="00D768D1" w:rsidP="00D415F4">
            <w:pPr>
              <w:jc w:val="center"/>
              <w:rPr>
                <w:sz w:val="18"/>
                <w:szCs w:val="18"/>
              </w:rPr>
            </w:pPr>
            <w:r w:rsidRPr="00D415F4">
              <w:rPr>
                <w:sz w:val="18"/>
                <w:szCs w:val="18"/>
              </w:rPr>
              <w:t>próba</w:t>
            </w:r>
          </w:p>
        </w:tc>
        <w:tc>
          <w:tcPr>
            <w:tcW w:w="1695" w:type="pct"/>
          </w:tcPr>
          <w:p w14:paraId="4957B32A" w14:textId="5B5317E1" w:rsidR="00D768D1" w:rsidRPr="00D415F4" w:rsidRDefault="00C24C59" w:rsidP="00D415F4">
            <w:pPr>
              <w:jc w:val="center"/>
              <w:rPr>
                <w:sz w:val="18"/>
                <w:szCs w:val="18"/>
              </w:rPr>
            </w:pPr>
            <w:r>
              <w:rPr>
                <w:sz w:val="18"/>
                <w:szCs w:val="18"/>
              </w:rPr>
              <w:t xml:space="preserve">czy próba miast z </w:t>
            </w:r>
            <w:r w:rsidR="00D768D1">
              <w:rPr>
                <w:sz w:val="18"/>
                <w:szCs w:val="18"/>
              </w:rPr>
              <w:t>cawi</w:t>
            </w:r>
            <w:r>
              <w:rPr>
                <w:sz w:val="18"/>
                <w:szCs w:val="18"/>
              </w:rPr>
              <w:t>?</w:t>
            </w:r>
          </w:p>
        </w:tc>
      </w:tr>
      <w:tr w:rsidR="00D768D1" w14:paraId="60A1F5B7" w14:textId="448131DE"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11ABB0EA" w14:textId="77777777" w:rsidR="00D768D1" w:rsidRPr="00D415F4" w:rsidRDefault="00D768D1" w:rsidP="00532766">
            <w:pPr>
              <w:rPr>
                <w:sz w:val="18"/>
                <w:szCs w:val="18"/>
              </w:rPr>
            </w:pPr>
            <w:r w:rsidRPr="00D415F4">
              <w:rPr>
                <w:sz w:val="18"/>
                <w:szCs w:val="18"/>
              </w:rPr>
              <w:t>Bydgoszcz</w:t>
            </w:r>
          </w:p>
        </w:tc>
        <w:tc>
          <w:tcPr>
            <w:tcW w:w="1546" w:type="pct"/>
          </w:tcPr>
          <w:p w14:paraId="02AECD83" w14:textId="77777777" w:rsidR="00D768D1" w:rsidRPr="00D415F4" w:rsidRDefault="00D768D1" w:rsidP="00D415F4">
            <w:pPr>
              <w:jc w:val="center"/>
              <w:rPr>
                <w:sz w:val="18"/>
                <w:szCs w:val="18"/>
              </w:rPr>
            </w:pPr>
            <w:r w:rsidRPr="00D415F4">
              <w:rPr>
                <w:sz w:val="18"/>
                <w:szCs w:val="18"/>
              </w:rPr>
              <w:t>POIiŚ</w:t>
            </w:r>
          </w:p>
        </w:tc>
        <w:tc>
          <w:tcPr>
            <w:tcW w:w="973" w:type="pct"/>
          </w:tcPr>
          <w:p w14:paraId="070EDF87" w14:textId="77777777" w:rsidR="00D768D1" w:rsidRPr="00D415F4" w:rsidRDefault="00D768D1" w:rsidP="00D415F4">
            <w:pPr>
              <w:jc w:val="center"/>
              <w:rPr>
                <w:sz w:val="18"/>
                <w:szCs w:val="18"/>
              </w:rPr>
            </w:pPr>
            <w:r w:rsidRPr="00D415F4">
              <w:rPr>
                <w:sz w:val="18"/>
                <w:szCs w:val="18"/>
              </w:rPr>
              <w:t>Pierwotna</w:t>
            </w:r>
          </w:p>
        </w:tc>
        <w:tc>
          <w:tcPr>
            <w:tcW w:w="1695" w:type="pct"/>
          </w:tcPr>
          <w:p w14:paraId="2B62E2CC" w14:textId="5EAD3A65" w:rsidR="00D768D1" w:rsidRPr="00D415F4" w:rsidRDefault="00D768D1" w:rsidP="00D415F4">
            <w:pPr>
              <w:jc w:val="center"/>
              <w:rPr>
                <w:sz w:val="18"/>
                <w:szCs w:val="18"/>
              </w:rPr>
            </w:pPr>
            <w:r>
              <w:rPr>
                <w:sz w:val="18"/>
                <w:szCs w:val="18"/>
              </w:rPr>
              <w:t>Tak</w:t>
            </w:r>
          </w:p>
        </w:tc>
      </w:tr>
      <w:tr w:rsidR="00D768D1" w14:paraId="05C65876" w14:textId="0BA37B16" w:rsidTr="00554502">
        <w:trPr>
          <w:jc w:val="center"/>
        </w:trPr>
        <w:tc>
          <w:tcPr>
            <w:tcW w:w="786" w:type="pct"/>
          </w:tcPr>
          <w:p w14:paraId="405C5CBD" w14:textId="77777777" w:rsidR="00D768D1" w:rsidRPr="00D415F4" w:rsidRDefault="00D768D1" w:rsidP="00532766">
            <w:pPr>
              <w:rPr>
                <w:sz w:val="18"/>
                <w:szCs w:val="18"/>
              </w:rPr>
            </w:pPr>
            <w:r w:rsidRPr="00D415F4">
              <w:rPr>
                <w:sz w:val="18"/>
                <w:szCs w:val="18"/>
              </w:rPr>
              <w:t>Toruń</w:t>
            </w:r>
          </w:p>
        </w:tc>
        <w:tc>
          <w:tcPr>
            <w:tcW w:w="1546" w:type="pct"/>
          </w:tcPr>
          <w:p w14:paraId="325EA577" w14:textId="77777777" w:rsidR="00D768D1" w:rsidRPr="00D415F4" w:rsidRDefault="00D768D1" w:rsidP="00D415F4">
            <w:pPr>
              <w:jc w:val="center"/>
              <w:rPr>
                <w:sz w:val="18"/>
                <w:szCs w:val="18"/>
              </w:rPr>
            </w:pPr>
            <w:r w:rsidRPr="00D415F4">
              <w:rPr>
                <w:sz w:val="18"/>
                <w:szCs w:val="18"/>
              </w:rPr>
              <w:t>POIiŚ</w:t>
            </w:r>
          </w:p>
        </w:tc>
        <w:tc>
          <w:tcPr>
            <w:tcW w:w="973" w:type="pct"/>
          </w:tcPr>
          <w:p w14:paraId="73FE81CC" w14:textId="77777777" w:rsidR="00D768D1" w:rsidRPr="00D415F4" w:rsidRDefault="00D768D1" w:rsidP="00D415F4">
            <w:pPr>
              <w:jc w:val="center"/>
              <w:rPr>
                <w:sz w:val="18"/>
                <w:szCs w:val="18"/>
              </w:rPr>
            </w:pPr>
            <w:r w:rsidRPr="00D415F4">
              <w:rPr>
                <w:sz w:val="18"/>
                <w:szCs w:val="18"/>
              </w:rPr>
              <w:t>Pierwotna</w:t>
            </w:r>
          </w:p>
        </w:tc>
        <w:tc>
          <w:tcPr>
            <w:tcW w:w="1695" w:type="pct"/>
          </w:tcPr>
          <w:p w14:paraId="19B5BFB4" w14:textId="1779CABF" w:rsidR="00D768D1" w:rsidRPr="00D415F4" w:rsidRDefault="00D768D1" w:rsidP="00D415F4">
            <w:pPr>
              <w:jc w:val="center"/>
              <w:rPr>
                <w:sz w:val="18"/>
                <w:szCs w:val="18"/>
              </w:rPr>
            </w:pPr>
            <w:r>
              <w:rPr>
                <w:sz w:val="18"/>
                <w:szCs w:val="18"/>
              </w:rPr>
              <w:t>Tak</w:t>
            </w:r>
          </w:p>
        </w:tc>
      </w:tr>
      <w:tr w:rsidR="00D768D1" w14:paraId="611667DF" w14:textId="6C882585"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253C6955" w14:textId="77777777" w:rsidR="00D768D1" w:rsidRPr="00D415F4" w:rsidRDefault="00D768D1" w:rsidP="00532766">
            <w:pPr>
              <w:rPr>
                <w:sz w:val="18"/>
                <w:szCs w:val="18"/>
              </w:rPr>
            </w:pPr>
            <w:r w:rsidRPr="00D415F4">
              <w:rPr>
                <w:sz w:val="18"/>
                <w:szCs w:val="18"/>
              </w:rPr>
              <w:t>Gdańsk</w:t>
            </w:r>
          </w:p>
        </w:tc>
        <w:tc>
          <w:tcPr>
            <w:tcW w:w="1546" w:type="pct"/>
          </w:tcPr>
          <w:p w14:paraId="19A199C7" w14:textId="77777777" w:rsidR="00D768D1" w:rsidRPr="00D415F4" w:rsidRDefault="00D768D1" w:rsidP="00D415F4">
            <w:pPr>
              <w:jc w:val="center"/>
              <w:rPr>
                <w:sz w:val="18"/>
                <w:szCs w:val="18"/>
              </w:rPr>
            </w:pPr>
            <w:r w:rsidRPr="00D415F4">
              <w:rPr>
                <w:sz w:val="18"/>
                <w:szCs w:val="18"/>
              </w:rPr>
              <w:t>POIiŚ</w:t>
            </w:r>
          </w:p>
        </w:tc>
        <w:tc>
          <w:tcPr>
            <w:tcW w:w="973" w:type="pct"/>
          </w:tcPr>
          <w:p w14:paraId="67952E19" w14:textId="77777777" w:rsidR="00D768D1" w:rsidRPr="00D415F4" w:rsidRDefault="00D768D1" w:rsidP="00D415F4">
            <w:pPr>
              <w:jc w:val="center"/>
              <w:rPr>
                <w:sz w:val="18"/>
                <w:szCs w:val="18"/>
              </w:rPr>
            </w:pPr>
            <w:r w:rsidRPr="00D415F4">
              <w:rPr>
                <w:sz w:val="18"/>
                <w:szCs w:val="18"/>
              </w:rPr>
              <w:t>Pierwotna</w:t>
            </w:r>
          </w:p>
        </w:tc>
        <w:tc>
          <w:tcPr>
            <w:tcW w:w="1695" w:type="pct"/>
          </w:tcPr>
          <w:p w14:paraId="3E1443F2" w14:textId="394DDB79" w:rsidR="00D768D1" w:rsidRPr="00D415F4" w:rsidRDefault="00D768D1" w:rsidP="00D415F4">
            <w:pPr>
              <w:jc w:val="center"/>
              <w:rPr>
                <w:sz w:val="18"/>
                <w:szCs w:val="18"/>
              </w:rPr>
            </w:pPr>
            <w:r>
              <w:rPr>
                <w:sz w:val="18"/>
                <w:szCs w:val="18"/>
              </w:rPr>
              <w:t>Tak</w:t>
            </w:r>
          </w:p>
        </w:tc>
      </w:tr>
      <w:tr w:rsidR="00D768D1" w14:paraId="7003D751" w14:textId="2A7F72A8" w:rsidTr="00554502">
        <w:trPr>
          <w:jc w:val="center"/>
        </w:trPr>
        <w:tc>
          <w:tcPr>
            <w:tcW w:w="786" w:type="pct"/>
          </w:tcPr>
          <w:p w14:paraId="339BBA57" w14:textId="77777777" w:rsidR="00D768D1" w:rsidRPr="00D415F4" w:rsidRDefault="00D768D1" w:rsidP="00532766">
            <w:pPr>
              <w:rPr>
                <w:sz w:val="18"/>
                <w:szCs w:val="18"/>
              </w:rPr>
            </w:pPr>
            <w:r w:rsidRPr="00D415F4">
              <w:rPr>
                <w:sz w:val="18"/>
                <w:szCs w:val="18"/>
              </w:rPr>
              <w:t>Gdynia</w:t>
            </w:r>
          </w:p>
        </w:tc>
        <w:tc>
          <w:tcPr>
            <w:tcW w:w="1546" w:type="pct"/>
          </w:tcPr>
          <w:p w14:paraId="78487DC2" w14:textId="77777777" w:rsidR="00D768D1" w:rsidRPr="00D415F4" w:rsidRDefault="00D768D1" w:rsidP="00D415F4">
            <w:pPr>
              <w:jc w:val="center"/>
              <w:rPr>
                <w:sz w:val="18"/>
                <w:szCs w:val="18"/>
              </w:rPr>
            </w:pPr>
            <w:r w:rsidRPr="00D415F4">
              <w:rPr>
                <w:sz w:val="18"/>
                <w:szCs w:val="18"/>
              </w:rPr>
              <w:t>POIiŚ</w:t>
            </w:r>
          </w:p>
        </w:tc>
        <w:tc>
          <w:tcPr>
            <w:tcW w:w="973" w:type="pct"/>
          </w:tcPr>
          <w:p w14:paraId="100D79BC" w14:textId="77777777" w:rsidR="00D768D1" w:rsidRPr="00D415F4" w:rsidRDefault="00D768D1" w:rsidP="00D415F4">
            <w:pPr>
              <w:jc w:val="center"/>
              <w:rPr>
                <w:sz w:val="18"/>
                <w:szCs w:val="18"/>
              </w:rPr>
            </w:pPr>
            <w:r w:rsidRPr="00D415F4">
              <w:rPr>
                <w:sz w:val="18"/>
                <w:szCs w:val="18"/>
              </w:rPr>
              <w:t>Pierwotna</w:t>
            </w:r>
          </w:p>
        </w:tc>
        <w:tc>
          <w:tcPr>
            <w:tcW w:w="1695" w:type="pct"/>
          </w:tcPr>
          <w:p w14:paraId="765E6567" w14:textId="1C1BBA62" w:rsidR="00D768D1" w:rsidRPr="00D415F4" w:rsidRDefault="00D768D1" w:rsidP="00D415F4">
            <w:pPr>
              <w:jc w:val="center"/>
              <w:rPr>
                <w:sz w:val="18"/>
                <w:szCs w:val="18"/>
              </w:rPr>
            </w:pPr>
            <w:r>
              <w:rPr>
                <w:sz w:val="18"/>
                <w:szCs w:val="18"/>
              </w:rPr>
              <w:t>Tak</w:t>
            </w:r>
          </w:p>
        </w:tc>
      </w:tr>
      <w:tr w:rsidR="00D768D1" w14:paraId="0B2D48E5" w14:textId="1E652079"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5E683D34" w14:textId="77777777" w:rsidR="00D768D1" w:rsidRPr="00D415F4" w:rsidRDefault="00D768D1" w:rsidP="00532766">
            <w:pPr>
              <w:rPr>
                <w:sz w:val="18"/>
                <w:szCs w:val="18"/>
              </w:rPr>
            </w:pPr>
            <w:r w:rsidRPr="00D415F4">
              <w:rPr>
                <w:sz w:val="18"/>
                <w:szCs w:val="18"/>
              </w:rPr>
              <w:t>Katowice</w:t>
            </w:r>
          </w:p>
        </w:tc>
        <w:tc>
          <w:tcPr>
            <w:tcW w:w="1546" w:type="pct"/>
          </w:tcPr>
          <w:p w14:paraId="6000DA9E" w14:textId="77777777" w:rsidR="00D768D1" w:rsidRPr="00D415F4" w:rsidRDefault="00D768D1" w:rsidP="00D415F4">
            <w:pPr>
              <w:jc w:val="center"/>
              <w:rPr>
                <w:sz w:val="18"/>
                <w:szCs w:val="18"/>
              </w:rPr>
            </w:pPr>
            <w:r w:rsidRPr="00D415F4">
              <w:rPr>
                <w:sz w:val="18"/>
                <w:szCs w:val="18"/>
              </w:rPr>
              <w:t>POIiŚ</w:t>
            </w:r>
          </w:p>
        </w:tc>
        <w:tc>
          <w:tcPr>
            <w:tcW w:w="973" w:type="pct"/>
          </w:tcPr>
          <w:p w14:paraId="1BCFBA5D" w14:textId="77777777" w:rsidR="00D768D1" w:rsidRPr="00D415F4" w:rsidRDefault="00D768D1" w:rsidP="00D415F4">
            <w:pPr>
              <w:jc w:val="center"/>
              <w:rPr>
                <w:sz w:val="18"/>
                <w:szCs w:val="18"/>
              </w:rPr>
            </w:pPr>
            <w:r w:rsidRPr="00D415F4">
              <w:rPr>
                <w:sz w:val="18"/>
                <w:szCs w:val="18"/>
              </w:rPr>
              <w:t>Pierwotna</w:t>
            </w:r>
          </w:p>
        </w:tc>
        <w:tc>
          <w:tcPr>
            <w:tcW w:w="1695" w:type="pct"/>
          </w:tcPr>
          <w:p w14:paraId="289B85C5" w14:textId="7F4325ED" w:rsidR="00D768D1" w:rsidRPr="00D415F4" w:rsidRDefault="00C24C59" w:rsidP="00D415F4">
            <w:pPr>
              <w:jc w:val="center"/>
              <w:rPr>
                <w:sz w:val="18"/>
                <w:szCs w:val="18"/>
              </w:rPr>
            </w:pPr>
            <w:r>
              <w:rPr>
                <w:sz w:val="18"/>
                <w:szCs w:val="18"/>
              </w:rPr>
              <w:t>Nie</w:t>
            </w:r>
          </w:p>
        </w:tc>
      </w:tr>
      <w:tr w:rsidR="00D768D1" w14:paraId="2AC7FA98" w14:textId="716798CD" w:rsidTr="00554502">
        <w:trPr>
          <w:jc w:val="center"/>
        </w:trPr>
        <w:tc>
          <w:tcPr>
            <w:tcW w:w="786" w:type="pct"/>
          </w:tcPr>
          <w:p w14:paraId="3885F185" w14:textId="77777777" w:rsidR="00D768D1" w:rsidRPr="00D415F4" w:rsidRDefault="00D768D1" w:rsidP="00532766">
            <w:pPr>
              <w:rPr>
                <w:sz w:val="18"/>
                <w:szCs w:val="18"/>
              </w:rPr>
            </w:pPr>
            <w:r w:rsidRPr="00D415F4">
              <w:rPr>
                <w:sz w:val="18"/>
                <w:szCs w:val="18"/>
              </w:rPr>
              <w:t>Opole</w:t>
            </w:r>
          </w:p>
        </w:tc>
        <w:tc>
          <w:tcPr>
            <w:tcW w:w="1546" w:type="pct"/>
          </w:tcPr>
          <w:p w14:paraId="058F5443" w14:textId="77777777" w:rsidR="00D768D1" w:rsidRPr="00D415F4" w:rsidRDefault="00D768D1" w:rsidP="00D415F4">
            <w:pPr>
              <w:jc w:val="center"/>
              <w:rPr>
                <w:sz w:val="18"/>
                <w:szCs w:val="18"/>
              </w:rPr>
            </w:pPr>
            <w:r w:rsidRPr="00D415F4">
              <w:rPr>
                <w:sz w:val="18"/>
                <w:szCs w:val="18"/>
              </w:rPr>
              <w:t>POIiŚ</w:t>
            </w:r>
          </w:p>
        </w:tc>
        <w:tc>
          <w:tcPr>
            <w:tcW w:w="973" w:type="pct"/>
          </w:tcPr>
          <w:p w14:paraId="66A032C1" w14:textId="77777777" w:rsidR="00D768D1" w:rsidRPr="00D415F4" w:rsidRDefault="00D768D1" w:rsidP="00D415F4">
            <w:pPr>
              <w:jc w:val="center"/>
              <w:rPr>
                <w:sz w:val="18"/>
                <w:szCs w:val="18"/>
              </w:rPr>
            </w:pPr>
            <w:r w:rsidRPr="00D415F4">
              <w:rPr>
                <w:sz w:val="18"/>
                <w:szCs w:val="18"/>
              </w:rPr>
              <w:t>Pierwotna</w:t>
            </w:r>
          </w:p>
        </w:tc>
        <w:tc>
          <w:tcPr>
            <w:tcW w:w="1695" w:type="pct"/>
          </w:tcPr>
          <w:p w14:paraId="2E5DE031" w14:textId="1849ED55" w:rsidR="00D768D1" w:rsidRPr="00D415F4" w:rsidRDefault="00D768D1" w:rsidP="00D415F4">
            <w:pPr>
              <w:jc w:val="center"/>
              <w:rPr>
                <w:sz w:val="18"/>
                <w:szCs w:val="18"/>
              </w:rPr>
            </w:pPr>
            <w:r>
              <w:rPr>
                <w:sz w:val="18"/>
                <w:szCs w:val="18"/>
              </w:rPr>
              <w:t>Tak</w:t>
            </w:r>
          </w:p>
        </w:tc>
      </w:tr>
      <w:tr w:rsidR="00D768D1" w14:paraId="04D1D774" w14:textId="626E8B0B"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54E562F2" w14:textId="77777777" w:rsidR="00D768D1" w:rsidRPr="00D415F4" w:rsidRDefault="00D768D1" w:rsidP="00532766">
            <w:pPr>
              <w:rPr>
                <w:sz w:val="18"/>
                <w:szCs w:val="18"/>
              </w:rPr>
            </w:pPr>
            <w:r w:rsidRPr="00D415F4">
              <w:rPr>
                <w:sz w:val="18"/>
                <w:szCs w:val="18"/>
              </w:rPr>
              <w:t>Poznań</w:t>
            </w:r>
          </w:p>
        </w:tc>
        <w:tc>
          <w:tcPr>
            <w:tcW w:w="1546" w:type="pct"/>
          </w:tcPr>
          <w:p w14:paraId="7F11D3EC" w14:textId="77777777" w:rsidR="00D768D1" w:rsidRPr="00D415F4" w:rsidRDefault="00D768D1" w:rsidP="00D415F4">
            <w:pPr>
              <w:jc w:val="center"/>
              <w:rPr>
                <w:sz w:val="18"/>
                <w:szCs w:val="18"/>
              </w:rPr>
            </w:pPr>
            <w:r w:rsidRPr="00D415F4">
              <w:rPr>
                <w:sz w:val="18"/>
                <w:szCs w:val="18"/>
              </w:rPr>
              <w:t>POIiŚ</w:t>
            </w:r>
          </w:p>
        </w:tc>
        <w:tc>
          <w:tcPr>
            <w:tcW w:w="973" w:type="pct"/>
          </w:tcPr>
          <w:p w14:paraId="69FC0828" w14:textId="77777777" w:rsidR="00D768D1" w:rsidRPr="00D415F4" w:rsidRDefault="00D768D1" w:rsidP="00D415F4">
            <w:pPr>
              <w:jc w:val="center"/>
              <w:rPr>
                <w:sz w:val="18"/>
                <w:szCs w:val="18"/>
              </w:rPr>
            </w:pPr>
            <w:r w:rsidRPr="00D415F4">
              <w:rPr>
                <w:sz w:val="18"/>
                <w:szCs w:val="18"/>
              </w:rPr>
              <w:t>Pierwotna</w:t>
            </w:r>
          </w:p>
        </w:tc>
        <w:tc>
          <w:tcPr>
            <w:tcW w:w="1695" w:type="pct"/>
          </w:tcPr>
          <w:p w14:paraId="45D91DA1" w14:textId="75871577" w:rsidR="00D768D1" w:rsidRPr="00D415F4" w:rsidRDefault="00D768D1" w:rsidP="00D415F4">
            <w:pPr>
              <w:jc w:val="center"/>
              <w:rPr>
                <w:sz w:val="18"/>
                <w:szCs w:val="18"/>
              </w:rPr>
            </w:pPr>
            <w:r>
              <w:rPr>
                <w:sz w:val="18"/>
                <w:szCs w:val="18"/>
              </w:rPr>
              <w:t>Tak</w:t>
            </w:r>
          </w:p>
        </w:tc>
      </w:tr>
      <w:tr w:rsidR="00D768D1" w14:paraId="5D27AD24" w14:textId="35529443" w:rsidTr="00554502">
        <w:trPr>
          <w:jc w:val="center"/>
        </w:trPr>
        <w:tc>
          <w:tcPr>
            <w:tcW w:w="786" w:type="pct"/>
          </w:tcPr>
          <w:p w14:paraId="59248C53" w14:textId="77777777" w:rsidR="00D768D1" w:rsidRPr="00D415F4" w:rsidRDefault="00D768D1" w:rsidP="00532766">
            <w:pPr>
              <w:rPr>
                <w:sz w:val="18"/>
                <w:szCs w:val="18"/>
              </w:rPr>
            </w:pPr>
            <w:r w:rsidRPr="00D415F4">
              <w:rPr>
                <w:sz w:val="18"/>
                <w:szCs w:val="18"/>
              </w:rPr>
              <w:t>Szczecin</w:t>
            </w:r>
          </w:p>
        </w:tc>
        <w:tc>
          <w:tcPr>
            <w:tcW w:w="1546" w:type="pct"/>
          </w:tcPr>
          <w:p w14:paraId="6A281F3F" w14:textId="77777777" w:rsidR="00D768D1" w:rsidRPr="00D415F4" w:rsidRDefault="00D768D1" w:rsidP="00D415F4">
            <w:pPr>
              <w:jc w:val="center"/>
              <w:rPr>
                <w:sz w:val="18"/>
                <w:szCs w:val="18"/>
              </w:rPr>
            </w:pPr>
            <w:r w:rsidRPr="00D415F4">
              <w:rPr>
                <w:sz w:val="18"/>
                <w:szCs w:val="18"/>
              </w:rPr>
              <w:t>POIiŚ</w:t>
            </w:r>
          </w:p>
        </w:tc>
        <w:tc>
          <w:tcPr>
            <w:tcW w:w="973" w:type="pct"/>
          </w:tcPr>
          <w:p w14:paraId="20439E96" w14:textId="77777777" w:rsidR="00D768D1" w:rsidRPr="00D415F4" w:rsidRDefault="00D768D1" w:rsidP="00D415F4">
            <w:pPr>
              <w:jc w:val="center"/>
              <w:rPr>
                <w:sz w:val="18"/>
                <w:szCs w:val="18"/>
              </w:rPr>
            </w:pPr>
            <w:r w:rsidRPr="00D415F4">
              <w:rPr>
                <w:sz w:val="18"/>
                <w:szCs w:val="18"/>
              </w:rPr>
              <w:t>Pierwotna</w:t>
            </w:r>
          </w:p>
        </w:tc>
        <w:tc>
          <w:tcPr>
            <w:tcW w:w="1695" w:type="pct"/>
          </w:tcPr>
          <w:p w14:paraId="3C0EA1F6" w14:textId="146BFD8C" w:rsidR="00D768D1" w:rsidRPr="00D415F4" w:rsidRDefault="00D768D1" w:rsidP="00D415F4">
            <w:pPr>
              <w:jc w:val="center"/>
              <w:rPr>
                <w:sz w:val="18"/>
                <w:szCs w:val="18"/>
              </w:rPr>
            </w:pPr>
            <w:r>
              <w:rPr>
                <w:sz w:val="18"/>
                <w:szCs w:val="18"/>
              </w:rPr>
              <w:t>Tak</w:t>
            </w:r>
          </w:p>
        </w:tc>
      </w:tr>
      <w:tr w:rsidR="00D768D1" w14:paraId="08479027" w14:textId="1868291F"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562A3750" w14:textId="77777777" w:rsidR="00D768D1" w:rsidRPr="00D415F4" w:rsidRDefault="00D768D1" w:rsidP="00532766">
            <w:pPr>
              <w:rPr>
                <w:sz w:val="18"/>
                <w:szCs w:val="18"/>
              </w:rPr>
            </w:pPr>
            <w:r w:rsidRPr="00D415F4">
              <w:rPr>
                <w:sz w:val="18"/>
                <w:szCs w:val="18"/>
              </w:rPr>
              <w:t>Zielona Góra</w:t>
            </w:r>
          </w:p>
        </w:tc>
        <w:tc>
          <w:tcPr>
            <w:tcW w:w="1546" w:type="pct"/>
          </w:tcPr>
          <w:p w14:paraId="2C98CDDB" w14:textId="77777777" w:rsidR="00D768D1" w:rsidRPr="00D415F4" w:rsidRDefault="00D768D1" w:rsidP="00D415F4">
            <w:pPr>
              <w:jc w:val="center"/>
              <w:rPr>
                <w:sz w:val="18"/>
                <w:szCs w:val="18"/>
              </w:rPr>
            </w:pPr>
            <w:r w:rsidRPr="00D415F4">
              <w:rPr>
                <w:sz w:val="18"/>
                <w:szCs w:val="18"/>
              </w:rPr>
              <w:t>POIiŚ</w:t>
            </w:r>
          </w:p>
        </w:tc>
        <w:tc>
          <w:tcPr>
            <w:tcW w:w="973" w:type="pct"/>
          </w:tcPr>
          <w:p w14:paraId="7D1E2392" w14:textId="77777777" w:rsidR="00D768D1" w:rsidRPr="00D415F4" w:rsidRDefault="00D768D1" w:rsidP="00D415F4">
            <w:pPr>
              <w:jc w:val="center"/>
              <w:rPr>
                <w:sz w:val="18"/>
                <w:szCs w:val="18"/>
              </w:rPr>
            </w:pPr>
            <w:r w:rsidRPr="00D415F4">
              <w:rPr>
                <w:sz w:val="18"/>
                <w:szCs w:val="18"/>
              </w:rPr>
              <w:t>Pierwotna</w:t>
            </w:r>
          </w:p>
        </w:tc>
        <w:tc>
          <w:tcPr>
            <w:tcW w:w="1695" w:type="pct"/>
          </w:tcPr>
          <w:p w14:paraId="6EFE3A10" w14:textId="70507BA5" w:rsidR="00D768D1" w:rsidRPr="00D415F4" w:rsidRDefault="00D768D1" w:rsidP="00D415F4">
            <w:pPr>
              <w:jc w:val="center"/>
              <w:rPr>
                <w:sz w:val="18"/>
                <w:szCs w:val="18"/>
              </w:rPr>
            </w:pPr>
            <w:r>
              <w:rPr>
                <w:sz w:val="18"/>
                <w:szCs w:val="18"/>
              </w:rPr>
              <w:t>Tak</w:t>
            </w:r>
          </w:p>
        </w:tc>
      </w:tr>
      <w:tr w:rsidR="00D768D1" w14:paraId="30974F04" w14:textId="2A0673AC" w:rsidTr="00554502">
        <w:trPr>
          <w:jc w:val="center"/>
        </w:trPr>
        <w:tc>
          <w:tcPr>
            <w:tcW w:w="786" w:type="pct"/>
          </w:tcPr>
          <w:p w14:paraId="7B1AE00A" w14:textId="7CD08F7D" w:rsidR="00D768D1" w:rsidRPr="00D415F4" w:rsidRDefault="00D768D1" w:rsidP="00FB1044">
            <w:pPr>
              <w:rPr>
                <w:sz w:val="18"/>
                <w:szCs w:val="18"/>
              </w:rPr>
            </w:pPr>
            <w:r w:rsidRPr="00D415F4">
              <w:rPr>
                <w:sz w:val="18"/>
                <w:szCs w:val="18"/>
              </w:rPr>
              <w:t>Białystok</w:t>
            </w:r>
          </w:p>
        </w:tc>
        <w:tc>
          <w:tcPr>
            <w:tcW w:w="1546" w:type="pct"/>
          </w:tcPr>
          <w:p w14:paraId="5111DC3D" w14:textId="19F5A85C" w:rsidR="00D768D1" w:rsidRPr="00D415F4" w:rsidRDefault="00D768D1" w:rsidP="00FB1044">
            <w:pPr>
              <w:jc w:val="center"/>
              <w:rPr>
                <w:sz w:val="18"/>
                <w:szCs w:val="18"/>
              </w:rPr>
            </w:pPr>
            <w:r>
              <w:rPr>
                <w:sz w:val="18"/>
                <w:szCs w:val="18"/>
              </w:rPr>
              <w:t xml:space="preserve">Spoza </w:t>
            </w:r>
            <w:r w:rsidRPr="00D415F4">
              <w:rPr>
                <w:sz w:val="18"/>
                <w:szCs w:val="18"/>
              </w:rPr>
              <w:t>POIiŚ</w:t>
            </w:r>
          </w:p>
        </w:tc>
        <w:tc>
          <w:tcPr>
            <w:tcW w:w="973" w:type="pct"/>
          </w:tcPr>
          <w:p w14:paraId="353AECB3" w14:textId="5392E7DF" w:rsidR="00D768D1" w:rsidRPr="00D415F4" w:rsidRDefault="00D768D1" w:rsidP="00FB1044">
            <w:pPr>
              <w:jc w:val="center"/>
              <w:rPr>
                <w:sz w:val="18"/>
                <w:szCs w:val="18"/>
              </w:rPr>
            </w:pPr>
            <w:r w:rsidRPr="00D415F4">
              <w:rPr>
                <w:sz w:val="18"/>
                <w:szCs w:val="18"/>
              </w:rPr>
              <w:t>Pierwotna</w:t>
            </w:r>
          </w:p>
        </w:tc>
        <w:tc>
          <w:tcPr>
            <w:tcW w:w="1695" w:type="pct"/>
          </w:tcPr>
          <w:p w14:paraId="54904AB3" w14:textId="2DCEAFE3" w:rsidR="00D768D1" w:rsidRPr="00D415F4" w:rsidRDefault="00D768D1" w:rsidP="00FB1044">
            <w:pPr>
              <w:jc w:val="center"/>
              <w:rPr>
                <w:sz w:val="18"/>
                <w:szCs w:val="18"/>
              </w:rPr>
            </w:pPr>
            <w:r>
              <w:rPr>
                <w:sz w:val="18"/>
                <w:szCs w:val="18"/>
              </w:rPr>
              <w:t>Tak</w:t>
            </w:r>
          </w:p>
        </w:tc>
      </w:tr>
      <w:tr w:rsidR="00D768D1" w14:paraId="5F39FFBD" w14:textId="3E8E9E3A"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3C71E23D" w14:textId="77777777" w:rsidR="00D768D1" w:rsidRPr="00D415F4" w:rsidRDefault="00D768D1" w:rsidP="00FB1044">
            <w:pPr>
              <w:rPr>
                <w:sz w:val="18"/>
                <w:szCs w:val="18"/>
              </w:rPr>
            </w:pPr>
            <w:r w:rsidRPr="00D415F4">
              <w:rPr>
                <w:sz w:val="18"/>
                <w:szCs w:val="18"/>
              </w:rPr>
              <w:t>Kołobrzeg</w:t>
            </w:r>
          </w:p>
        </w:tc>
        <w:tc>
          <w:tcPr>
            <w:tcW w:w="1546" w:type="pct"/>
          </w:tcPr>
          <w:p w14:paraId="78010F3B" w14:textId="77777777" w:rsidR="00D768D1" w:rsidRPr="00D415F4" w:rsidRDefault="00D768D1" w:rsidP="00FB1044">
            <w:pPr>
              <w:jc w:val="center"/>
              <w:rPr>
                <w:sz w:val="18"/>
                <w:szCs w:val="18"/>
              </w:rPr>
            </w:pPr>
            <w:r w:rsidRPr="00D415F4">
              <w:rPr>
                <w:sz w:val="18"/>
                <w:szCs w:val="18"/>
              </w:rPr>
              <w:t>Spoza POIiŚ</w:t>
            </w:r>
          </w:p>
        </w:tc>
        <w:tc>
          <w:tcPr>
            <w:tcW w:w="973" w:type="pct"/>
          </w:tcPr>
          <w:p w14:paraId="5BB238CD" w14:textId="77777777" w:rsidR="00D768D1" w:rsidRPr="00D415F4" w:rsidRDefault="00D768D1" w:rsidP="00FB1044">
            <w:pPr>
              <w:jc w:val="center"/>
              <w:rPr>
                <w:sz w:val="18"/>
                <w:szCs w:val="18"/>
              </w:rPr>
            </w:pPr>
            <w:r w:rsidRPr="00D415F4">
              <w:rPr>
                <w:sz w:val="18"/>
                <w:szCs w:val="18"/>
              </w:rPr>
              <w:t>Pierwotna</w:t>
            </w:r>
          </w:p>
        </w:tc>
        <w:tc>
          <w:tcPr>
            <w:tcW w:w="1695" w:type="pct"/>
          </w:tcPr>
          <w:p w14:paraId="0058F1D0" w14:textId="0BBF0C2C" w:rsidR="00D768D1" w:rsidRPr="00D415F4" w:rsidRDefault="00C24C59" w:rsidP="00FB1044">
            <w:pPr>
              <w:jc w:val="center"/>
              <w:rPr>
                <w:sz w:val="18"/>
                <w:szCs w:val="18"/>
              </w:rPr>
            </w:pPr>
            <w:r>
              <w:rPr>
                <w:sz w:val="18"/>
                <w:szCs w:val="18"/>
              </w:rPr>
              <w:t>Nie</w:t>
            </w:r>
          </w:p>
        </w:tc>
      </w:tr>
      <w:tr w:rsidR="00D768D1" w14:paraId="059365B2" w14:textId="6F416AC3" w:rsidTr="00554502">
        <w:trPr>
          <w:jc w:val="center"/>
        </w:trPr>
        <w:tc>
          <w:tcPr>
            <w:tcW w:w="786" w:type="pct"/>
          </w:tcPr>
          <w:p w14:paraId="4F14EBBF" w14:textId="77777777" w:rsidR="00D768D1" w:rsidRPr="00D415F4" w:rsidRDefault="00D768D1" w:rsidP="00FB1044">
            <w:pPr>
              <w:rPr>
                <w:sz w:val="18"/>
                <w:szCs w:val="18"/>
              </w:rPr>
            </w:pPr>
            <w:r w:rsidRPr="00D415F4">
              <w:rPr>
                <w:sz w:val="18"/>
                <w:szCs w:val="18"/>
              </w:rPr>
              <w:t>Bielsko-Biała</w:t>
            </w:r>
          </w:p>
        </w:tc>
        <w:tc>
          <w:tcPr>
            <w:tcW w:w="1546" w:type="pct"/>
          </w:tcPr>
          <w:p w14:paraId="70A4E26A" w14:textId="77777777" w:rsidR="00D768D1" w:rsidRPr="00D415F4" w:rsidRDefault="00D768D1" w:rsidP="00FB1044">
            <w:pPr>
              <w:jc w:val="center"/>
              <w:rPr>
                <w:sz w:val="18"/>
                <w:szCs w:val="18"/>
              </w:rPr>
            </w:pPr>
            <w:r w:rsidRPr="00D415F4">
              <w:rPr>
                <w:sz w:val="18"/>
                <w:szCs w:val="18"/>
              </w:rPr>
              <w:t>Spoza POIiŚ</w:t>
            </w:r>
          </w:p>
        </w:tc>
        <w:tc>
          <w:tcPr>
            <w:tcW w:w="973" w:type="pct"/>
          </w:tcPr>
          <w:p w14:paraId="008EE928" w14:textId="77777777" w:rsidR="00D768D1" w:rsidRPr="00D415F4" w:rsidRDefault="00D768D1" w:rsidP="00FB1044">
            <w:pPr>
              <w:jc w:val="center"/>
              <w:rPr>
                <w:sz w:val="18"/>
                <w:szCs w:val="18"/>
              </w:rPr>
            </w:pPr>
            <w:r w:rsidRPr="00D415F4">
              <w:rPr>
                <w:sz w:val="18"/>
                <w:szCs w:val="18"/>
              </w:rPr>
              <w:t>Pierwotna</w:t>
            </w:r>
          </w:p>
        </w:tc>
        <w:tc>
          <w:tcPr>
            <w:tcW w:w="1695" w:type="pct"/>
          </w:tcPr>
          <w:p w14:paraId="3BA9AF81" w14:textId="69C0DD40" w:rsidR="00D768D1" w:rsidRPr="00D415F4" w:rsidRDefault="00C24C59" w:rsidP="00FB1044">
            <w:pPr>
              <w:jc w:val="center"/>
              <w:rPr>
                <w:sz w:val="18"/>
                <w:szCs w:val="18"/>
              </w:rPr>
            </w:pPr>
            <w:r>
              <w:rPr>
                <w:sz w:val="18"/>
                <w:szCs w:val="18"/>
              </w:rPr>
              <w:t>Nie</w:t>
            </w:r>
          </w:p>
        </w:tc>
      </w:tr>
      <w:tr w:rsidR="00D768D1" w14:paraId="32593843" w14:textId="77BEC90B"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02B1200E" w14:textId="77777777" w:rsidR="00D768D1" w:rsidRPr="00D415F4" w:rsidRDefault="00D768D1" w:rsidP="00FB1044">
            <w:pPr>
              <w:rPr>
                <w:sz w:val="18"/>
                <w:szCs w:val="18"/>
              </w:rPr>
            </w:pPr>
            <w:r w:rsidRPr="00D415F4">
              <w:rPr>
                <w:sz w:val="18"/>
                <w:szCs w:val="18"/>
              </w:rPr>
              <w:t>Częstochowa</w:t>
            </w:r>
          </w:p>
        </w:tc>
        <w:tc>
          <w:tcPr>
            <w:tcW w:w="1546" w:type="pct"/>
          </w:tcPr>
          <w:p w14:paraId="60277582" w14:textId="77777777" w:rsidR="00D768D1" w:rsidRPr="00D415F4" w:rsidRDefault="00D768D1" w:rsidP="00FB1044">
            <w:pPr>
              <w:jc w:val="center"/>
              <w:rPr>
                <w:sz w:val="18"/>
                <w:szCs w:val="18"/>
              </w:rPr>
            </w:pPr>
            <w:r w:rsidRPr="00D415F4">
              <w:rPr>
                <w:sz w:val="18"/>
                <w:szCs w:val="18"/>
              </w:rPr>
              <w:t>Spoza POIiŚ</w:t>
            </w:r>
          </w:p>
        </w:tc>
        <w:tc>
          <w:tcPr>
            <w:tcW w:w="973" w:type="pct"/>
          </w:tcPr>
          <w:p w14:paraId="64D3F48A" w14:textId="77777777" w:rsidR="00D768D1" w:rsidRPr="00D415F4" w:rsidRDefault="00D768D1" w:rsidP="00FB1044">
            <w:pPr>
              <w:jc w:val="center"/>
              <w:rPr>
                <w:sz w:val="18"/>
                <w:szCs w:val="18"/>
              </w:rPr>
            </w:pPr>
            <w:r w:rsidRPr="00D415F4">
              <w:rPr>
                <w:sz w:val="18"/>
                <w:szCs w:val="18"/>
              </w:rPr>
              <w:t>Pierwotna</w:t>
            </w:r>
          </w:p>
        </w:tc>
        <w:tc>
          <w:tcPr>
            <w:tcW w:w="1695" w:type="pct"/>
          </w:tcPr>
          <w:p w14:paraId="6D339B63" w14:textId="51D28711" w:rsidR="00D768D1" w:rsidRPr="00D415F4" w:rsidRDefault="00C24C59" w:rsidP="00FB1044">
            <w:pPr>
              <w:jc w:val="center"/>
              <w:rPr>
                <w:sz w:val="18"/>
                <w:szCs w:val="18"/>
              </w:rPr>
            </w:pPr>
            <w:r>
              <w:rPr>
                <w:sz w:val="18"/>
                <w:szCs w:val="18"/>
              </w:rPr>
              <w:t>Tak</w:t>
            </w:r>
          </w:p>
        </w:tc>
      </w:tr>
      <w:tr w:rsidR="00D768D1" w14:paraId="57F1564F" w14:textId="6FDD107C" w:rsidTr="00554502">
        <w:trPr>
          <w:jc w:val="center"/>
        </w:trPr>
        <w:tc>
          <w:tcPr>
            <w:tcW w:w="786" w:type="pct"/>
          </w:tcPr>
          <w:p w14:paraId="2B502943" w14:textId="4860F8A2" w:rsidR="00D768D1" w:rsidRPr="00D415F4" w:rsidRDefault="00D768D1" w:rsidP="00FB1044">
            <w:pPr>
              <w:rPr>
                <w:sz w:val="18"/>
                <w:szCs w:val="18"/>
              </w:rPr>
            </w:pPr>
            <w:r w:rsidRPr="00D415F4">
              <w:rPr>
                <w:sz w:val="18"/>
                <w:szCs w:val="18"/>
              </w:rPr>
              <w:t>Lublin</w:t>
            </w:r>
          </w:p>
        </w:tc>
        <w:tc>
          <w:tcPr>
            <w:tcW w:w="1546" w:type="pct"/>
          </w:tcPr>
          <w:p w14:paraId="3D4BB5C6" w14:textId="2F858153" w:rsidR="00D768D1" w:rsidRPr="00D415F4" w:rsidRDefault="00D768D1" w:rsidP="00FB1044">
            <w:pPr>
              <w:jc w:val="center"/>
              <w:rPr>
                <w:sz w:val="18"/>
                <w:szCs w:val="18"/>
              </w:rPr>
            </w:pPr>
            <w:r>
              <w:rPr>
                <w:sz w:val="18"/>
                <w:szCs w:val="18"/>
              </w:rPr>
              <w:t xml:space="preserve">Spoza </w:t>
            </w:r>
            <w:r w:rsidRPr="00D415F4">
              <w:rPr>
                <w:sz w:val="18"/>
                <w:szCs w:val="18"/>
              </w:rPr>
              <w:t>POIiŚ</w:t>
            </w:r>
          </w:p>
        </w:tc>
        <w:tc>
          <w:tcPr>
            <w:tcW w:w="973" w:type="pct"/>
          </w:tcPr>
          <w:p w14:paraId="1C893CE1" w14:textId="7008B42A" w:rsidR="00D768D1" w:rsidRPr="00D415F4" w:rsidRDefault="00D768D1" w:rsidP="00FB1044">
            <w:pPr>
              <w:jc w:val="center"/>
              <w:rPr>
                <w:sz w:val="18"/>
                <w:szCs w:val="18"/>
              </w:rPr>
            </w:pPr>
            <w:r w:rsidRPr="00D415F4">
              <w:rPr>
                <w:sz w:val="18"/>
                <w:szCs w:val="18"/>
              </w:rPr>
              <w:t>Pierwotna</w:t>
            </w:r>
          </w:p>
        </w:tc>
        <w:tc>
          <w:tcPr>
            <w:tcW w:w="1695" w:type="pct"/>
          </w:tcPr>
          <w:p w14:paraId="0ECE5811" w14:textId="79FFF8B3" w:rsidR="00D768D1" w:rsidRPr="00D415F4" w:rsidRDefault="00D768D1" w:rsidP="00FB1044">
            <w:pPr>
              <w:jc w:val="center"/>
              <w:rPr>
                <w:sz w:val="18"/>
                <w:szCs w:val="18"/>
              </w:rPr>
            </w:pPr>
            <w:r>
              <w:rPr>
                <w:sz w:val="18"/>
                <w:szCs w:val="18"/>
              </w:rPr>
              <w:t>Tak</w:t>
            </w:r>
          </w:p>
        </w:tc>
      </w:tr>
      <w:tr w:rsidR="00D768D1" w14:paraId="2E7C5C80" w14:textId="1D1530C3"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23D02BEC" w14:textId="77777777" w:rsidR="00D768D1" w:rsidRPr="00D415F4" w:rsidRDefault="00D768D1" w:rsidP="00FB1044">
            <w:pPr>
              <w:rPr>
                <w:sz w:val="18"/>
                <w:szCs w:val="18"/>
              </w:rPr>
            </w:pPr>
            <w:r w:rsidRPr="00D415F4">
              <w:rPr>
                <w:sz w:val="18"/>
                <w:szCs w:val="18"/>
              </w:rPr>
              <w:t>Wałbrzych</w:t>
            </w:r>
          </w:p>
        </w:tc>
        <w:tc>
          <w:tcPr>
            <w:tcW w:w="1546" w:type="pct"/>
          </w:tcPr>
          <w:p w14:paraId="0431BE73" w14:textId="77777777" w:rsidR="00D768D1" w:rsidRPr="00D415F4" w:rsidRDefault="00D768D1" w:rsidP="00FB1044">
            <w:pPr>
              <w:jc w:val="center"/>
              <w:rPr>
                <w:sz w:val="18"/>
                <w:szCs w:val="18"/>
              </w:rPr>
            </w:pPr>
            <w:r w:rsidRPr="00D415F4">
              <w:rPr>
                <w:sz w:val="18"/>
                <w:szCs w:val="18"/>
              </w:rPr>
              <w:t>Spoza POIiŚ</w:t>
            </w:r>
          </w:p>
        </w:tc>
        <w:tc>
          <w:tcPr>
            <w:tcW w:w="973" w:type="pct"/>
          </w:tcPr>
          <w:p w14:paraId="036400B9" w14:textId="77777777" w:rsidR="00D768D1" w:rsidRPr="00D415F4" w:rsidRDefault="00D768D1" w:rsidP="00FB1044">
            <w:pPr>
              <w:jc w:val="center"/>
              <w:rPr>
                <w:sz w:val="18"/>
                <w:szCs w:val="18"/>
              </w:rPr>
            </w:pPr>
            <w:r w:rsidRPr="00D415F4">
              <w:rPr>
                <w:sz w:val="18"/>
                <w:szCs w:val="18"/>
              </w:rPr>
              <w:t>Pierwotna</w:t>
            </w:r>
          </w:p>
        </w:tc>
        <w:tc>
          <w:tcPr>
            <w:tcW w:w="1695" w:type="pct"/>
          </w:tcPr>
          <w:p w14:paraId="50FC5F3D" w14:textId="3021A890" w:rsidR="00D768D1" w:rsidRPr="00D415F4" w:rsidRDefault="00C24C59" w:rsidP="00FB1044">
            <w:pPr>
              <w:jc w:val="center"/>
              <w:rPr>
                <w:sz w:val="18"/>
                <w:szCs w:val="18"/>
              </w:rPr>
            </w:pPr>
            <w:r>
              <w:rPr>
                <w:sz w:val="18"/>
                <w:szCs w:val="18"/>
              </w:rPr>
              <w:t>Nie</w:t>
            </w:r>
          </w:p>
        </w:tc>
      </w:tr>
      <w:tr w:rsidR="00D768D1" w14:paraId="61509ABC" w14:textId="7CDE7C0D" w:rsidTr="00554502">
        <w:trPr>
          <w:jc w:val="center"/>
        </w:trPr>
        <w:tc>
          <w:tcPr>
            <w:tcW w:w="786" w:type="pct"/>
          </w:tcPr>
          <w:p w14:paraId="73F5632D" w14:textId="77777777" w:rsidR="00D768D1" w:rsidRPr="00D415F4" w:rsidRDefault="00D768D1" w:rsidP="00FB1044">
            <w:pPr>
              <w:rPr>
                <w:sz w:val="18"/>
                <w:szCs w:val="18"/>
              </w:rPr>
            </w:pPr>
            <w:r w:rsidRPr="00D415F4">
              <w:rPr>
                <w:sz w:val="18"/>
                <w:szCs w:val="18"/>
              </w:rPr>
              <w:t>Elbląg</w:t>
            </w:r>
          </w:p>
        </w:tc>
        <w:tc>
          <w:tcPr>
            <w:tcW w:w="1546" w:type="pct"/>
          </w:tcPr>
          <w:p w14:paraId="27EABCE5" w14:textId="77777777" w:rsidR="00D768D1" w:rsidRPr="00D415F4" w:rsidRDefault="00D768D1" w:rsidP="00FB1044">
            <w:pPr>
              <w:jc w:val="center"/>
              <w:rPr>
                <w:sz w:val="18"/>
                <w:szCs w:val="18"/>
              </w:rPr>
            </w:pPr>
            <w:r w:rsidRPr="00D415F4">
              <w:rPr>
                <w:sz w:val="18"/>
                <w:szCs w:val="18"/>
              </w:rPr>
              <w:t>Spoza POIiŚ</w:t>
            </w:r>
          </w:p>
        </w:tc>
        <w:tc>
          <w:tcPr>
            <w:tcW w:w="973" w:type="pct"/>
          </w:tcPr>
          <w:p w14:paraId="735D674B" w14:textId="77777777" w:rsidR="00D768D1" w:rsidRPr="00D415F4" w:rsidRDefault="00D768D1" w:rsidP="00FB1044">
            <w:pPr>
              <w:jc w:val="center"/>
              <w:rPr>
                <w:sz w:val="18"/>
                <w:szCs w:val="18"/>
              </w:rPr>
            </w:pPr>
            <w:r w:rsidRPr="00D415F4">
              <w:rPr>
                <w:sz w:val="18"/>
                <w:szCs w:val="18"/>
              </w:rPr>
              <w:t>Pierwotna</w:t>
            </w:r>
          </w:p>
        </w:tc>
        <w:tc>
          <w:tcPr>
            <w:tcW w:w="1695" w:type="pct"/>
          </w:tcPr>
          <w:p w14:paraId="7E49F734" w14:textId="77D8BCCC" w:rsidR="00D768D1" w:rsidRPr="00D415F4" w:rsidRDefault="00D768D1" w:rsidP="00FB1044">
            <w:pPr>
              <w:jc w:val="center"/>
              <w:rPr>
                <w:sz w:val="18"/>
                <w:szCs w:val="18"/>
              </w:rPr>
            </w:pPr>
            <w:r>
              <w:rPr>
                <w:sz w:val="18"/>
                <w:szCs w:val="18"/>
              </w:rPr>
              <w:t>Tak</w:t>
            </w:r>
          </w:p>
        </w:tc>
      </w:tr>
      <w:tr w:rsidR="00D768D1" w14:paraId="59DFE4CC" w14:textId="769D8916"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6C4D0D1D" w14:textId="77777777" w:rsidR="00D768D1" w:rsidRPr="00D415F4" w:rsidRDefault="00D768D1" w:rsidP="00FB1044">
            <w:pPr>
              <w:rPr>
                <w:sz w:val="18"/>
                <w:szCs w:val="18"/>
              </w:rPr>
            </w:pPr>
            <w:r w:rsidRPr="00D415F4">
              <w:rPr>
                <w:sz w:val="18"/>
                <w:szCs w:val="18"/>
              </w:rPr>
              <w:t>Inowrocław</w:t>
            </w:r>
          </w:p>
        </w:tc>
        <w:tc>
          <w:tcPr>
            <w:tcW w:w="1546" w:type="pct"/>
          </w:tcPr>
          <w:p w14:paraId="62FD042C" w14:textId="77777777" w:rsidR="00D768D1" w:rsidRPr="00D415F4" w:rsidRDefault="00D768D1" w:rsidP="00FB1044">
            <w:pPr>
              <w:jc w:val="center"/>
              <w:rPr>
                <w:sz w:val="18"/>
                <w:szCs w:val="18"/>
              </w:rPr>
            </w:pPr>
            <w:r w:rsidRPr="00D415F4">
              <w:rPr>
                <w:sz w:val="18"/>
                <w:szCs w:val="18"/>
              </w:rPr>
              <w:t>Spoza POIiŚ</w:t>
            </w:r>
          </w:p>
        </w:tc>
        <w:tc>
          <w:tcPr>
            <w:tcW w:w="973" w:type="pct"/>
          </w:tcPr>
          <w:p w14:paraId="1F9608E4" w14:textId="77777777" w:rsidR="00D768D1" w:rsidRPr="00D415F4" w:rsidRDefault="00D768D1" w:rsidP="00FB1044">
            <w:pPr>
              <w:jc w:val="center"/>
              <w:rPr>
                <w:sz w:val="18"/>
                <w:szCs w:val="18"/>
              </w:rPr>
            </w:pPr>
            <w:r w:rsidRPr="00D415F4">
              <w:rPr>
                <w:sz w:val="18"/>
                <w:szCs w:val="18"/>
              </w:rPr>
              <w:t>Pierwotna</w:t>
            </w:r>
          </w:p>
        </w:tc>
        <w:tc>
          <w:tcPr>
            <w:tcW w:w="1695" w:type="pct"/>
          </w:tcPr>
          <w:p w14:paraId="14A1134C" w14:textId="62C24E91" w:rsidR="00D768D1" w:rsidRPr="00D415F4" w:rsidRDefault="00C24C59" w:rsidP="00FB1044">
            <w:pPr>
              <w:jc w:val="center"/>
              <w:rPr>
                <w:sz w:val="18"/>
                <w:szCs w:val="18"/>
              </w:rPr>
            </w:pPr>
            <w:r>
              <w:rPr>
                <w:sz w:val="18"/>
                <w:szCs w:val="18"/>
              </w:rPr>
              <w:t>Nie</w:t>
            </w:r>
          </w:p>
        </w:tc>
      </w:tr>
      <w:tr w:rsidR="00D768D1" w14:paraId="5344FD8F" w14:textId="026DF94B" w:rsidTr="00554502">
        <w:trPr>
          <w:jc w:val="center"/>
        </w:trPr>
        <w:tc>
          <w:tcPr>
            <w:tcW w:w="786" w:type="pct"/>
          </w:tcPr>
          <w:p w14:paraId="7D595B5E" w14:textId="77777777" w:rsidR="00D768D1" w:rsidRPr="00D415F4" w:rsidRDefault="00D768D1" w:rsidP="00FB1044">
            <w:pPr>
              <w:rPr>
                <w:sz w:val="18"/>
                <w:szCs w:val="18"/>
              </w:rPr>
            </w:pPr>
            <w:r w:rsidRPr="00D415F4">
              <w:rPr>
                <w:sz w:val="18"/>
                <w:szCs w:val="18"/>
              </w:rPr>
              <w:t>Kędzierzyn-Koźle</w:t>
            </w:r>
          </w:p>
        </w:tc>
        <w:tc>
          <w:tcPr>
            <w:tcW w:w="1546" w:type="pct"/>
          </w:tcPr>
          <w:p w14:paraId="68132F9D" w14:textId="77777777" w:rsidR="00D768D1" w:rsidRPr="00D415F4" w:rsidRDefault="00D768D1" w:rsidP="00FB1044">
            <w:pPr>
              <w:jc w:val="center"/>
              <w:rPr>
                <w:sz w:val="18"/>
                <w:szCs w:val="18"/>
              </w:rPr>
            </w:pPr>
            <w:r w:rsidRPr="00D415F4">
              <w:rPr>
                <w:sz w:val="18"/>
                <w:szCs w:val="18"/>
              </w:rPr>
              <w:t>Spoza POIiŚ</w:t>
            </w:r>
          </w:p>
        </w:tc>
        <w:tc>
          <w:tcPr>
            <w:tcW w:w="973" w:type="pct"/>
          </w:tcPr>
          <w:p w14:paraId="43168DA6" w14:textId="77777777" w:rsidR="00D768D1" w:rsidRPr="00D415F4" w:rsidRDefault="00D768D1" w:rsidP="00FB1044">
            <w:pPr>
              <w:jc w:val="center"/>
              <w:rPr>
                <w:sz w:val="18"/>
                <w:szCs w:val="18"/>
              </w:rPr>
            </w:pPr>
            <w:r w:rsidRPr="00D415F4">
              <w:rPr>
                <w:sz w:val="18"/>
                <w:szCs w:val="18"/>
              </w:rPr>
              <w:t>Pierwotna</w:t>
            </w:r>
          </w:p>
        </w:tc>
        <w:tc>
          <w:tcPr>
            <w:tcW w:w="1695" w:type="pct"/>
          </w:tcPr>
          <w:p w14:paraId="50016BF1" w14:textId="4BB38FDD" w:rsidR="00D768D1" w:rsidRPr="00D415F4" w:rsidRDefault="00C24C59" w:rsidP="00FB1044">
            <w:pPr>
              <w:jc w:val="center"/>
              <w:rPr>
                <w:sz w:val="18"/>
                <w:szCs w:val="18"/>
              </w:rPr>
            </w:pPr>
            <w:r>
              <w:rPr>
                <w:sz w:val="18"/>
                <w:szCs w:val="18"/>
              </w:rPr>
              <w:t>Nie</w:t>
            </w:r>
          </w:p>
        </w:tc>
      </w:tr>
      <w:tr w:rsidR="00D768D1" w14:paraId="61E7A332" w14:textId="6196D125"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18C03224" w14:textId="77777777" w:rsidR="00D768D1" w:rsidRPr="00D415F4" w:rsidRDefault="00D768D1" w:rsidP="00FB1044">
            <w:pPr>
              <w:rPr>
                <w:sz w:val="18"/>
                <w:szCs w:val="18"/>
              </w:rPr>
            </w:pPr>
            <w:r w:rsidRPr="00D415F4">
              <w:rPr>
                <w:sz w:val="18"/>
                <w:szCs w:val="18"/>
              </w:rPr>
              <w:t>Płock</w:t>
            </w:r>
          </w:p>
        </w:tc>
        <w:tc>
          <w:tcPr>
            <w:tcW w:w="1546" w:type="pct"/>
          </w:tcPr>
          <w:p w14:paraId="205044BB" w14:textId="77777777" w:rsidR="00D768D1" w:rsidRPr="00D415F4" w:rsidRDefault="00D768D1" w:rsidP="00FB1044">
            <w:pPr>
              <w:jc w:val="center"/>
              <w:rPr>
                <w:sz w:val="18"/>
                <w:szCs w:val="18"/>
              </w:rPr>
            </w:pPr>
            <w:r w:rsidRPr="00D415F4">
              <w:rPr>
                <w:sz w:val="18"/>
                <w:szCs w:val="18"/>
              </w:rPr>
              <w:t>Spoza POIiŚ</w:t>
            </w:r>
          </w:p>
        </w:tc>
        <w:tc>
          <w:tcPr>
            <w:tcW w:w="973" w:type="pct"/>
          </w:tcPr>
          <w:p w14:paraId="42696F82" w14:textId="77777777" w:rsidR="00D768D1" w:rsidRPr="00D415F4" w:rsidRDefault="00D768D1" w:rsidP="00FB1044">
            <w:pPr>
              <w:jc w:val="center"/>
              <w:rPr>
                <w:sz w:val="18"/>
                <w:szCs w:val="18"/>
              </w:rPr>
            </w:pPr>
            <w:r w:rsidRPr="00D415F4">
              <w:rPr>
                <w:sz w:val="18"/>
                <w:szCs w:val="18"/>
              </w:rPr>
              <w:t>Pierwotna</w:t>
            </w:r>
          </w:p>
        </w:tc>
        <w:tc>
          <w:tcPr>
            <w:tcW w:w="1695" w:type="pct"/>
          </w:tcPr>
          <w:p w14:paraId="71E26C0E" w14:textId="1C63E5BE" w:rsidR="00D768D1" w:rsidRPr="00D415F4" w:rsidRDefault="00D768D1" w:rsidP="00FB1044">
            <w:pPr>
              <w:jc w:val="center"/>
              <w:rPr>
                <w:sz w:val="18"/>
                <w:szCs w:val="18"/>
              </w:rPr>
            </w:pPr>
            <w:r>
              <w:rPr>
                <w:sz w:val="18"/>
                <w:szCs w:val="18"/>
              </w:rPr>
              <w:t>Tak</w:t>
            </w:r>
          </w:p>
        </w:tc>
      </w:tr>
      <w:tr w:rsidR="00D768D1" w14:paraId="365D6B77" w14:textId="16583958" w:rsidTr="00554502">
        <w:trPr>
          <w:jc w:val="center"/>
        </w:trPr>
        <w:tc>
          <w:tcPr>
            <w:tcW w:w="786" w:type="pct"/>
          </w:tcPr>
          <w:p w14:paraId="23462EE3" w14:textId="7EA42C0E" w:rsidR="00D768D1" w:rsidRPr="00D415F4" w:rsidRDefault="00D768D1" w:rsidP="00FB1044">
            <w:pPr>
              <w:rPr>
                <w:sz w:val="18"/>
                <w:szCs w:val="18"/>
              </w:rPr>
            </w:pPr>
            <w:r w:rsidRPr="00D415F4">
              <w:rPr>
                <w:sz w:val="18"/>
                <w:szCs w:val="18"/>
              </w:rPr>
              <w:t>Rzeszów</w:t>
            </w:r>
          </w:p>
        </w:tc>
        <w:tc>
          <w:tcPr>
            <w:tcW w:w="1546" w:type="pct"/>
          </w:tcPr>
          <w:p w14:paraId="56817D73" w14:textId="303BA4DD" w:rsidR="00D768D1" w:rsidRPr="00D415F4" w:rsidRDefault="00D768D1" w:rsidP="00FB1044">
            <w:pPr>
              <w:jc w:val="center"/>
              <w:rPr>
                <w:sz w:val="18"/>
                <w:szCs w:val="18"/>
              </w:rPr>
            </w:pPr>
            <w:r>
              <w:rPr>
                <w:sz w:val="18"/>
                <w:szCs w:val="18"/>
              </w:rPr>
              <w:t xml:space="preserve">Spoza </w:t>
            </w:r>
            <w:r w:rsidRPr="00D415F4">
              <w:rPr>
                <w:sz w:val="18"/>
                <w:szCs w:val="18"/>
              </w:rPr>
              <w:t>POIiŚ</w:t>
            </w:r>
          </w:p>
        </w:tc>
        <w:tc>
          <w:tcPr>
            <w:tcW w:w="973" w:type="pct"/>
          </w:tcPr>
          <w:p w14:paraId="40B68D74" w14:textId="262238D2" w:rsidR="00D768D1" w:rsidRPr="00D415F4" w:rsidRDefault="00D768D1" w:rsidP="00FB1044">
            <w:pPr>
              <w:jc w:val="center"/>
              <w:rPr>
                <w:sz w:val="18"/>
                <w:szCs w:val="18"/>
              </w:rPr>
            </w:pPr>
            <w:r w:rsidRPr="00D415F4">
              <w:rPr>
                <w:sz w:val="18"/>
                <w:szCs w:val="18"/>
              </w:rPr>
              <w:t>Pierwotna</w:t>
            </w:r>
          </w:p>
        </w:tc>
        <w:tc>
          <w:tcPr>
            <w:tcW w:w="1695" w:type="pct"/>
          </w:tcPr>
          <w:p w14:paraId="519C99F1" w14:textId="36180B38" w:rsidR="00D768D1" w:rsidRPr="00D415F4" w:rsidRDefault="00D768D1" w:rsidP="00FB1044">
            <w:pPr>
              <w:jc w:val="center"/>
              <w:rPr>
                <w:sz w:val="18"/>
                <w:szCs w:val="18"/>
              </w:rPr>
            </w:pPr>
            <w:r>
              <w:rPr>
                <w:sz w:val="18"/>
                <w:szCs w:val="18"/>
              </w:rPr>
              <w:t>Tak</w:t>
            </w:r>
          </w:p>
        </w:tc>
      </w:tr>
      <w:tr w:rsidR="00D768D1" w14:paraId="36DCACAB" w14:textId="7FCA9C7F"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0E6C8E42" w14:textId="77777777" w:rsidR="00D768D1" w:rsidRPr="00D415F4" w:rsidRDefault="00D768D1" w:rsidP="00FB1044">
            <w:pPr>
              <w:rPr>
                <w:sz w:val="18"/>
                <w:szCs w:val="18"/>
              </w:rPr>
            </w:pPr>
            <w:r w:rsidRPr="00D415F4">
              <w:rPr>
                <w:sz w:val="18"/>
                <w:szCs w:val="18"/>
              </w:rPr>
              <w:t>Tarnów</w:t>
            </w:r>
          </w:p>
        </w:tc>
        <w:tc>
          <w:tcPr>
            <w:tcW w:w="1546" w:type="pct"/>
          </w:tcPr>
          <w:p w14:paraId="759A2C53" w14:textId="77777777" w:rsidR="00D768D1" w:rsidRPr="00D415F4" w:rsidRDefault="00D768D1" w:rsidP="00FB1044">
            <w:pPr>
              <w:jc w:val="center"/>
              <w:rPr>
                <w:sz w:val="18"/>
                <w:szCs w:val="18"/>
              </w:rPr>
            </w:pPr>
            <w:r w:rsidRPr="00D415F4">
              <w:rPr>
                <w:sz w:val="18"/>
                <w:szCs w:val="18"/>
              </w:rPr>
              <w:t>Spoza POIiŚ</w:t>
            </w:r>
          </w:p>
        </w:tc>
        <w:tc>
          <w:tcPr>
            <w:tcW w:w="973" w:type="pct"/>
          </w:tcPr>
          <w:p w14:paraId="36A36EC1" w14:textId="77777777" w:rsidR="00D768D1" w:rsidRPr="00D415F4" w:rsidRDefault="00D768D1" w:rsidP="00FB1044">
            <w:pPr>
              <w:jc w:val="center"/>
              <w:rPr>
                <w:sz w:val="18"/>
                <w:szCs w:val="18"/>
              </w:rPr>
            </w:pPr>
            <w:r w:rsidRPr="00D415F4">
              <w:rPr>
                <w:sz w:val="18"/>
                <w:szCs w:val="18"/>
              </w:rPr>
              <w:t>Pierwotna</w:t>
            </w:r>
          </w:p>
        </w:tc>
        <w:tc>
          <w:tcPr>
            <w:tcW w:w="1695" w:type="pct"/>
          </w:tcPr>
          <w:p w14:paraId="1AE2AE33" w14:textId="470906AC" w:rsidR="00D768D1" w:rsidRPr="00D415F4" w:rsidRDefault="00C24C59" w:rsidP="00FB1044">
            <w:pPr>
              <w:jc w:val="center"/>
              <w:rPr>
                <w:sz w:val="18"/>
                <w:szCs w:val="18"/>
              </w:rPr>
            </w:pPr>
            <w:r>
              <w:rPr>
                <w:sz w:val="18"/>
                <w:szCs w:val="18"/>
              </w:rPr>
              <w:t>Nie</w:t>
            </w:r>
          </w:p>
        </w:tc>
      </w:tr>
      <w:tr w:rsidR="00D768D1" w14:paraId="4A7D4DA0" w14:textId="054189F6" w:rsidTr="00554502">
        <w:trPr>
          <w:jc w:val="center"/>
        </w:trPr>
        <w:tc>
          <w:tcPr>
            <w:tcW w:w="786" w:type="pct"/>
          </w:tcPr>
          <w:p w14:paraId="4AD8EBB2" w14:textId="77777777" w:rsidR="00D768D1" w:rsidRPr="00D415F4" w:rsidRDefault="00D768D1" w:rsidP="00FB1044">
            <w:pPr>
              <w:rPr>
                <w:sz w:val="18"/>
                <w:szCs w:val="18"/>
              </w:rPr>
            </w:pPr>
            <w:r w:rsidRPr="00D415F4">
              <w:rPr>
                <w:sz w:val="18"/>
                <w:szCs w:val="18"/>
              </w:rPr>
              <w:t>Zgierz</w:t>
            </w:r>
          </w:p>
        </w:tc>
        <w:tc>
          <w:tcPr>
            <w:tcW w:w="1546" w:type="pct"/>
          </w:tcPr>
          <w:p w14:paraId="7ED6E1C1" w14:textId="77777777" w:rsidR="00D768D1" w:rsidRPr="00D415F4" w:rsidRDefault="00D768D1" w:rsidP="00FB1044">
            <w:pPr>
              <w:jc w:val="center"/>
              <w:rPr>
                <w:sz w:val="18"/>
                <w:szCs w:val="18"/>
              </w:rPr>
            </w:pPr>
            <w:r w:rsidRPr="00D415F4">
              <w:rPr>
                <w:sz w:val="18"/>
                <w:szCs w:val="18"/>
              </w:rPr>
              <w:t>POIiŚ</w:t>
            </w:r>
          </w:p>
        </w:tc>
        <w:tc>
          <w:tcPr>
            <w:tcW w:w="973" w:type="pct"/>
          </w:tcPr>
          <w:p w14:paraId="149F9E01" w14:textId="77777777" w:rsidR="00D768D1" w:rsidRPr="00D415F4" w:rsidRDefault="00D768D1" w:rsidP="00FB1044">
            <w:pPr>
              <w:jc w:val="center"/>
              <w:rPr>
                <w:sz w:val="18"/>
                <w:szCs w:val="18"/>
              </w:rPr>
            </w:pPr>
            <w:r w:rsidRPr="00D415F4">
              <w:rPr>
                <w:sz w:val="18"/>
                <w:szCs w:val="18"/>
              </w:rPr>
              <w:t>Rozszerzona</w:t>
            </w:r>
          </w:p>
        </w:tc>
        <w:tc>
          <w:tcPr>
            <w:tcW w:w="1695" w:type="pct"/>
          </w:tcPr>
          <w:p w14:paraId="3E565505" w14:textId="7BCDEA58" w:rsidR="00D768D1" w:rsidRPr="00D415F4" w:rsidRDefault="00C24C59" w:rsidP="00FB1044">
            <w:pPr>
              <w:jc w:val="center"/>
              <w:rPr>
                <w:sz w:val="18"/>
                <w:szCs w:val="18"/>
              </w:rPr>
            </w:pPr>
            <w:r>
              <w:rPr>
                <w:sz w:val="18"/>
                <w:szCs w:val="18"/>
              </w:rPr>
              <w:t>Nie</w:t>
            </w:r>
          </w:p>
        </w:tc>
      </w:tr>
      <w:tr w:rsidR="00D768D1" w14:paraId="273FBA1F" w14:textId="11087291" w:rsidTr="00554502">
        <w:trPr>
          <w:cnfStyle w:val="000000100000" w:firstRow="0" w:lastRow="0" w:firstColumn="0" w:lastColumn="0" w:oddVBand="0" w:evenVBand="0" w:oddHBand="1" w:evenHBand="0" w:firstRowFirstColumn="0" w:firstRowLastColumn="0" w:lastRowFirstColumn="0" w:lastRowLastColumn="0"/>
          <w:jc w:val="center"/>
        </w:trPr>
        <w:tc>
          <w:tcPr>
            <w:tcW w:w="786" w:type="pct"/>
          </w:tcPr>
          <w:p w14:paraId="4417D4FB" w14:textId="77777777" w:rsidR="00D768D1" w:rsidRPr="00D415F4" w:rsidRDefault="00D768D1" w:rsidP="00FB1044">
            <w:pPr>
              <w:rPr>
                <w:sz w:val="18"/>
                <w:szCs w:val="18"/>
              </w:rPr>
            </w:pPr>
            <w:r w:rsidRPr="00D415F4">
              <w:rPr>
                <w:sz w:val="18"/>
                <w:szCs w:val="18"/>
              </w:rPr>
              <w:t>Pruszków</w:t>
            </w:r>
          </w:p>
        </w:tc>
        <w:tc>
          <w:tcPr>
            <w:tcW w:w="1546" w:type="pct"/>
          </w:tcPr>
          <w:p w14:paraId="61528390" w14:textId="77777777" w:rsidR="00D768D1" w:rsidRPr="00D415F4" w:rsidRDefault="00D768D1" w:rsidP="00FB1044">
            <w:pPr>
              <w:jc w:val="center"/>
              <w:rPr>
                <w:sz w:val="18"/>
                <w:szCs w:val="18"/>
              </w:rPr>
            </w:pPr>
            <w:r w:rsidRPr="00D415F4">
              <w:rPr>
                <w:sz w:val="18"/>
                <w:szCs w:val="18"/>
              </w:rPr>
              <w:t>POIiŚ</w:t>
            </w:r>
          </w:p>
        </w:tc>
        <w:tc>
          <w:tcPr>
            <w:tcW w:w="973" w:type="pct"/>
          </w:tcPr>
          <w:p w14:paraId="358E181C" w14:textId="77777777" w:rsidR="00D768D1" w:rsidRPr="00D415F4" w:rsidRDefault="00D768D1" w:rsidP="00FB1044">
            <w:pPr>
              <w:jc w:val="center"/>
              <w:rPr>
                <w:sz w:val="18"/>
                <w:szCs w:val="18"/>
              </w:rPr>
            </w:pPr>
            <w:r w:rsidRPr="00D415F4">
              <w:rPr>
                <w:sz w:val="18"/>
                <w:szCs w:val="18"/>
              </w:rPr>
              <w:t>Rozszerzona</w:t>
            </w:r>
          </w:p>
        </w:tc>
        <w:tc>
          <w:tcPr>
            <w:tcW w:w="1695" w:type="pct"/>
          </w:tcPr>
          <w:p w14:paraId="0C1FDEAC" w14:textId="341A54F2" w:rsidR="00D768D1" w:rsidRPr="00D415F4" w:rsidRDefault="00C24C59" w:rsidP="00FB1044">
            <w:pPr>
              <w:jc w:val="center"/>
              <w:rPr>
                <w:sz w:val="18"/>
                <w:szCs w:val="18"/>
              </w:rPr>
            </w:pPr>
            <w:r>
              <w:rPr>
                <w:sz w:val="18"/>
                <w:szCs w:val="18"/>
              </w:rPr>
              <w:t>Nie</w:t>
            </w:r>
          </w:p>
        </w:tc>
      </w:tr>
      <w:tr w:rsidR="00D768D1" w14:paraId="32317D71" w14:textId="3DAE3697" w:rsidTr="00554502">
        <w:trPr>
          <w:jc w:val="center"/>
        </w:trPr>
        <w:tc>
          <w:tcPr>
            <w:tcW w:w="786" w:type="pct"/>
          </w:tcPr>
          <w:p w14:paraId="52D409D5" w14:textId="77777777" w:rsidR="00D768D1" w:rsidRPr="00D415F4" w:rsidRDefault="00D768D1" w:rsidP="00FB1044">
            <w:pPr>
              <w:rPr>
                <w:sz w:val="18"/>
                <w:szCs w:val="18"/>
              </w:rPr>
            </w:pPr>
            <w:r w:rsidRPr="00D415F4">
              <w:rPr>
                <w:sz w:val="18"/>
                <w:szCs w:val="18"/>
              </w:rPr>
              <w:t>Tczew</w:t>
            </w:r>
          </w:p>
        </w:tc>
        <w:tc>
          <w:tcPr>
            <w:tcW w:w="1546" w:type="pct"/>
          </w:tcPr>
          <w:p w14:paraId="2B8A10AA" w14:textId="77777777" w:rsidR="00D768D1" w:rsidRPr="00D415F4" w:rsidRDefault="00D768D1" w:rsidP="00FB1044">
            <w:pPr>
              <w:jc w:val="center"/>
              <w:rPr>
                <w:sz w:val="18"/>
                <w:szCs w:val="18"/>
              </w:rPr>
            </w:pPr>
            <w:r w:rsidRPr="00D415F4">
              <w:rPr>
                <w:sz w:val="18"/>
                <w:szCs w:val="18"/>
              </w:rPr>
              <w:t>POIiŚ</w:t>
            </w:r>
          </w:p>
        </w:tc>
        <w:tc>
          <w:tcPr>
            <w:tcW w:w="973" w:type="pct"/>
          </w:tcPr>
          <w:p w14:paraId="6AAE0CE4" w14:textId="77777777" w:rsidR="00D768D1" w:rsidRPr="00D415F4" w:rsidRDefault="00D768D1" w:rsidP="00FB1044">
            <w:pPr>
              <w:jc w:val="center"/>
              <w:rPr>
                <w:sz w:val="18"/>
                <w:szCs w:val="18"/>
              </w:rPr>
            </w:pPr>
            <w:r w:rsidRPr="00D415F4">
              <w:rPr>
                <w:sz w:val="18"/>
                <w:szCs w:val="18"/>
              </w:rPr>
              <w:t>Rozszerzona</w:t>
            </w:r>
          </w:p>
        </w:tc>
        <w:tc>
          <w:tcPr>
            <w:tcW w:w="1695" w:type="pct"/>
          </w:tcPr>
          <w:p w14:paraId="5F710AFB" w14:textId="5CA0E2ED" w:rsidR="00D768D1" w:rsidRPr="00D415F4" w:rsidRDefault="00C24C59" w:rsidP="00FB1044">
            <w:pPr>
              <w:jc w:val="center"/>
              <w:rPr>
                <w:sz w:val="18"/>
                <w:szCs w:val="18"/>
              </w:rPr>
            </w:pPr>
            <w:r>
              <w:rPr>
                <w:sz w:val="18"/>
                <w:szCs w:val="18"/>
              </w:rPr>
              <w:t>Nie</w:t>
            </w:r>
          </w:p>
        </w:tc>
      </w:tr>
    </w:tbl>
    <w:p w14:paraId="2FA62022" w14:textId="77777777" w:rsidR="00DD74F2" w:rsidRDefault="00DD74F2" w:rsidP="00DD74F2">
      <w:pPr>
        <w:pStyle w:val="rdo"/>
      </w:pPr>
      <w:r>
        <w:t>Źródło: opracowanie własne.</w:t>
      </w:r>
    </w:p>
    <w:p w14:paraId="081304CE" w14:textId="3BEB1F42" w:rsidR="00DD74F2" w:rsidRDefault="00DD74F2" w:rsidP="00DD74F2">
      <w:r>
        <w:t xml:space="preserve">Aby dokonać oszacowania efektu netto interwencji w badaniu </w:t>
      </w:r>
      <w:r>
        <w:rPr>
          <w:i/>
          <w:iCs/>
        </w:rPr>
        <w:t xml:space="preserve">ex post </w:t>
      </w:r>
      <w:r>
        <w:t xml:space="preserve">wykorzystując segmentację </w:t>
      </w:r>
      <w:r w:rsidR="00B320B7">
        <w:t>miast</w:t>
      </w:r>
      <w:r>
        <w:t xml:space="preserve"> metodą SPSM niezbędne będzie wykonanie następujących czynności:</w:t>
      </w:r>
    </w:p>
    <w:p w14:paraId="5CAC14FF" w14:textId="77777777" w:rsidR="00DD74F2" w:rsidRDefault="00DD74F2" w:rsidP="001B2A4E">
      <w:pPr>
        <w:pStyle w:val="Akapitzlist"/>
        <w:numPr>
          <w:ilvl w:val="0"/>
          <w:numId w:val="34"/>
        </w:numPr>
      </w:pPr>
      <w:r>
        <w:lastRenderedPageBreak/>
        <w:t>ponowne dokonanie podziału rozszerzonej próby miast na 2 segmenty na podstawie wartości tych samych zmiennych przed rozpoczęciem interwencji (tj. liczba ludności, gęstość zaludnienia);</w:t>
      </w:r>
    </w:p>
    <w:p w14:paraId="50AE6363" w14:textId="77777777" w:rsidR="00DD74F2" w:rsidRDefault="00DD74F2" w:rsidP="001B2A4E">
      <w:pPr>
        <w:pStyle w:val="Akapitzlist"/>
        <w:numPr>
          <w:ilvl w:val="0"/>
          <w:numId w:val="34"/>
        </w:numPr>
      </w:pPr>
      <w:r>
        <w:t>ponowne przeprowadzenie analizy dyskryminacyjnej, za pomocą której w ramach segmentów identyfikuje się jednostki najbardziej podobne do siebie i łączy je w pary tworząc sytuacje kontrfaktyczne;</w:t>
      </w:r>
    </w:p>
    <w:p w14:paraId="4D27A441" w14:textId="77777777" w:rsidR="00DD74F2" w:rsidRDefault="00DD74F2" w:rsidP="001B2A4E">
      <w:pPr>
        <w:pStyle w:val="Akapitzlist"/>
        <w:numPr>
          <w:ilvl w:val="0"/>
          <w:numId w:val="34"/>
        </w:numPr>
      </w:pPr>
      <w:r>
        <w:t xml:space="preserve">obliczenie zmian w wartościach wskaźników pomiędzy rokiem bazowym a rokiem badania ujętym w badaniu </w:t>
      </w:r>
      <w:r w:rsidRPr="0057183B">
        <w:rPr>
          <w:i/>
          <w:iCs/>
        </w:rPr>
        <w:t>ex post</w:t>
      </w:r>
      <w:r>
        <w:t>;</w:t>
      </w:r>
    </w:p>
    <w:p w14:paraId="04D542E9" w14:textId="2A0E8024" w:rsidR="00DD74F2" w:rsidRDefault="00DD74F2" w:rsidP="001B2A4E">
      <w:pPr>
        <w:pStyle w:val="Akapitzlist"/>
        <w:numPr>
          <w:ilvl w:val="0"/>
          <w:numId w:val="34"/>
        </w:numPr>
      </w:pPr>
      <w:r>
        <w:t xml:space="preserve">obliczenie różnic w wielkościach zmian w ramach par </w:t>
      </w:r>
      <w:r w:rsidR="00B320B7">
        <w:t>miast</w:t>
      </w:r>
      <w:r>
        <w:t xml:space="preserve"> (sytuacji kontrfaktycznych) rozumianych w tym kontekście jako efekt netto;</w:t>
      </w:r>
    </w:p>
    <w:p w14:paraId="04748A56" w14:textId="5BBB407C" w:rsidR="00DD74F2" w:rsidRDefault="00DD74F2" w:rsidP="001B2A4E">
      <w:pPr>
        <w:pStyle w:val="Akapitzlist"/>
        <w:numPr>
          <w:ilvl w:val="0"/>
          <w:numId w:val="34"/>
        </w:numPr>
      </w:pPr>
      <w:r>
        <w:t xml:space="preserve">obliczenie łącznego efektu netto w całości populacji </w:t>
      </w:r>
      <w:r w:rsidR="00B320B7">
        <w:t>miast</w:t>
      </w:r>
      <w:r>
        <w:t xml:space="preserve"> oraz w poszczególnych segmentach;</w:t>
      </w:r>
    </w:p>
    <w:p w14:paraId="05EBC6BC" w14:textId="1BD6E2FE" w:rsidR="00DD74F2" w:rsidRPr="00EA7417" w:rsidRDefault="00DD74F2" w:rsidP="001B2A4E">
      <w:pPr>
        <w:pStyle w:val="Akapitzlist"/>
        <w:numPr>
          <w:ilvl w:val="0"/>
          <w:numId w:val="34"/>
        </w:numPr>
      </w:pPr>
      <w:r>
        <w:t xml:space="preserve">przeprowadzenie analizy regresji w celu identyfikacji determinant zmian w wartościach wskaźników sukcesu (we wszystkich </w:t>
      </w:r>
      <w:r w:rsidR="00B320B7">
        <w:t>mias</w:t>
      </w:r>
      <w:r>
        <w:t>tach oraz w poszczególnych, wybranych segmentach).</w:t>
      </w:r>
    </w:p>
    <w:p w14:paraId="3E951175" w14:textId="04B670E1" w:rsidR="00A256A0" w:rsidRPr="00002FD4" w:rsidRDefault="00077570" w:rsidP="00077570">
      <w:pPr>
        <w:pStyle w:val="Nagwek3"/>
        <w:rPr>
          <w:color w:val="000000" w:themeColor="text1"/>
        </w:rPr>
      </w:pPr>
      <w:bookmarkStart w:id="188" w:name="_Toc27125348"/>
      <w:r w:rsidRPr="00002FD4">
        <w:rPr>
          <w:color w:val="000000" w:themeColor="text1"/>
        </w:rPr>
        <w:t>Założenia analizy kosztów i korzyści</w:t>
      </w:r>
      <w:r w:rsidR="00380EEC" w:rsidRPr="00002FD4">
        <w:rPr>
          <w:color w:val="000000" w:themeColor="text1"/>
        </w:rPr>
        <w:t xml:space="preserve"> projektów POIiŚ</w:t>
      </w:r>
      <w:bookmarkEnd w:id="188"/>
    </w:p>
    <w:p w14:paraId="67B23DFC" w14:textId="3C59762A" w:rsidR="00E457D0" w:rsidRPr="00002FD4" w:rsidRDefault="00287ADF" w:rsidP="00287ADF">
      <w:pPr>
        <w:rPr>
          <w:color w:val="000000" w:themeColor="text1"/>
        </w:rPr>
      </w:pPr>
      <w:bookmarkStart w:id="189" w:name="_Hlk25244718"/>
      <w:r w:rsidRPr="00002FD4">
        <w:rPr>
          <w:color w:val="000000" w:themeColor="text1"/>
        </w:rPr>
        <w:t xml:space="preserve">Szczegółowa analiza przedstawionych arkuszy, zawierających oryginalną analizę kosztów i korzyści (AKK) </w:t>
      </w:r>
      <w:r w:rsidRPr="00002FD4">
        <w:rPr>
          <w:i/>
          <w:iCs/>
          <w:color w:val="000000" w:themeColor="text1"/>
        </w:rPr>
        <w:t xml:space="preserve">ex </w:t>
      </w:r>
      <w:proofErr w:type="spellStart"/>
      <w:r w:rsidRPr="00002FD4">
        <w:rPr>
          <w:i/>
          <w:iCs/>
          <w:color w:val="000000" w:themeColor="text1"/>
        </w:rPr>
        <w:t>ante</w:t>
      </w:r>
      <w:proofErr w:type="spellEnd"/>
      <w:r w:rsidRPr="00002FD4">
        <w:rPr>
          <w:color w:val="000000" w:themeColor="text1"/>
        </w:rPr>
        <w:t xml:space="preserve"> dla projektów warszawskich wskazuje, że wszelkie obliczenia dla tych projektów są dobrze udokumentowane na poziomie edytowalnych arkuszy Excel</w:t>
      </w:r>
      <w:r w:rsidR="00AF5005">
        <w:rPr>
          <w:color w:val="000000" w:themeColor="text1"/>
        </w:rPr>
        <w:t>. Pilotaż wskazał jednak, że</w:t>
      </w:r>
      <w:r w:rsidRPr="00002FD4">
        <w:rPr>
          <w:color w:val="000000" w:themeColor="text1"/>
        </w:rPr>
        <w:t xml:space="preserve"> w każdym przypadku analizowane było ogólnosieciowe oddziaływanie inwestycji, a</w:t>
      </w:r>
      <w:r w:rsidR="00B02093">
        <w:rPr>
          <w:color w:val="000000" w:themeColor="text1"/>
        </w:rPr>
        <w:t> </w:t>
      </w:r>
      <w:r w:rsidRPr="00002FD4">
        <w:rPr>
          <w:color w:val="000000" w:themeColor="text1"/>
        </w:rPr>
        <w:t>zatem daną wejściową do modelu nie jest liczba pasażerów danej inwestycji i czas przejazdu daną inwestycją, lecz ogólnosieciowa liczba godzin spędzana przez pasażerów w środkach transportu w</w:t>
      </w:r>
      <w:r w:rsidR="00FE5D20">
        <w:rPr>
          <w:color w:val="000000" w:themeColor="text1"/>
        </w:rPr>
        <w:t> </w:t>
      </w:r>
      <w:r w:rsidRPr="00002FD4">
        <w:rPr>
          <w:color w:val="000000" w:themeColor="text1"/>
        </w:rPr>
        <w:t xml:space="preserve">wariancie przed inwestycją i w wariancie po inwestycji </w:t>
      </w:r>
      <w:bookmarkEnd w:id="189"/>
      <w:r w:rsidRPr="00002FD4">
        <w:rPr>
          <w:color w:val="000000" w:themeColor="text1"/>
        </w:rPr>
        <w:t>(por.</w:t>
      </w:r>
      <w:r w:rsidR="00CA26B5">
        <w:rPr>
          <w:color w:val="000000" w:themeColor="text1"/>
        </w:rPr>
        <w:t xml:space="preserve"> </w:t>
      </w:r>
      <w:r w:rsidR="00CA26B5">
        <w:rPr>
          <w:color w:val="000000" w:themeColor="text1"/>
        </w:rPr>
        <w:fldChar w:fldCharType="begin"/>
      </w:r>
      <w:r w:rsidR="00CA26B5">
        <w:rPr>
          <w:color w:val="000000" w:themeColor="text1"/>
        </w:rPr>
        <w:instrText xml:space="preserve"> REF _Ref26202174 \h </w:instrText>
      </w:r>
      <w:r w:rsidR="00CA26B5">
        <w:rPr>
          <w:color w:val="000000" w:themeColor="text1"/>
        </w:rPr>
      </w:r>
      <w:r w:rsidR="00CA26B5">
        <w:rPr>
          <w:color w:val="000000" w:themeColor="text1"/>
        </w:rPr>
        <w:fldChar w:fldCharType="separate"/>
      </w:r>
      <w:r w:rsidR="00C93FD7" w:rsidRPr="00002FD4">
        <w:t xml:space="preserve">Tabela </w:t>
      </w:r>
      <w:r w:rsidR="00C93FD7">
        <w:rPr>
          <w:noProof/>
        </w:rPr>
        <w:t>17</w:t>
      </w:r>
      <w:r w:rsidR="00CA26B5">
        <w:rPr>
          <w:color w:val="000000" w:themeColor="text1"/>
        </w:rPr>
        <w:fldChar w:fldCharType="end"/>
      </w:r>
      <w:r w:rsidRPr="00002FD4">
        <w:rPr>
          <w:color w:val="000000" w:themeColor="text1"/>
        </w:rPr>
        <w:t xml:space="preserve">). </w:t>
      </w:r>
    </w:p>
    <w:p w14:paraId="2E6BA55F" w14:textId="40A7DEBF" w:rsidR="00142F2B" w:rsidRDefault="00287ADF" w:rsidP="00287ADF">
      <w:pPr>
        <w:rPr>
          <w:color w:val="000000" w:themeColor="text1"/>
        </w:rPr>
      </w:pPr>
      <w:r w:rsidRPr="00002FD4">
        <w:rPr>
          <w:color w:val="000000" w:themeColor="text1"/>
        </w:rPr>
        <w:t xml:space="preserve">Tymczasem dane z monitoringu projektowego, przekazywane przez beneficjentów i możliwe do zweryfikowania dotyczą </w:t>
      </w:r>
      <w:r w:rsidR="00182F51" w:rsidRPr="00002FD4">
        <w:rPr>
          <w:color w:val="000000" w:themeColor="text1"/>
        </w:rPr>
        <w:t xml:space="preserve">sieci </w:t>
      </w:r>
      <w:r w:rsidRPr="00002FD4">
        <w:rPr>
          <w:color w:val="000000" w:themeColor="text1"/>
        </w:rPr>
        <w:t>dane</w:t>
      </w:r>
      <w:r w:rsidR="00660E0A" w:rsidRPr="00002FD4">
        <w:rPr>
          <w:color w:val="000000" w:themeColor="text1"/>
        </w:rPr>
        <w:t xml:space="preserve">go środka transportu (np. metro, tramwaje) lub całej sieci komunikacyjnej </w:t>
      </w:r>
      <w:r w:rsidRPr="00002FD4">
        <w:rPr>
          <w:color w:val="000000" w:themeColor="text1"/>
        </w:rPr>
        <w:t xml:space="preserve">– </w:t>
      </w:r>
      <w:r w:rsidR="00660E0A" w:rsidRPr="00002FD4">
        <w:rPr>
          <w:color w:val="000000" w:themeColor="text1"/>
        </w:rPr>
        <w:t xml:space="preserve">rocznej </w:t>
      </w:r>
      <w:r w:rsidRPr="00002FD4">
        <w:rPr>
          <w:color w:val="000000" w:themeColor="text1"/>
        </w:rPr>
        <w:t>liczby pasażerów. Z kolei dana o łącznej liczbie godzin spędzanych przez osoby podróżujące w różnych środkach transportu nie jest dostępna w monitoringu projektowym i może być pozyskana wyłącznie z modelu ruchu.</w:t>
      </w:r>
    </w:p>
    <w:p w14:paraId="025B9BF4" w14:textId="65FFA41F" w:rsidR="001E304C" w:rsidRPr="00002FD4" w:rsidRDefault="001E304C" w:rsidP="001E304C">
      <w:pPr>
        <w:pStyle w:val="Legenda"/>
      </w:pPr>
      <w:bookmarkStart w:id="190" w:name="_Ref26202174"/>
      <w:bookmarkStart w:id="191" w:name="_Ref24640678"/>
      <w:bookmarkStart w:id="192" w:name="_Hlk26179120"/>
      <w:bookmarkStart w:id="193" w:name="_Toc27125375"/>
      <w:r w:rsidRPr="00002FD4">
        <w:t xml:space="preserve">Tabela </w:t>
      </w:r>
      <w:r>
        <w:rPr>
          <w:noProof/>
        </w:rPr>
        <w:fldChar w:fldCharType="begin"/>
      </w:r>
      <w:r>
        <w:rPr>
          <w:noProof/>
        </w:rPr>
        <w:instrText xml:space="preserve"> SEQ Tabela \* ARABIC </w:instrText>
      </w:r>
      <w:r>
        <w:rPr>
          <w:noProof/>
        </w:rPr>
        <w:fldChar w:fldCharType="separate"/>
      </w:r>
      <w:r w:rsidR="00C93FD7">
        <w:rPr>
          <w:noProof/>
        </w:rPr>
        <w:t>17</w:t>
      </w:r>
      <w:r>
        <w:rPr>
          <w:noProof/>
        </w:rPr>
        <w:fldChar w:fldCharType="end"/>
      </w:r>
      <w:bookmarkEnd w:id="190"/>
      <w:r w:rsidRPr="00002FD4">
        <w:t>. Zestawienie danych z AKK oraz monitoringu projektów POIiŚ.</w:t>
      </w:r>
      <w:bookmarkEnd w:id="193"/>
    </w:p>
    <w:tbl>
      <w:tblPr>
        <w:tblStyle w:val="WolanskiCorpTabela4"/>
        <w:tblW w:w="9689" w:type="dxa"/>
        <w:tblLook w:val="04A0" w:firstRow="1" w:lastRow="0" w:firstColumn="1" w:lastColumn="0" w:noHBand="0" w:noVBand="1"/>
      </w:tblPr>
      <w:tblGrid>
        <w:gridCol w:w="2128"/>
        <w:gridCol w:w="1408"/>
        <w:gridCol w:w="1532"/>
        <w:gridCol w:w="1572"/>
        <w:gridCol w:w="1572"/>
        <w:gridCol w:w="1477"/>
      </w:tblGrid>
      <w:tr w:rsidR="001E304C" w:rsidRPr="00002FD4" w14:paraId="67AF3E2D" w14:textId="77777777" w:rsidTr="00DE11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0F7AA361" w14:textId="77777777" w:rsidR="001E304C" w:rsidRPr="00002FD4" w:rsidRDefault="001E304C" w:rsidP="00DE116A">
            <w:pPr>
              <w:spacing w:before="120"/>
              <w:rPr>
                <w:color w:val="000000" w:themeColor="text1"/>
                <w:sz w:val="18"/>
              </w:rPr>
            </w:pPr>
            <w:r w:rsidRPr="00002FD4">
              <w:rPr>
                <w:color w:val="000000" w:themeColor="text1"/>
                <w:sz w:val="18"/>
              </w:rPr>
              <w:t>Inwestycja</w:t>
            </w:r>
          </w:p>
        </w:tc>
        <w:tc>
          <w:tcPr>
            <w:tcW w:w="1408" w:type="dxa"/>
          </w:tcPr>
          <w:p w14:paraId="6EDA7B82" w14:textId="77777777" w:rsidR="001E304C" w:rsidRPr="00002FD4" w:rsidRDefault="001E304C"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002FD4">
              <w:rPr>
                <w:color w:val="000000" w:themeColor="text1"/>
                <w:sz w:val="18"/>
              </w:rPr>
              <w:t>Wynikowe wskaźniki AKK</w:t>
            </w:r>
          </w:p>
        </w:tc>
        <w:tc>
          <w:tcPr>
            <w:tcW w:w="1586" w:type="dxa"/>
          </w:tcPr>
          <w:p w14:paraId="4EC10EB4" w14:textId="77777777" w:rsidR="001E304C" w:rsidRPr="00002FD4" w:rsidRDefault="001E304C"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002FD4">
              <w:rPr>
                <w:color w:val="000000" w:themeColor="text1"/>
                <w:sz w:val="18"/>
              </w:rPr>
              <w:t>Założone wielkości bazowe do obliczania korzyści [pasażero-h</w:t>
            </w:r>
            <w:r w:rsidRPr="00002FD4">
              <w:rPr>
                <w:color w:val="000000" w:themeColor="text1"/>
                <w:sz w:val="18"/>
              </w:rPr>
              <w:br/>
              <w:t>/szczyt]</w:t>
            </w:r>
          </w:p>
        </w:tc>
        <w:tc>
          <w:tcPr>
            <w:tcW w:w="1558" w:type="dxa"/>
          </w:tcPr>
          <w:p w14:paraId="5F5DFF8F" w14:textId="77777777" w:rsidR="001E304C" w:rsidRPr="00002FD4" w:rsidRDefault="001E304C"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002FD4">
              <w:rPr>
                <w:color w:val="000000" w:themeColor="text1"/>
                <w:sz w:val="18"/>
              </w:rPr>
              <w:t>Założone wartości monitoringu [pas./Rok]</w:t>
            </w:r>
          </w:p>
        </w:tc>
        <w:tc>
          <w:tcPr>
            <w:tcW w:w="1558" w:type="dxa"/>
          </w:tcPr>
          <w:p w14:paraId="3421E791" w14:textId="77777777" w:rsidR="001E304C" w:rsidRPr="00002FD4" w:rsidRDefault="001E304C"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002FD4">
              <w:rPr>
                <w:color w:val="000000" w:themeColor="text1"/>
                <w:sz w:val="18"/>
              </w:rPr>
              <w:t>Osiągnięte wartości monitoringu na koniec realizacji projektu [pas./rok]</w:t>
            </w:r>
          </w:p>
        </w:tc>
        <w:tc>
          <w:tcPr>
            <w:tcW w:w="1470" w:type="dxa"/>
          </w:tcPr>
          <w:p w14:paraId="13BD7E9E" w14:textId="77777777" w:rsidR="001E304C" w:rsidRPr="00002FD4" w:rsidRDefault="001E304C"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sidRPr="00002FD4">
              <w:rPr>
                <w:color w:val="000000" w:themeColor="text1"/>
                <w:sz w:val="18"/>
              </w:rPr>
              <w:t>Czy wynikowe wskaźniki AKK zostały osiągnięte?</w:t>
            </w:r>
          </w:p>
        </w:tc>
      </w:tr>
      <w:tr w:rsidR="001E304C" w:rsidRPr="00002FD4" w14:paraId="66B816BE"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89" w:type="dxa"/>
            <w:gridSpan w:val="6"/>
          </w:tcPr>
          <w:p w14:paraId="48F128D4" w14:textId="77777777" w:rsidR="001E304C" w:rsidRPr="00002FD4" w:rsidRDefault="001E304C" w:rsidP="00DE116A">
            <w:pPr>
              <w:rPr>
                <w:color w:val="000000" w:themeColor="text1"/>
              </w:rPr>
            </w:pPr>
            <w:r w:rsidRPr="00002FD4">
              <w:rPr>
                <w:color w:val="000000" w:themeColor="text1"/>
              </w:rPr>
              <w:t>Projekty perspektywy 2007-2013</w:t>
            </w:r>
          </w:p>
        </w:tc>
      </w:tr>
      <w:tr w:rsidR="001E304C" w:rsidRPr="00002FD4" w14:paraId="48C0D6A9"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3F4D6D09" w14:textId="77777777" w:rsidR="001E304C" w:rsidRPr="00002FD4" w:rsidRDefault="001E304C" w:rsidP="00DE116A">
            <w:pPr>
              <w:rPr>
                <w:color w:val="000000" w:themeColor="text1"/>
                <w:sz w:val="16"/>
              </w:rPr>
            </w:pPr>
            <w:r w:rsidRPr="00002FD4">
              <w:rPr>
                <w:color w:val="000000" w:themeColor="text1"/>
                <w:sz w:val="16"/>
              </w:rPr>
              <w:t>II linia metra - Centralny odcinek</w:t>
            </w:r>
          </w:p>
        </w:tc>
        <w:tc>
          <w:tcPr>
            <w:tcW w:w="1408" w:type="dxa"/>
          </w:tcPr>
          <w:p w14:paraId="185CCF55" w14:textId="77777777" w:rsidR="001E304C" w:rsidRPr="00002FD4" w:rsidRDefault="001E304C" w:rsidP="00DE116A">
            <w:pPr>
              <w:jc w:val="lef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ENPV: 1 554 628 548,54</w:t>
            </w:r>
          </w:p>
          <w:p w14:paraId="3B8ABA49" w14:textId="77777777" w:rsidR="001E304C" w:rsidRPr="00002FD4" w:rsidRDefault="001E304C" w:rsidP="00DE116A">
            <w:pPr>
              <w:jc w:val="lef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7,6%</w:t>
            </w:r>
          </w:p>
        </w:tc>
        <w:tc>
          <w:tcPr>
            <w:tcW w:w="1586" w:type="dxa"/>
          </w:tcPr>
          <w:p w14:paraId="54194428"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103 779</w:t>
            </w:r>
          </w:p>
          <w:p w14:paraId="685890DD"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Inwestycyjny –</w:t>
            </w:r>
            <w:r w:rsidRPr="00002FD4">
              <w:rPr>
                <w:color w:val="000000" w:themeColor="text1"/>
                <w:sz w:val="16"/>
              </w:rPr>
              <w:br/>
              <w:t xml:space="preserve"> 102 306</w:t>
            </w:r>
          </w:p>
        </w:tc>
        <w:tc>
          <w:tcPr>
            <w:tcW w:w="1558" w:type="dxa"/>
          </w:tcPr>
          <w:p w14:paraId="28BA626D"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181 755 205 (2015)</w:t>
            </w:r>
          </w:p>
          <w:p w14:paraId="115EB7E8"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184 118 667 (2016)</w:t>
            </w:r>
          </w:p>
        </w:tc>
        <w:tc>
          <w:tcPr>
            <w:tcW w:w="1558" w:type="dxa"/>
          </w:tcPr>
          <w:p w14:paraId="79C1FD9E"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178 448 025 (2015)</w:t>
            </w:r>
          </w:p>
          <w:p w14:paraId="222B9B66"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184 751 549 (2016)</w:t>
            </w:r>
          </w:p>
        </w:tc>
        <w:tc>
          <w:tcPr>
            <w:tcW w:w="1470" w:type="dxa"/>
          </w:tcPr>
          <w:p w14:paraId="7DF55B69" w14:textId="77777777" w:rsidR="001E304C" w:rsidRPr="00002FD4" w:rsidRDefault="001E304C"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TAK (w 2016 r.)</w:t>
            </w:r>
          </w:p>
        </w:tc>
      </w:tr>
      <w:tr w:rsidR="001E304C" w:rsidRPr="00002FD4" w14:paraId="37000E9B"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28F7F3A1" w14:textId="77777777" w:rsidR="001E304C" w:rsidRPr="00002FD4" w:rsidRDefault="001E304C" w:rsidP="00DE116A">
            <w:pPr>
              <w:rPr>
                <w:color w:val="000000" w:themeColor="text1"/>
                <w:sz w:val="16"/>
              </w:rPr>
            </w:pPr>
            <w:r w:rsidRPr="00002FD4">
              <w:rPr>
                <w:color w:val="000000" w:themeColor="text1"/>
                <w:sz w:val="16"/>
              </w:rPr>
              <w:lastRenderedPageBreak/>
              <w:t>Tramwaj dworzec Wileński – rondo Waszyngtona</w:t>
            </w:r>
          </w:p>
        </w:tc>
        <w:tc>
          <w:tcPr>
            <w:tcW w:w="1408" w:type="dxa"/>
          </w:tcPr>
          <w:p w14:paraId="4B4A1FFC" w14:textId="77777777" w:rsidR="001E304C" w:rsidRPr="00002FD4" w:rsidRDefault="001E304C" w:rsidP="00DE116A">
            <w:pPr>
              <w:jc w:val="lef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ENPV: 335 507 341,77</w:t>
            </w:r>
            <w:r w:rsidRPr="00002FD4">
              <w:rPr>
                <w:color w:val="000000" w:themeColor="text1"/>
                <w:sz w:val="16"/>
              </w:rPr>
              <w:br/>
              <w:t>EIRR: 15,8%</w:t>
            </w:r>
          </w:p>
        </w:tc>
        <w:tc>
          <w:tcPr>
            <w:tcW w:w="1586" w:type="dxa"/>
          </w:tcPr>
          <w:p w14:paraId="75B9DEBC"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118 660 </w:t>
            </w:r>
          </w:p>
          <w:p w14:paraId="76A2CA7B"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Inwestycyjny –</w:t>
            </w:r>
            <w:r w:rsidRPr="00002FD4">
              <w:rPr>
                <w:color w:val="000000" w:themeColor="text1"/>
                <w:sz w:val="16"/>
              </w:rPr>
              <w:br/>
              <w:t xml:space="preserve"> 118 430</w:t>
            </w:r>
          </w:p>
        </w:tc>
        <w:tc>
          <w:tcPr>
            <w:tcW w:w="1558" w:type="dxa"/>
          </w:tcPr>
          <w:p w14:paraId="5E3EB802"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215 802 535</w:t>
            </w:r>
          </w:p>
        </w:tc>
        <w:tc>
          <w:tcPr>
            <w:tcW w:w="1558" w:type="dxa"/>
          </w:tcPr>
          <w:p w14:paraId="27261126"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220 509 622</w:t>
            </w:r>
          </w:p>
        </w:tc>
        <w:tc>
          <w:tcPr>
            <w:tcW w:w="1470" w:type="dxa"/>
          </w:tcPr>
          <w:p w14:paraId="7A6CB246" w14:textId="77777777" w:rsidR="001E304C" w:rsidRPr="00002FD4" w:rsidRDefault="001E304C"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TAK</w:t>
            </w:r>
          </w:p>
        </w:tc>
      </w:tr>
      <w:tr w:rsidR="001E304C" w:rsidRPr="00002FD4" w14:paraId="3ED1F7EF"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183D2ECC" w14:textId="4776FA95" w:rsidR="001E304C" w:rsidRPr="00002FD4" w:rsidRDefault="001E304C" w:rsidP="00DE116A">
            <w:pPr>
              <w:rPr>
                <w:b w:val="0"/>
                <w:caps w:val="0"/>
                <w:color w:val="000000" w:themeColor="text1"/>
                <w:sz w:val="16"/>
              </w:rPr>
            </w:pPr>
            <w:r w:rsidRPr="00002FD4">
              <w:rPr>
                <w:color w:val="000000" w:themeColor="text1"/>
                <w:sz w:val="16"/>
              </w:rPr>
              <w:t>Dostosowanie INFRASTRUKTURY DO TABORU NISKOPOD</w:t>
            </w:r>
            <w:r>
              <w:rPr>
                <w:color w:val="000000" w:themeColor="text1"/>
                <w:sz w:val="16"/>
              </w:rPr>
              <w:t>Ł</w:t>
            </w:r>
            <w:r w:rsidRPr="00002FD4">
              <w:rPr>
                <w:color w:val="000000" w:themeColor="text1"/>
                <w:sz w:val="16"/>
              </w:rPr>
              <w:t>OGOWEGO</w:t>
            </w:r>
          </w:p>
        </w:tc>
        <w:tc>
          <w:tcPr>
            <w:tcW w:w="1408" w:type="dxa"/>
          </w:tcPr>
          <w:p w14:paraId="7E38FD74"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524 129 500</w:t>
            </w:r>
          </w:p>
          <w:p w14:paraId="6B6057EE"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11,6%</w:t>
            </w:r>
          </w:p>
        </w:tc>
        <w:tc>
          <w:tcPr>
            <w:tcW w:w="1586" w:type="dxa"/>
          </w:tcPr>
          <w:p w14:paraId="6A1A2AFD"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113 693 </w:t>
            </w:r>
          </w:p>
          <w:p w14:paraId="08F00A8C"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Inwestycyjny –</w:t>
            </w:r>
            <w:r w:rsidRPr="00002FD4">
              <w:rPr>
                <w:color w:val="000000" w:themeColor="text1"/>
                <w:sz w:val="16"/>
              </w:rPr>
              <w:br/>
              <w:t xml:space="preserve"> 113 523</w:t>
            </w:r>
          </w:p>
        </w:tc>
        <w:tc>
          <w:tcPr>
            <w:tcW w:w="1558" w:type="dxa"/>
          </w:tcPr>
          <w:p w14:paraId="7BD16024"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887 850 529</w:t>
            </w:r>
          </w:p>
        </w:tc>
        <w:tc>
          <w:tcPr>
            <w:tcW w:w="1558" w:type="dxa"/>
          </w:tcPr>
          <w:p w14:paraId="2A6249A1"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893 371 186</w:t>
            </w:r>
          </w:p>
        </w:tc>
        <w:tc>
          <w:tcPr>
            <w:tcW w:w="1470" w:type="dxa"/>
          </w:tcPr>
          <w:p w14:paraId="17AF6568" w14:textId="77777777" w:rsidR="001E304C" w:rsidRPr="00002FD4" w:rsidRDefault="001E304C"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TAK</w:t>
            </w:r>
          </w:p>
        </w:tc>
      </w:tr>
      <w:tr w:rsidR="001E304C" w:rsidRPr="00002FD4" w14:paraId="53F4F42A"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18216BA9" w14:textId="77777777" w:rsidR="001E304C" w:rsidRPr="00002FD4" w:rsidRDefault="001E304C" w:rsidP="00DE116A">
            <w:pPr>
              <w:rPr>
                <w:color w:val="000000" w:themeColor="text1"/>
                <w:sz w:val="16"/>
              </w:rPr>
            </w:pPr>
            <w:r w:rsidRPr="00002FD4">
              <w:rPr>
                <w:color w:val="000000" w:themeColor="text1"/>
                <w:sz w:val="16"/>
              </w:rPr>
              <w:t>TRAMWAJ powstańców Śląskich</w:t>
            </w:r>
          </w:p>
        </w:tc>
        <w:tc>
          <w:tcPr>
            <w:tcW w:w="1408" w:type="dxa"/>
          </w:tcPr>
          <w:p w14:paraId="552BF215" w14:textId="77777777" w:rsidR="001E304C" w:rsidRPr="00002FD4" w:rsidRDefault="001E304C" w:rsidP="00DE116A">
            <w:pPr>
              <w:jc w:val="lef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286 564 820</w:t>
            </w:r>
          </w:p>
          <w:p w14:paraId="11F2F89B"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EIRR: 24,4%</w:t>
            </w:r>
          </w:p>
        </w:tc>
        <w:tc>
          <w:tcPr>
            <w:tcW w:w="1586" w:type="dxa"/>
          </w:tcPr>
          <w:p w14:paraId="31381825"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103 422 </w:t>
            </w:r>
          </w:p>
          <w:p w14:paraId="50030202"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103 221</w:t>
            </w:r>
          </w:p>
        </w:tc>
        <w:tc>
          <w:tcPr>
            <w:tcW w:w="1558" w:type="dxa"/>
          </w:tcPr>
          <w:p w14:paraId="1E70D3E8"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876 003 529</w:t>
            </w:r>
          </w:p>
        </w:tc>
        <w:tc>
          <w:tcPr>
            <w:tcW w:w="1558" w:type="dxa"/>
          </w:tcPr>
          <w:p w14:paraId="697E2234"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944 154 405</w:t>
            </w:r>
          </w:p>
        </w:tc>
        <w:tc>
          <w:tcPr>
            <w:tcW w:w="1470" w:type="dxa"/>
          </w:tcPr>
          <w:p w14:paraId="26F30434" w14:textId="77777777" w:rsidR="001E304C" w:rsidRPr="00002FD4" w:rsidRDefault="001E304C"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TAK</w:t>
            </w:r>
          </w:p>
        </w:tc>
      </w:tr>
      <w:tr w:rsidR="001E304C" w:rsidRPr="00002FD4" w14:paraId="12DA6824"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7747CEB7" w14:textId="77777777" w:rsidR="001E304C" w:rsidRPr="00002FD4" w:rsidRDefault="001E304C" w:rsidP="00DE116A">
            <w:pPr>
              <w:rPr>
                <w:color w:val="000000" w:themeColor="text1"/>
                <w:sz w:val="16"/>
              </w:rPr>
            </w:pPr>
            <w:r w:rsidRPr="00002FD4">
              <w:rPr>
                <w:color w:val="000000" w:themeColor="text1"/>
                <w:sz w:val="16"/>
              </w:rPr>
              <w:t>Tramwaj PÓŁNOC WARSZAWY</w:t>
            </w:r>
          </w:p>
        </w:tc>
        <w:tc>
          <w:tcPr>
            <w:tcW w:w="1408" w:type="dxa"/>
          </w:tcPr>
          <w:p w14:paraId="18D22C0F" w14:textId="77777777" w:rsidR="001E304C" w:rsidRPr="00002FD4" w:rsidRDefault="001E304C" w:rsidP="00DE116A">
            <w:pPr>
              <w:jc w:val="lef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2 152 942 880</w:t>
            </w:r>
          </w:p>
          <w:p w14:paraId="51F0EC60"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17,1%</w:t>
            </w:r>
          </w:p>
        </w:tc>
        <w:tc>
          <w:tcPr>
            <w:tcW w:w="1586" w:type="dxa"/>
          </w:tcPr>
          <w:p w14:paraId="22A9102B"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112 684 </w:t>
            </w:r>
          </w:p>
          <w:p w14:paraId="4ADE0DAC"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Inwestycyjny –</w:t>
            </w:r>
            <w:r w:rsidRPr="00002FD4">
              <w:rPr>
                <w:color w:val="000000" w:themeColor="text1"/>
                <w:sz w:val="16"/>
              </w:rPr>
              <w:br/>
              <w:t xml:space="preserve"> 114 265</w:t>
            </w:r>
          </w:p>
        </w:tc>
        <w:tc>
          <w:tcPr>
            <w:tcW w:w="1558" w:type="dxa"/>
          </w:tcPr>
          <w:p w14:paraId="43BF6756"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895 727 647</w:t>
            </w:r>
          </w:p>
        </w:tc>
        <w:tc>
          <w:tcPr>
            <w:tcW w:w="1558" w:type="dxa"/>
          </w:tcPr>
          <w:p w14:paraId="20EC1EA4"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912 512 576</w:t>
            </w:r>
          </w:p>
        </w:tc>
        <w:tc>
          <w:tcPr>
            <w:tcW w:w="1470" w:type="dxa"/>
          </w:tcPr>
          <w:p w14:paraId="1D604F99" w14:textId="77777777" w:rsidR="001E304C" w:rsidRPr="00002FD4" w:rsidRDefault="001E304C"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TAK</w:t>
            </w:r>
          </w:p>
        </w:tc>
      </w:tr>
      <w:tr w:rsidR="001E304C" w:rsidRPr="00002FD4" w14:paraId="0DA1576A"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5FD9F276" w14:textId="77777777" w:rsidR="001E304C" w:rsidRPr="00002FD4" w:rsidRDefault="001E304C" w:rsidP="00DE116A">
            <w:pPr>
              <w:rPr>
                <w:color w:val="000000" w:themeColor="text1"/>
                <w:sz w:val="16"/>
              </w:rPr>
            </w:pPr>
            <w:r w:rsidRPr="00002FD4">
              <w:rPr>
                <w:color w:val="000000" w:themeColor="text1"/>
                <w:sz w:val="16"/>
              </w:rPr>
              <w:t>trasa WZ: CMentarz Wolski – dworzec wileński</w:t>
            </w:r>
          </w:p>
        </w:tc>
        <w:tc>
          <w:tcPr>
            <w:tcW w:w="1408" w:type="dxa"/>
          </w:tcPr>
          <w:p w14:paraId="47377A59"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43 123 720</w:t>
            </w:r>
          </w:p>
          <w:p w14:paraId="365D8E3C"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EIRR: 8,26%</w:t>
            </w:r>
          </w:p>
        </w:tc>
        <w:tc>
          <w:tcPr>
            <w:tcW w:w="1586" w:type="dxa"/>
          </w:tcPr>
          <w:p w14:paraId="3E266ED6"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103 031 </w:t>
            </w:r>
          </w:p>
          <w:p w14:paraId="6376D5D1"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103 062</w:t>
            </w:r>
          </w:p>
        </w:tc>
        <w:tc>
          <w:tcPr>
            <w:tcW w:w="1558" w:type="dxa"/>
          </w:tcPr>
          <w:p w14:paraId="60F5971A"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860 306 731</w:t>
            </w:r>
          </w:p>
        </w:tc>
        <w:tc>
          <w:tcPr>
            <w:tcW w:w="1558" w:type="dxa"/>
          </w:tcPr>
          <w:p w14:paraId="48B2BB07"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860 437 841</w:t>
            </w:r>
          </w:p>
        </w:tc>
        <w:tc>
          <w:tcPr>
            <w:tcW w:w="1470" w:type="dxa"/>
          </w:tcPr>
          <w:p w14:paraId="0BBDDBAE" w14:textId="77777777" w:rsidR="001E304C" w:rsidRPr="00002FD4" w:rsidRDefault="001E304C"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TAK</w:t>
            </w:r>
          </w:p>
        </w:tc>
      </w:tr>
      <w:tr w:rsidR="001E304C" w:rsidRPr="00002FD4" w14:paraId="6C67478B" w14:textId="77777777" w:rsidTr="00DE116A">
        <w:tc>
          <w:tcPr>
            <w:cnfStyle w:val="001000000000" w:firstRow="0" w:lastRow="0" w:firstColumn="1" w:lastColumn="0" w:oddVBand="0" w:evenVBand="0" w:oddHBand="0" w:evenHBand="0" w:firstRowFirstColumn="0" w:firstRowLastColumn="0" w:lastRowFirstColumn="0" w:lastRowLastColumn="0"/>
            <w:tcW w:w="9689" w:type="dxa"/>
            <w:gridSpan w:val="6"/>
          </w:tcPr>
          <w:p w14:paraId="01A32FA4" w14:textId="77777777" w:rsidR="001E304C" w:rsidRPr="00002FD4" w:rsidRDefault="001E304C" w:rsidP="00DE116A">
            <w:pPr>
              <w:rPr>
                <w:color w:val="000000" w:themeColor="text1"/>
              </w:rPr>
            </w:pPr>
            <w:r w:rsidRPr="00002FD4">
              <w:rPr>
                <w:color w:val="000000" w:themeColor="text1"/>
              </w:rPr>
              <w:t>Projekty perspektywy 2014-2020</w:t>
            </w:r>
          </w:p>
        </w:tc>
      </w:tr>
      <w:tr w:rsidR="001E304C" w:rsidRPr="00002FD4" w14:paraId="5A93072A"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51309CB4" w14:textId="77777777" w:rsidR="001E304C" w:rsidRPr="00002FD4" w:rsidRDefault="001E304C" w:rsidP="00DE116A">
            <w:pPr>
              <w:rPr>
                <w:color w:val="000000" w:themeColor="text1"/>
                <w:sz w:val="16"/>
              </w:rPr>
            </w:pPr>
            <w:r w:rsidRPr="00002FD4">
              <w:rPr>
                <w:color w:val="000000" w:themeColor="text1"/>
                <w:sz w:val="16"/>
              </w:rPr>
              <w:t xml:space="preserve">II liniA metra – </w:t>
            </w:r>
            <w:r w:rsidRPr="00002FD4">
              <w:rPr>
                <w:color w:val="000000" w:themeColor="text1"/>
                <w:sz w:val="16"/>
              </w:rPr>
              <w:br/>
              <w:t>etap II</w:t>
            </w:r>
          </w:p>
        </w:tc>
        <w:tc>
          <w:tcPr>
            <w:tcW w:w="1408" w:type="dxa"/>
            <w:vAlign w:val="top"/>
          </w:tcPr>
          <w:p w14:paraId="50F8787C"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ENPV: 1 358 424 437,27</w:t>
            </w:r>
          </w:p>
          <w:p w14:paraId="673317BE"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EIRR: 8,8%</w:t>
            </w:r>
          </w:p>
        </w:tc>
        <w:tc>
          <w:tcPr>
            <w:tcW w:w="1586" w:type="dxa"/>
          </w:tcPr>
          <w:p w14:paraId="2E22C70A"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157 636</w:t>
            </w:r>
          </w:p>
          <w:p w14:paraId="073A9D82"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Inwestycyjny –</w:t>
            </w:r>
            <w:r w:rsidRPr="00002FD4">
              <w:rPr>
                <w:color w:val="000000" w:themeColor="text1"/>
                <w:sz w:val="16"/>
              </w:rPr>
              <w:br/>
              <w:t>156 561</w:t>
            </w:r>
          </w:p>
        </w:tc>
        <w:tc>
          <w:tcPr>
            <w:tcW w:w="1558" w:type="dxa"/>
          </w:tcPr>
          <w:p w14:paraId="6EB933A7"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51FF8D0C"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53D2D71B"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r>
      <w:tr w:rsidR="001E304C" w:rsidRPr="00002FD4" w14:paraId="5CE9034B"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5586C6B9" w14:textId="77777777" w:rsidR="001E304C" w:rsidRPr="00002FD4" w:rsidRDefault="001E304C" w:rsidP="00DE116A">
            <w:pPr>
              <w:rPr>
                <w:color w:val="000000" w:themeColor="text1"/>
                <w:sz w:val="16"/>
              </w:rPr>
            </w:pPr>
            <w:r w:rsidRPr="00002FD4">
              <w:rPr>
                <w:color w:val="000000" w:themeColor="text1"/>
                <w:sz w:val="16"/>
              </w:rPr>
              <w:t xml:space="preserve">II linia metra – </w:t>
            </w:r>
            <w:r w:rsidRPr="00002FD4">
              <w:rPr>
                <w:color w:val="000000" w:themeColor="text1"/>
                <w:sz w:val="16"/>
              </w:rPr>
              <w:br/>
              <w:t>etap III</w:t>
            </w:r>
          </w:p>
        </w:tc>
        <w:tc>
          <w:tcPr>
            <w:tcW w:w="1408" w:type="dxa"/>
            <w:vAlign w:val="top"/>
          </w:tcPr>
          <w:p w14:paraId="2E8299B3"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ENPV: 1 271 773 006,78</w:t>
            </w:r>
          </w:p>
          <w:p w14:paraId="634F307B"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7,1%</w:t>
            </w:r>
          </w:p>
        </w:tc>
        <w:tc>
          <w:tcPr>
            <w:tcW w:w="1586" w:type="dxa"/>
          </w:tcPr>
          <w:p w14:paraId="7003D152"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Bazowy –</w:t>
            </w:r>
            <w:r w:rsidRPr="00002FD4">
              <w:rPr>
                <w:color w:val="000000" w:themeColor="text1"/>
                <w:sz w:val="16"/>
              </w:rPr>
              <w:br/>
              <w:t xml:space="preserve">213 423 </w:t>
            </w:r>
          </w:p>
          <w:p w14:paraId="5D82338B"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210 876</w:t>
            </w:r>
          </w:p>
        </w:tc>
        <w:tc>
          <w:tcPr>
            <w:tcW w:w="1558" w:type="dxa"/>
          </w:tcPr>
          <w:p w14:paraId="670045F8"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10891935"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7698BF1F"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r>
      <w:tr w:rsidR="001E304C" w:rsidRPr="00002FD4" w14:paraId="1E3C9E2A"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723037F9" w14:textId="77777777" w:rsidR="001E304C" w:rsidRPr="00002FD4" w:rsidRDefault="001E304C" w:rsidP="00DE116A">
            <w:pPr>
              <w:rPr>
                <w:color w:val="000000" w:themeColor="text1"/>
                <w:sz w:val="16"/>
              </w:rPr>
            </w:pPr>
            <w:r w:rsidRPr="00002FD4">
              <w:rPr>
                <w:color w:val="000000" w:themeColor="text1"/>
                <w:sz w:val="16"/>
              </w:rPr>
              <w:t>Tramwaj Wilanów</w:t>
            </w:r>
          </w:p>
        </w:tc>
        <w:tc>
          <w:tcPr>
            <w:tcW w:w="1408" w:type="dxa"/>
            <w:vAlign w:val="top"/>
          </w:tcPr>
          <w:p w14:paraId="3EE04298"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617 301 850</w:t>
            </w:r>
          </w:p>
          <w:p w14:paraId="3C6793DD"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EIRR: 10,0%</w:t>
            </w:r>
          </w:p>
        </w:tc>
        <w:tc>
          <w:tcPr>
            <w:tcW w:w="1586" w:type="dxa"/>
          </w:tcPr>
          <w:p w14:paraId="6CA06C89"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208 914 </w:t>
            </w:r>
          </w:p>
          <w:p w14:paraId="6170A925"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210 886</w:t>
            </w:r>
          </w:p>
        </w:tc>
        <w:tc>
          <w:tcPr>
            <w:tcW w:w="1558" w:type="dxa"/>
          </w:tcPr>
          <w:p w14:paraId="3A15E781"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755F0B63"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5A44D8C3"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r>
      <w:tr w:rsidR="001E304C" w:rsidRPr="00002FD4" w14:paraId="053B0753"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168C6543" w14:textId="77777777" w:rsidR="001E304C" w:rsidRPr="00002FD4" w:rsidRDefault="001E304C" w:rsidP="00DE116A">
            <w:pPr>
              <w:rPr>
                <w:color w:val="000000" w:themeColor="text1"/>
                <w:sz w:val="16"/>
              </w:rPr>
            </w:pPr>
            <w:r w:rsidRPr="00002FD4">
              <w:rPr>
                <w:color w:val="000000" w:themeColor="text1"/>
                <w:sz w:val="16"/>
              </w:rPr>
              <w:lastRenderedPageBreak/>
              <w:t>budowa wybranych odcinków tras tramwajowych</w:t>
            </w:r>
          </w:p>
        </w:tc>
        <w:tc>
          <w:tcPr>
            <w:tcW w:w="1408" w:type="dxa"/>
            <w:vAlign w:val="top"/>
          </w:tcPr>
          <w:p w14:paraId="23157111"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31 144 100</w:t>
            </w:r>
          </w:p>
          <w:p w14:paraId="089F55B9"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6,2%</w:t>
            </w:r>
          </w:p>
        </w:tc>
        <w:tc>
          <w:tcPr>
            <w:tcW w:w="1586" w:type="dxa"/>
          </w:tcPr>
          <w:p w14:paraId="63A844B1"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81 843 </w:t>
            </w:r>
          </w:p>
          <w:p w14:paraId="496013C4"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81 919</w:t>
            </w:r>
          </w:p>
        </w:tc>
        <w:tc>
          <w:tcPr>
            <w:tcW w:w="1558" w:type="dxa"/>
          </w:tcPr>
          <w:p w14:paraId="05E31B67"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749EDFAF"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0DF82F4B"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r>
      <w:tr w:rsidR="001E304C" w:rsidRPr="00002FD4" w14:paraId="240E54D4"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9" w:type="dxa"/>
          </w:tcPr>
          <w:p w14:paraId="44949BAC" w14:textId="77777777" w:rsidR="001E304C" w:rsidRPr="00002FD4" w:rsidRDefault="001E304C" w:rsidP="00DE116A">
            <w:pPr>
              <w:rPr>
                <w:color w:val="000000" w:themeColor="text1"/>
                <w:sz w:val="16"/>
              </w:rPr>
            </w:pPr>
            <w:r w:rsidRPr="00002FD4">
              <w:rPr>
                <w:color w:val="000000" w:themeColor="text1"/>
                <w:sz w:val="16"/>
              </w:rPr>
              <w:t>Autobusy elektryczne</w:t>
            </w:r>
          </w:p>
        </w:tc>
        <w:tc>
          <w:tcPr>
            <w:tcW w:w="1408" w:type="dxa"/>
            <w:vAlign w:val="top"/>
          </w:tcPr>
          <w:p w14:paraId="1424E8E2"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ENPV: 111 508 176,66</w:t>
            </w:r>
          </w:p>
          <w:p w14:paraId="6706DFF2" w14:textId="77777777" w:rsidR="001E304C" w:rsidRPr="00002FD4" w:rsidRDefault="001E304C" w:rsidP="00DE116A">
            <w:pPr>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EIRR: 8,2%</w:t>
            </w:r>
          </w:p>
        </w:tc>
        <w:tc>
          <w:tcPr>
            <w:tcW w:w="1586" w:type="dxa"/>
          </w:tcPr>
          <w:p w14:paraId="0DCA2973"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208 981 </w:t>
            </w:r>
          </w:p>
          <w:p w14:paraId="1FA4CEC9"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208 904</w:t>
            </w:r>
          </w:p>
        </w:tc>
        <w:tc>
          <w:tcPr>
            <w:tcW w:w="1558" w:type="dxa"/>
          </w:tcPr>
          <w:p w14:paraId="109DBCBB"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0E5DFEE5"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47084A11" w14:textId="77777777" w:rsidR="001E304C" w:rsidRPr="00002FD4" w:rsidRDefault="001E304C" w:rsidP="00DE116A">
            <w:pPr>
              <w:jc w:val="right"/>
              <w:cnfStyle w:val="000000100000" w:firstRow="0" w:lastRow="0" w:firstColumn="0" w:lastColumn="0" w:oddVBand="0" w:evenVBand="0" w:oddHBand="1" w:evenHBand="0" w:firstRowFirstColumn="0" w:firstRowLastColumn="0" w:lastRowFirstColumn="0" w:lastRowLastColumn="0"/>
              <w:rPr>
                <w:color w:val="000000" w:themeColor="text1"/>
                <w:sz w:val="16"/>
              </w:rPr>
            </w:pPr>
            <w:r w:rsidRPr="00002FD4">
              <w:rPr>
                <w:color w:val="000000" w:themeColor="text1"/>
                <w:sz w:val="16"/>
              </w:rPr>
              <w:t>n/d</w:t>
            </w:r>
          </w:p>
        </w:tc>
      </w:tr>
      <w:tr w:rsidR="001E304C" w:rsidRPr="00002FD4" w14:paraId="441922AA" w14:textId="77777777" w:rsidTr="00DE116A">
        <w:tc>
          <w:tcPr>
            <w:cnfStyle w:val="001000000000" w:firstRow="0" w:lastRow="0" w:firstColumn="1" w:lastColumn="0" w:oddVBand="0" w:evenVBand="0" w:oddHBand="0" w:evenHBand="0" w:firstRowFirstColumn="0" w:firstRowLastColumn="0" w:lastRowFirstColumn="0" w:lastRowLastColumn="0"/>
            <w:tcW w:w="2109" w:type="dxa"/>
          </w:tcPr>
          <w:p w14:paraId="54D91D02" w14:textId="77777777" w:rsidR="001E304C" w:rsidRPr="00002FD4" w:rsidRDefault="001E304C" w:rsidP="00DE116A">
            <w:pPr>
              <w:rPr>
                <w:color w:val="000000" w:themeColor="text1"/>
                <w:sz w:val="16"/>
              </w:rPr>
            </w:pPr>
            <w:r w:rsidRPr="00002FD4">
              <w:rPr>
                <w:color w:val="000000" w:themeColor="text1"/>
                <w:sz w:val="16"/>
              </w:rPr>
              <w:t>tramwaj Gocław</w:t>
            </w:r>
          </w:p>
        </w:tc>
        <w:tc>
          <w:tcPr>
            <w:tcW w:w="1408" w:type="dxa"/>
            <w:vAlign w:val="top"/>
          </w:tcPr>
          <w:p w14:paraId="283AC752"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ENPV: </w:t>
            </w:r>
            <w:r w:rsidRPr="00002FD4">
              <w:rPr>
                <w:color w:val="000000" w:themeColor="text1"/>
                <w:sz w:val="16"/>
              </w:rPr>
              <w:br/>
              <w:t>297 010 250</w:t>
            </w:r>
          </w:p>
          <w:p w14:paraId="71FD5659" w14:textId="77777777" w:rsidR="001E304C" w:rsidRPr="00002FD4" w:rsidRDefault="001E304C" w:rsidP="00DE116A">
            <w:pPr>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EIRR: 15,4%</w:t>
            </w:r>
          </w:p>
        </w:tc>
        <w:tc>
          <w:tcPr>
            <w:tcW w:w="1586" w:type="dxa"/>
          </w:tcPr>
          <w:p w14:paraId="1EE69210"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Bazowy – </w:t>
            </w:r>
            <w:r w:rsidRPr="00002FD4">
              <w:rPr>
                <w:color w:val="000000" w:themeColor="text1"/>
                <w:sz w:val="16"/>
              </w:rPr>
              <w:br/>
              <w:t xml:space="preserve">211 140 </w:t>
            </w:r>
          </w:p>
          <w:p w14:paraId="0E7E41DD"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 xml:space="preserve">Inwestycyjny – </w:t>
            </w:r>
            <w:r w:rsidRPr="00002FD4">
              <w:rPr>
                <w:color w:val="000000" w:themeColor="text1"/>
                <w:sz w:val="16"/>
              </w:rPr>
              <w:br/>
              <w:t>210 886</w:t>
            </w:r>
          </w:p>
        </w:tc>
        <w:tc>
          <w:tcPr>
            <w:tcW w:w="1558" w:type="dxa"/>
          </w:tcPr>
          <w:p w14:paraId="1CB16ACB"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558" w:type="dxa"/>
          </w:tcPr>
          <w:p w14:paraId="5D5AA75D"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c>
          <w:tcPr>
            <w:tcW w:w="1470" w:type="dxa"/>
          </w:tcPr>
          <w:p w14:paraId="79D38EC5" w14:textId="77777777" w:rsidR="001E304C" w:rsidRPr="00002FD4" w:rsidRDefault="001E304C" w:rsidP="00DE116A">
            <w:pPr>
              <w:jc w:val="right"/>
              <w:cnfStyle w:val="000000000000" w:firstRow="0" w:lastRow="0" w:firstColumn="0" w:lastColumn="0" w:oddVBand="0" w:evenVBand="0" w:oddHBand="0" w:evenHBand="0" w:firstRowFirstColumn="0" w:firstRowLastColumn="0" w:lastRowFirstColumn="0" w:lastRowLastColumn="0"/>
              <w:rPr>
                <w:color w:val="000000" w:themeColor="text1"/>
                <w:sz w:val="16"/>
              </w:rPr>
            </w:pPr>
            <w:r w:rsidRPr="00002FD4">
              <w:rPr>
                <w:color w:val="000000" w:themeColor="text1"/>
                <w:sz w:val="16"/>
              </w:rPr>
              <w:t>n/d</w:t>
            </w:r>
          </w:p>
        </w:tc>
      </w:tr>
    </w:tbl>
    <w:p w14:paraId="13539A6B" w14:textId="77777777" w:rsidR="001E304C" w:rsidRPr="00002FD4" w:rsidRDefault="001E304C" w:rsidP="001E304C">
      <w:pPr>
        <w:pStyle w:val="rdo"/>
      </w:pPr>
      <w:r w:rsidRPr="00002FD4">
        <w:t>Źródło: opracowanie własne.</w:t>
      </w:r>
    </w:p>
    <w:bookmarkEnd w:id="191"/>
    <w:bookmarkEnd w:id="192"/>
    <w:p w14:paraId="77D4B78B" w14:textId="3C255E5F" w:rsidR="001575E4" w:rsidRDefault="001575E4" w:rsidP="001575E4">
      <w:pPr>
        <w:rPr>
          <w:color w:val="000000" w:themeColor="text1"/>
        </w:rPr>
      </w:pPr>
      <w:r>
        <w:rPr>
          <w:color w:val="000000" w:themeColor="text1"/>
        </w:rPr>
        <w:t xml:space="preserve">W takiej sytuacji przeprowadzona AKK </w:t>
      </w:r>
      <w:r>
        <w:rPr>
          <w:i/>
          <w:iCs/>
          <w:color w:val="000000" w:themeColor="text1"/>
        </w:rPr>
        <w:t>ex</w:t>
      </w:r>
      <w:r w:rsidR="00173344">
        <w:rPr>
          <w:i/>
          <w:iCs/>
          <w:color w:val="000000" w:themeColor="text1"/>
        </w:rPr>
        <w:t xml:space="preserve"> </w:t>
      </w:r>
      <w:r>
        <w:rPr>
          <w:i/>
          <w:iCs/>
          <w:color w:val="000000" w:themeColor="text1"/>
        </w:rPr>
        <w:t xml:space="preserve">post </w:t>
      </w:r>
      <w:r w:rsidR="00CA26B5">
        <w:rPr>
          <w:i/>
          <w:iCs/>
          <w:color w:val="000000" w:themeColor="text1"/>
        </w:rPr>
        <w:t>(</w:t>
      </w:r>
      <w:r w:rsidR="00CA26B5">
        <w:rPr>
          <w:i/>
          <w:iCs/>
          <w:color w:val="000000" w:themeColor="text1"/>
        </w:rPr>
        <w:fldChar w:fldCharType="begin"/>
      </w:r>
      <w:r w:rsidR="00CA26B5">
        <w:rPr>
          <w:i/>
          <w:iCs/>
          <w:color w:val="000000" w:themeColor="text1"/>
        </w:rPr>
        <w:instrText xml:space="preserve"> REF Załącznik15 \h </w:instrText>
      </w:r>
      <w:r w:rsidR="00CA26B5">
        <w:rPr>
          <w:i/>
          <w:iCs/>
          <w:color w:val="000000" w:themeColor="text1"/>
        </w:rPr>
      </w:r>
      <w:r w:rsidR="00CA26B5">
        <w:rPr>
          <w:i/>
          <w:iCs/>
          <w:color w:val="000000" w:themeColor="text1"/>
        </w:rPr>
        <w:fldChar w:fldCharType="separate"/>
      </w:r>
      <w:r w:rsidR="00C93FD7">
        <w:rPr>
          <w:color w:val="000000" w:themeColor="text1"/>
        </w:rPr>
        <w:t>Załącznik 15</w:t>
      </w:r>
      <w:r w:rsidR="00CA26B5">
        <w:rPr>
          <w:i/>
          <w:iCs/>
          <w:color w:val="000000" w:themeColor="text1"/>
        </w:rPr>
        <w:fldChar w:fldCharType="end"/>
      </w:r>
      <w:r w:rsidR="00CA26B5">
        <w:rPr>
          <w:i/>
          <w:iCs/>
          <w:color w:val="000000" w:themeColor="text1"/>
        </w:rPr>
        <w:t xml:space="preserve">) </w:t>
      </w:r>
      <w:r>
        <w:rPr>
          <w:color w:val="000000" w:themeColor="text1"/>
        </w:rPr>
        <w:t>była oparta na proporcjonalnym skorygowaniu w</w:t>
      </w:r>
      <w:r w:rsidR="00EA4770">
        <w:rPr>
          <w:color w:val="000000" w:themeColor="text1"/>
        </w:rPr>
        <w:t> </w:t>
      </w:r>
      <w:r>
        <w:rPr>
          <w:color w:val="000000" w:themeColor="text1"/>
        </w:rPr>
        <w:t xml:space="preserve">AKK </w:t>
      </w:r>
      <w:r>
        <w:rPr>
          <w:i/>
          <w:iCs/>
          <w:color w:val="000000" w:themeColor="text1"/>
        </w:rPr>
        <w:t>ex</w:t>
      </w:r>
      <w:r w:rsidR="00173344">
        <w:rPr>
          <w:i/>
          <w:iCs/>
          <w:color w:val="000000" w:themeColor="text1"/>
        </w:rPr>
        <w:t xml:space="preserve"> </w:t>
      </w:r>
      <w:proofErr w:type="spellStart"/>
      <w:r>
        <w:rPr>
          <w:i/>
          <w:iCs/>
          <w:color w:val="000000" w:themeColor="text1"/>
        </w:rPr>
        <w:t>ante</w:t>
      </w:r>
      <w:proofErr w:type="spellEnd"/>
      <w:r>
        <w:rPr>
          <w:i/>
          <w:iCs/>
          <w:color w:val="000000" w:themeColor="text1"/>
        </w:rPr>
        <w:t xml:space="preserve"> </w:t>
      </w:r>
      <w:r>
        <w:rPr>
          <w:color w:val="000000" w:themeColor="text1"/>
        </w:rPr>
        <w:t>dwóch kluczowych zmiennych: korzyści ekonomicznych i nakładów finansowych</w:t>
      </w:r>
      <w:r w:rsidR="00CA26B5">
        <w:rPr>
          <w:color w:val="000000" w:themeColor="text1"/>
        </w:rPr>
        <w:t xml:space="preserve"> </w:t>
      </w:r>
      <w:r>
        <w:rPr>
          <w:color w:val="000000" w:themeColor="text1"/>
        </w:rPr>
        <w:t>– proporcjonalnie odpowiednio do liczby pasażerów do ostatecznej wartości całkowitej projektu, wykazanej w bazie KSI-SIMIK, skorygowanej o efekty fiskalne.</w:t>
      </w:r>
    </w:p>
    <w:p w14:paraId="7FB79BB1" w14:textId="5BB66BB8" w:rsidR="00311B51" w:rsidRDefault="001575E4" w:rsidP="001575E4">
      <w:pPr>
        <w:rPr>
          <w:color w:val="000000" w:themeColor="text1"/>
        </w:rPr>
      </w:pPr>
      <w:r>
        <w:rPr>
          <w:color w:val="000000" w:themeColor="text1"/>
        </w:rPr>
        <w:t xml:space="preserve">Wyniki analizy wskazały, że wszystkie projekty osiągnęły pozytywne wskaźniki stosunków korzyści do kosztu, niemniej jednak aż 5 z 6 projektów wymagało nakładów zwiększonych w stosunku do pierwotnych założeń, zaś w 3 przypadkach – zwiększenie to wyniosło ponad 20% (por. </w:t>
      </w:r>
      <w:r>
        <w:rPr>
          <w:color w:val="000000" w:themeColor="text1"/>
        </w:rPr>
        <w:fldChar w:fldCharType="begin"/>
      </w:r>
      <w:r>
        <w:rPr>
          <w:color w:val="000000" w:themeColor="text1"/>
        </w:rPr>
        <w:instrText xml:space="preserve"> REF _Ref26182263 \h </w:instrText>
      </w:r>
      <w:r>
        <w:rPr>
          <w:color w:val="000000" w:themeColor="text1"/>
        </w:rPr>
      </w:r>
      <w:r>
        <w:rPr>
          <w:color w:val="000000" w:themeColor="text1"/>
        </w:rPr>
        <w:fldChar w:fldCharType="separate"/>
      </w:r>
      <w:r w:rsidR="00C93FD7" w:rsidRPr="00002FD4">
        <w:t xml:space="preserve">Tabela </w:t>
      </w:r>
      <w:r w:rsidR="00C93FD7">
        <w:rPr>
          <w:noProof/>
        </w:rPr>
        <w:t>18</w:t>
      </w:r>
      <w:r>
        <w:rPr>
          <w:color w:val="000000" w:themeColor="text1"/>
        </w:rPr>
        <w:fldChar w:fldCharType="end"/>
      </w:r>
      <w:r>
        <w:rPr>
          <w:color w:val="000000" w:themeColor="text1"/>
        </w:rPr>
        <w:t>).</w:t>
      </w:r>
    </w:p>
    <w:p w14:paraId="1FC436AE" w14:textId="425C90EA" w:rsidR="001575E4" w:rsidRPr="00002FD4" w:rsidRDefault="001575E4" w:rsidP="001575E4">
      <w:pPr>
        <w:pStyle w:val="Legenda"/>
      </w:pPr>
      <w:bookmarkStart w:id="194" w:name="_Ref26182263"/>
      <w:bookmarkStart w:id="195" w:name="_Ref26182260"/>
      <w:bookmarkStart w:id="196" w:name="_Toc27125376"/>
      <w:r w:rsidRPr="00002FD4">
        <w:t xml:space="preserve">Tabela </w:t>
      </w:r>
      <w:r>
        <w:rPr>
          <w:noProof/>
        </w:rPr>
        <w:fldChar w:fldCharType="begin"/>
      </w:r>
      <w:r>
        <w:rPr>
          <w:noProof/>
        </w:rPr>
        <w:instrText xml:space="preserve"> SEQ Tabela \* ARABIC </w:instrText>
      </w:r>
      <w:r>
        <w:rPr>
          <w:noProof/>
        </w:rPr>
        <w:fldChar w:fldCharType="separate"/>
      </w:r>
      <w:r w:rsidR="00C93FD7">
        <w:rPr>
          <w:noProof/>
        </w:rPr>
        <w:t>18</w:t>
      </w:r>
      <w:r>
        <w:rPr>
          <w:noProof/>
        </w:rPr>
        <w:fldChar w:fldCharType="end"/>
      </w:r>
      <w:bookmarkEnd w:id="194"/>
      <w:r w:rsidRPr="00002FD4">
        <w:t xml:space="preserve">. </w:t>
      </w:r>
      <w:r>
        <w:t>Wyniki AKK ex</w:t>
      </w:r>
      <w:r w:rsidR="00173344">
        <w:t xml:space="preserve"> </w:t>
      </w:r>
      <w:r>
        <w:t>post</w:t>
      </w:r>
      <w:bookmarkEnd w:id="195"/>
      <w:bookmarkEnd w:id="196"/>
    </w:p>
    <w:tbl>
      <w:tblPr>
        <w:tblStyle w:val="WolanskiCorpTabela4"/>
        <w:tblW w:w="5000" w:type="pct"/>
        <w:tblLayout w:type="fixed"/>
        <w:tblLook w:val="04A0" w:firstRow="1" w:lastRow="0" w:firstColumn="1" w:lastColumn="0" w:noHBand="0" w:noVBand="1"/>
      </w:tblPr>
      <w:tblGrid>
        <w:gridCol w:w="1561"/>
        <w:gridCol w:w="1462"/>
        <w:gridCol w:w="1511"/>
        <w:gridCol w:w="1511"/>
        <w:gridCol w:w="1511"/>
        <w:gridCol w:w="1515"/>
      </w:tblGrid>
      <w:tr w:rsidR="001575E4" w:rsidRPr="00002FD4" w14:paraId="05A99836" w14:textId="77777777" w:rsidTr="00DE11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457273AC" w14:textId="77777777" w:rsidR="001575E4" w:rsidRPr="00002FD4" w:rsidRDefault="001575E4" w:rsidP="00DE116A">
            <w:pPr>
              <w:spacing w:before="120"/>
              <w:rPr>
                <w:color w:val="000000" w:themeColor="text1"/>
                <w:sz w:val="18"/>
              </w:rPr>
            </w:pPr>
            <w:r w:rsidRPr="00002FD4">
              <w:rPr>
                <w:color w:val="000000" w:themeColor="text1"/>
                <w:sz w:val="18"/>
              </w:rPr>
              <w:t>Inwestycja</w:t>
            </w:r>
          </w:p>
        </w:tc>
        <w:tc>
          <w:tcPr>
            <w:tcW w:w="806" w:type="pct"/>
          </w:tcPr>
          <w:p w14:paraId="52CC6BBE" w14:textId="3339C957" w:rsidR="001575E4" w:rsidRPr="00002FD4"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Pr>
                <w:color w:val="000000" w:themeColor="text1"/>
                <w:sz w:val="18"/>
              </w:rPr>
              <w:t xml:space="preserve">B/C </w:t>
            </w:r>
            <w:r w:rsidRPr="00173344">
              <w:rPr>
                <w:i/>
                <w:color w:val="000000" w:themeColor="text1"/>
                <w:sz w:val="18"/>
              </w:rPr>
              <w:t>ex</w:t>
            </w:r>
            <w:r w:rsidR="00173344" w:rsidRPr="00173344">
              <w:rPr>
                <w:i/>
                <w:color w:val="000000" w:themeColor="text1"/>
                <w:sz w:val="18"/>
              </w:rPr>
              <w:t xml:space="preserve"> </w:t>
            </w:r>
            <w:r w:rsidRPr="00173344">
              <w:rPr>
                <w:i/>
                <w:color w:val="000000" w:themeColor="text1"/>
                <w:sz w:val="18"/>
              </w:rPr>
              <w:t>ante</w:t>
            </w:r>
          </w:p>
        </w:tc>
        <w:tc>
          <w:tcPr>
            <w:tcW w:w="833" w:type="pct"/>
          </w:tcPr>
          <w:p w14:paraId="074E4533" w14:textId="124C20D0" w:rsidR="001575E4" w:rsidRPr="00002FD4"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Pr>
                <w:color w:val="000000" w:themeColor="text1"/>
                <w:sz w:val="18"/>
              </w:rPr>
              <w:t xml:space="preserve">B/C </w:t>
            </w:r>
            <w:r w:rsidRPr="00173344">
              <w:rPr>
                <w:i/>
                <w:color w:val="000000" w:themeColor="text1"/>
                <w:sz w:val="18"/>
              </w:rPr>
              <w:t>Ex</w:t>
            </w:r>
            <w:r w:rsidR="00173344" w:rsidRPr="00173344">
              <w:rPr>
                <w:i/>
                <w:color w:val="000000" w:themeColor="text1"/>
                <w:sz w:val="18"/>
              </w:rPr>
              <w:t xml:space="preserve"> </w:t>
            </w:r>
            <w:r w:rsidRPr="00173344">
              <w:rPr>
                <w:i/>
                <w:color w:val="000000" w:themeColor="text1"/>
                <w:sz w:val="18"/>
              </w:rPr>
              <w:t>post</w:t>
            </w:r>
          </w:p>
        </w:tc>
        <w:tc>
          <w:tcPr>
            <w:tcW w:w="833" w:type="pct"/>
          </w:tcPr>
          <w:p w14:paraId="60C15B97" w14:textId="252EC140" w:rsidR="001575E4" w:rsidRPr="0093760E"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lang w:val="de-DE"/>
              </w:rPr>
            </w:pPr>
            <w:r w:rsidRPr="0093760E">
              <w:rPr>
                <w:color w:val="000000" w:themeColor="text1"/>
                <w:sz w:val="18"/>
                <w:lang w:val="de-DE"/>
              </w:rPr>
              <w:t xml:space="preserve">Npv </w:t>
            </w:r>
            <w:r w:rsidRPr="00173344">
              <w:rPr>
                <w:i/>
                <w:color w:val="000000" w:themeColor="text1"/>
                <w:sz w:val="18"/>
                <w:lang w:val="de-DE"/>
              </w:rPr>
              <w:t>ex</w:t>
            </w:r>
            <w:r w:rsidR="00173344" w:rsidRPr="00173344">
              <w:rPr>
                <w:i/>
                <w:color w:val="000000" w:themeColor="text1"/>
                <w:sz w:val="18"/>
                <w:lang w:val="de-DE"/>
              </w:rPr>
              <w:t xml:space="preserve"> </w:t>
            </w:r>
            <w:r w:rsidRPr="00173344">
              <w:rPr>
                <w:i/>
                <w:color w:val="000000" w:themeColor="text1"/>
                <w:sz w:val="18"/>
                <w:lang w:val="de-DE"/>
              </w:rPr>
              <w:t>ante</w:t>
            </w:r>
            <w:r w:rsidRPr="0093760E">
              <w:rPr>
                <w:color w:val="000000" w:themeColor="text1"/>
                <w:sz w:val="18"/>
                <w:lang w:val="de-DE"/>
              </w:rPr>
              <w:t xml:space="preserve"> [m</w:t>
            </w:r>
            <w:r>
              <w:rPr>
                <w:color w:val="000000" w:themeColor="text1"/>
                <w:sz w:val="18"/>
                <w:lang w:val="de-DE"/>
              </w:rPr>
              <w:t>ln pln]</w:t>
            </w:r>
          </w:p>
        </w:tc>
        <w:tc>
          <w:tcPr>
            <w:tcW w:w="833" w:type="pct"/>
          </w:tcPr>
          <w:p w14:paraId="74E3942E" w14:textId="70661E51" w:rsidR="001575E4" w:rsidRPr="00F52A08"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b w:val="0"/>
                <w:caps w:val="0"/>
                <w:color w:val="000000" w:themeColor="text1"/>
                <w:sz w:val="18"/>
                <w:lang w:val="en-GB"/>
              </w:rPr>
            </w:pPr>
            <w:r w:rsidRPr="00F52A08">
              <w:rPr>
                <w:color w:val="000000" w:themeColor="text1"/>
                <w:sz w:val="18"/>
                <w:lang w:val="en-GB"/>
              </w:rPr>
              <w:t xml:space="preserve">Npv </w:t>
            </w:r>
            <w:r w:rsidRPr="00F52A08">
              <w:rPr>
                <w:i/>
                <w:color w:val="000000" w:themeColor="text1"/>
                <w:sz w:val="18"/>
                <w:lang w:val="en-GB"/>
              </w:rPr>
              <w:t>Ex</w:t>
            </w:r>
            <w:r w:rsidR="00173344" w:rsidRPr="00F52A08">
              <w:rPr>
                <w:i/>
                <w:color w:val="000000" w:themeColor="text1"/>
                <w:sz w:val="18"/>
                <w:lang w:val="en-GB"/>
              </w:rPr>
              <w:t xml:space="preserve"> </w:t>
            </w:r>
            <w:r w:rsidRPr="00F52A08">
              <w:rPr>
                <w:i/>
                <w:color w:val="000000" w:themeColor="text1"/>
                <w:sz w:val="18"/>
                <w:lang w:val="en-GB"/>
              </w:rPr>
              <w:t>Post</w:t>
            </w:r>
          </w:p>
          <w:p w14:paraId="59B8B13B" w14:textId="77777777" w:rsidR="001575E4" w:rsidRPr="00F52A08"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lang w:val="en-GB"/>
              </w:rPr>
            </w:pPr>
            <w:r w:rsidRPr="00F52A08">
              <w:rPr>
                <w:color w:val="000000" w:themeColor="text1"/>
                <w:sz w:val="18"/>
                <w:lang w:val="en-GB"/>
              </w:rPr>
              <w:t>[MLN pln]</w:t>
            </w:r>
          </w:p>
        </w:tc>
        <w:tc>
          <w:tcPr>
            <w:tcW w:w="835" w:type="pct"/>
          </w:tcPr>
          <w:p w14:paraId="1D73FC7A" w14:textId="77777777" w:rsidR="001575E4" w:rsidRPr="00002FD4" w:rsidRDefault="001575E4" w:rsidP="00DE116A">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sz w:val="18"/>
              </w:rPr>
            </w:pPr>
            <w:r>
              <w:rPr>
                <w:color w:val="000000" w:themeColor="text1"/>
                <w:sz w:val="18"/>
              </w:rPr>
              <w:t>Wielkosć wykonania nakładów (%)</w:t>
            </w:r>
          </w:p>
        </w:tc>
      </w:tr>
      <w:tr w:rsidR="001575E4" w:rsidRPr="00002FD4" w14:paraId="6A29334C"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5640F275" w14:textId="77777777" w:rsidR="001575E4" w:rsidRPr="00002FD4" w:rsidRDefault="001575E4" w:rsidP="00DE116A">
            <w:pPr>
              <w:rPr>
                <w:color w:val="000000" w:themeColor="text1"/>
                <w:sz w:val="16"/>
              </w:rPr>
            </w:pPr>
            <w:r w:rsidRPr="00002FD4">
              <w:rPr>
                <w:color w:val="000000" w:themeColor="text1"/>
                <w:sz w:val="16"/>
              </w:rPr>
              <w:t>II linia metra - Centralny odcinek</w:t>
            </w:r>
          </w:p>
        </w:tc>
        <w:tc>
          <w:tcPr>
            <w:tcW w:w="806" w:type="pct"/>
          </w:tcPr>
          <w:p w14:paraId="14A25E1B"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1,30</w:t>
            </w:r>
          </w:p>
        </w:tc>
        <w:tc>
          <w:tcPr>
            <w:tcW w:w="833" w:type="pct"/>
          </w:tcPr>
          <w:p w14:paraId="3400DEFE"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1,13</w:t>
            </w:r>
          </w:p>
        </w:tc>
        <w:tc>
          <w:tcPr>
            <w:tcW w:w="833" w:type="pct"/>
          </w:tcPr>
          <w:p w14:paraId="20777E0F"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1 555</w:t>
            </w:r>
          </w:p>
        </w:tc>
        <w:tc>
          <w:tcPr>
            <w:tcW w:w="833" w:type="pct"/>
          </w:tcPr>
          <w:p w14:paraId="232BB960"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763</w:t>
            </w:r>
          </w:p>
        </w:tc>
        <w:tc>
          <w:tcPr>
            <w:tcW w:w="835" w:type="pct"/>
          </w:tcPr>
          <w:p w14:paraId="5F736CFE"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122%</w:t>
            </w:r>
          </w:p>
        </w:tc>
      </w:tr>
      <w:tr w:rsidR="001575E4" w:rsidRPr="00002FD4" w14:paraId="105FE2FF" w14:textId="77777777" w:rsidTr="00DE116A">
        <w:tc>
          <w:tcPr>
            <w:cnfStyle w:val="001000000000" w:firstRow="0" w:lastRow="0" w:firstColumn="1" w:lastColumn="0" w:oddVBand="0" w:evenVBand="0" w:oddHBand="0" w:evenHBand="0" w:firstRowFirstColumn="0" w:firstRowLastColumn="0" w:lastRowFirstColumn="0" w:lastRowLastColumn="0"/>
            <w:tcW w:w="860" w:type="pct"/>
          </w:tcPr>
          <w:p w14:paraId="49A1E172" w14:textId="77777777" w:rsidR="001575E4" w:rsidRPr="00002FD4" w:rsidRDefault="001575E4" w:rsidP="00DE116A">
            <w:pPr>
              <w:rPr>
                <w:color w:val="000000" w:themeColor="text1"/>
                <w:sz w:val="16"/>
              </w:rPr>
            </w:pPr>
            <w:r w:rsidRPr="00002FD4">
              <w:rPr>
                <w:color w:val="000000" w:themeColor="text1"/>
                <w:sz w:val="16"/>
              </w:rPr>
              <w:t>Tramwaj dworzec Wileński – rondo Waszyngtona</w:t>
            </w:r>
          </w:p>
        </w:tc>
        <w:tc>
          <w:tcPr>
            <w:tcW w:w="806" w:type="pct"/>
          </w:tcPr>
          <w:p w14:paraId="6252AF66"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2,25</w:t>
            </w:r>
          </w:p>
        </w:tc>
        <w:tc>
          <w:tcPr>
            <w:tcW w:w="833" w:type="pct"/>
          </w:tcPr>
          <w:p w14:paraId="191FC5DB"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2,09</w:t>
            </w:r>
          </w:p>
        </w:tc>
        <w:tc>
          <w:tcPr>
            <w:tcW w:w="833" w:type="pct"/>
          </w:tcPr>
          <w:p w14:paraId="72F62850"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336</w:t>
            </w:r>
          </w:p>
        </w:tc>
        <w:tc>
          <w:tcPr>
            <w:tcW w:w="833" w:type="pct"/>
          </w:tcPr>
          <w:p w14:paraId="68758962"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321</w:t>
            </w:r>
          </w:p>
        </w:tc>
        <w:tc>
          <w:tcPr>
            <w:tcW w:w="835" w:type="pct"/>
          </w:tcPr>
          <w:p w14:paraId="00246C6B"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111%</w:t>
            </w:r>
          </w:p>
        </w:tc>
      </w:tr>
      <w:tr w:rsidR="001575E4" w:rsidRPr="00002FD4" w14:paraId="68C053C6"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499404DD" w14:textId="635D0502" w:rsidR="001575E4" w:rsidRPr="00002FD4" w:rsidRDefault="001575E4" w:rsidP="00DE116A">
            <w:pPr>
              <w:rPr>
                <w:b w:val="0"/>
                <w:caps w:val="0"/>
                <w:color w:val="000000" w:themeColor="text1"/>
                <w:sz w:val="16"/>
              </w:rPr>
            </w:pPr>
            <w:r w:rsidRPr="00002FD4">
              <w:rPr>
                <w:color w:val="000000" w:themeColor="text1"/>
                <w:sz w:val="16"/>
              </w:rPr>
              <w:lastRenderedPageBreak/>
              <w:t>Dostosowanie INFRASTRUKTURY DO TABORU NISKOPOD</w:t>
            </w:r>
            <w:r w:rsidR="001E304C">
              <w:rPr>
                <w:color w:val="000000" w:themeColor="text1"/>
                <w:sz w:val="16"/>
              </w:rPr>
              <w:t>Ł</w:t>
            </w:r>
            <w:r w:rsidRPr="00002FD4">
              <w:rPr>
                <w:color w:val="000000" w:themeColor="text1"/>
                <w:sz w:val="16"/>
              </w:rPr>
              <w:t>OGOWEGO</w:t>
            </w:r>
          </w:p>
        </w:tc>
        <w:tc>
          <w:tcPr>
            <w:tcW w:w="806" w:type="pct"/>
          </w:tcPr>
          <w:p w14:paraId="4E8B6B48"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1,89</w:t>
            </w:r>
          </w:p>
        </w:tc>
        <w:tc>
          <w:tcPr>
            <w:tcW w:w="833" w:type="pct"/>
          </w:tcPr>
          <w:p w14:paraId="559F82C5"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1,88</w:t>
            </w:r>
          </w:p>
        </w:tc>
        <w:tc>
          <w:tcPr>
            <w:tcW w:w="833" w:type="pct"/>
          </w:tcPr>
          <w:p w14:paraId="6368A2B2"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524</w:t>
            </w:r>
          </w:p>
        </w:tc>
        <w:tc>
          <w:tcPr>
            <w:tcW w:w="833" w:type="pct"/>
          </w:tcPr>
          <w:p w14:paraId="40366C6B"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529</w:t>
            </w:r>
          </w:p>
        </w:tc>
        <w:tc>
          <w:tcPr>
            <w:tcW w:w="835" w:type="pct"/>
          </w:tcPr>
          <w:p w14:paraId="02EA11FA"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113%</w:t>
            </w:r>
          </w:p>
        </w:tc>
      </w:tr>
      <w:tr w:rsidR="001575E4" w:rsidRPr="00002FD4" w14:paraId="29694789" w14:textId="77777777" w:rsidTr="00DE116A">
        <w:tc>
          <w:tcPr>
            <w:cnfStyle w:val="001000000000" w:firstRow="0" w:lastRow="0" w:firstColumn="1" w:lastColumn="0" w:oddVBand="0" w:evenVBand="0" w:oddHBand="0" w:evenHBand="0" w:firstRowFirstColumn="0" w:firstRowLastColumn="0" w:lastRowFirstColumn="0" w:lastRowLastColumn="0"/>
            <w:tcW w:w="860" w:type="pct"/>
          </w:tcPr>
          <w:p w14:paraId="355AB65D" w14:textId="77777777" w:rsidR="001575E4" w:rsidRPr="00002FD4" w:rsidRDefault="001575E4" w:rsidP="00DE116A">
            <w:pPr>
              <w:rPr>
                <w:color w:val="000000" w:themeColor="text1"/>
                <w:sz w:val="16"/>
              </w:rPr>
            </w:pPr>
            <w:r w:rsidRPr="00002FD4">
              <w:rPr>
                <w:color w:val="000000" w:themeColor="text1"/>
                <w:sz w:val="16"/>
              </w:rPr>
              <w:t>TRAMWAJ powstańców Śląskich</w:t>
            </w:r>
          </w:p>
        </w:tc>
        <w:tc>
          <w:tcPr>
            <w:tcW w:w="806" w:type="pct"/>
          </w:tcPr>
          <w:p w14:paraId="7412D9AF"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2,62</w:t>
            </w:r>
          </w:p>
        </w:tc>
        <w:tc>
          <w:tcPr>
            <w:tcW w:w="833" w:type="pct"/>
          </w:tcPr>
          <w:p w14:paraId="12360EDB"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2,37</w:t>
            </w:r>
          </w:p>
        </w:tc>
        <w:tc>
          <w:tcPr>
            <w:tcW w:w="833" w:type="pct"/>
          </w:tcPr>
          <w:p w14:paraId="3EE499D6"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287</w:t>
            </w:r>
          </w:p>
        </w:tc>
        <w:tc>
          <w:tcPr>
            <w:tcW w:w="833" w:type="pct"/>
          </w:tcPr>
          <w:p w14:paraId="62EE7C02"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287</w:t>
            </w:r>
          </w:p>
        </w:tc>
        <w:tc>
          <w:tcPr>
            <w:tcW w:w="835" w:type="pct"/>
          </w:tcPr>
          <w:p w14:paraId="72184DB0"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127%</w:t>
            </w:r>
          </w:p>
        </w:tc>
      </w:tr>
      <w:tr w:rsidR="001575E4" w:rsidRPr="00002FD4" w14:paraId="30B2DC6E" w14:textId="77777777" w:rsidTr="00DE11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46EA0A24" w14:textId="77777777" w:rsidR="001575E4" w:rsidRPr="00002FD4" w:rsidRDefault="001575E4" w:rsidP="00DE116A">
            <w:pPr>
              <w:rPr>
                <w:color w:val="000000" w:themeColor="text1"/>
                <w:sz w:val="16"/>
              </w:rPr>
            </w:pPr>
            <w:r w:rsidRPr="00002FD4">
              <w:rPr>
                <w:color w:val="000000" w:themeColor="text1"/>
                <w:sz w:val="16"/>
              </w:rPr>
              <w:t>Tramwaj PÓŁNOC WARSZAWY</w:t>
            </w:r>
          </w:p>
        </w:tc>
        <w:tc>
          <w:tcPr>
            <w:tcW w:w="806" w:type="pct"/>
          </w:tcPr>
          <w:p w14:paraId="1B93E9D6"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3,12</w:t>
            </w:r>
          </w:p>
        </w:tc>
        <w:tc>
          <w:tcPr>
            <w:tcW w:w="833" w:type="pct"/>
          </w:tcPr>
          <w:p w14:paraId="147E79A8"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2,78</w:t>
            </w:r>
          </w:p>
        </w:tc>
        <w:tc>
          <w:tcPr>
            <w:tcW w:w="833" w:type="pct"/>
          </w:tcPr>
          <w:p w14:paraId="530DDD60"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2 153</w:t>
            </w:r>
          </w:p>
        </w:tc>
        <w:tc>
          <w:tcPr>
            <w:tcW w:w="833" w:type="pct"/>
          </w:tcPr>
          <w:p w14:paraId="55F28051"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2 067</w:t>
            </w:r>
          </w:p>
        </w:tc>
        <w:tc>
          <w:tcPr>
            <w:tcW w:w="835" w:type="pct"/>
          </w:tcPr>
          <w:p w14:paraId="53319877" w14:textId="77777777" w:rsidR="001575E4" w:rsidRPr="00002FD4" w:rsidRDefault="001575E4" w:rsidP="00DE116A">
            <w:pPr>
              <w:jc w:val="center"/>
              <w:cnfStyle w:val="000000100000" w:firstRow="0" w:lastRow="0" w:firstColumn="0" w:lastColumn="0" w:oddVBand="0" w:evenVBand="0" w:oddHBand="1" w:evenHBand="0" w:firstRowFirstColumn="0" w:firstRowLastColumn="0" w:lastRowFirstColumn="0" w:lastRowLastColumn="0"/>
              <w:rPr>
                <w:color w:val="000000" w:themeColor="text1"/>
                <w:sz w:val="16"/>
              </w:rPr>
            </w:pPr>
            <w:r>
              <w:rPr>
                <w:color w:val="000000" w:themeColor="text1"/>
                <w:sz w:val="16"/>
              </w:rPr>
              <w:t>130%</w:t>
            </w:r>
          </w:p>
        </w:tc>
      </w:tr>
      <w:tr w:rsidR="001575E4" w:rsidRPr="00002FD4" w14:paraId="5639C4CD" w14:textId="77777777" w:rsidTr="00DE116A">
        <w:tc>
          <w:tcPr>
            <w:cnfStyle w:val="001000000000" w:firstRow="0" w:lastRow="0" w:firstColumn="1" w:lastColumn="0" w:oddVBand="0" w:evenVBand="0" w:oddHBand="0" w:evenHBand="0" w:firstRowFirstColumn="0" w:firstRowLastColumn="0" w:lastRowFirstColumn="0" w:lastRowLastColumn="0"/>
            <w:tcW w:w="860" w:type="pct"/>
          </w:tcPr>
          <w:p w14:paraId="58BF4193" w14:textId="77777777" w:rsidR="001575E4" w:rsidRPr="00002FD4" w:rsidRDefault="001575E4" w:rsidP="00DE116A">
            <w:pPr>
              <w:rPr>
                <w:color w:val="000000" w:themeColor="text1"/>
                <w:sz w:val="16"/>
              </w:rPr>
            </w:pPr>
            <w:r w:rsidRPr="00002FD4">
              <w:rPr>
                <w:color w:val="000000" w:themeColor="text1"/>
                <w:sz w:val="16"/>
              </w:rPr>
              <w:t>trasa WZ: CMentarz Wolski – dworzec wileński</w:t>
            </w:r>
          </w:p>
        </w:tc>
        <w:tc>
          <w:tcPr>
            <w:tcW w:w="806" w:type="pct"/>
          </w:tcPr>
          <w:p w14:paraId="3C438788"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1,46</w:t>
            </w:r>
          </w:p>
        </w:tc>
        <w:tc>
          <w:tcPr>
            <w:tcW w:w="833" w:type="pct"/>
          </w:tcPr>
          <w:p w14:paraId="05B3522A"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2,24</w:t>
            </w:r>
          </w:p>
        </w:tc>
        <w:tc>
          <w:tcPr>
            <w:tcW w:w="833" w:type="pct"/>
          </w:tcPr>
          <w:p w14:paraId="4B63BBFF"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43</w:t>
            </w:r>
          </w:p>
        </w:tc>
        <w:tc>
          <w:tcPr>
            <w:tcW w:w="833" w:type="pct"/>
          </w:tcPr>
          <w:p w14:paraId="4C2FFBF4"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75</w:t>
            </w:r>
          </w:p>
        </w:tc>
        <w:tc>
          <w:tcPr>
            <w:tcW w:w="835" w:type="pct"/>
          </w:tcPr>
          <w:p w14:paraId="67E1A311" w14:textId="77777777" w:rsidR="001575E4" w:rsidRPr="00002FD4" w:rsidRDefault="001575E4" w:rsidP="00DE116A">
            <w:pPr>
              <w:jc w:val="center"/>
              <w:cnfStyle w:val="000000000000" w:firstRow="0" w:lastRow="0" w:firstColumn="0" w:lastColumn="0" w:oddVBand="0" w:evenVBand="0" w:oddHBand="0" w:evenHBand="0" w:firstRowFirstColumn="0" w:firstRowLastColumn="0" w:lastRowFirstColumn="0" w:lastRowLastColumn="0"/>
              <w:rPr>
                <w:color w:val="000000" w:themeColor="text1"/>
                <w:sz w:val="16"/>
              </w:rPr>
            </w:pPr>
            <w:r>
              <w:rPr>
                <w:color w:val="000000" w:themeColor="text1"/>
                <w:sz w:val="16"/>
              </w:rPr>
              <w:t>83%</w:t>
            </w:r>
          </w:p>
        </w:tc>
      </w:tr>
    </w:tbl>
    <w:p w14:paraId="228FB801" w14:textId="77777777" w:rsidR="00EA4770" w:rsidRPr="00002FD4" w:rsidRDefault="00EA4770" w:rsidP="00EA4770">
      <w:pPr>
        <w:pStyle w:val="rdo"/>
      </w:pPr>
      <w:r w:rsidRPr="00002FD4">
        <w:t>Źródło: opracowanie własne.</w:t>
      </w:r>
    </w:p>
    <w:p w14:paraId="2F7793AE" w14:textId="19D3E80E" w:rsidR="00287ADF" w:rsidRPr="00002FD4" w:rsidRDefault="00287ADF" w:rsidP="00287ADF">
      <w:pPr>
        <w:rPr>
          <w:color w:val="000000" w:themeColor="text1"/>
        </w:rPr>
      </w:pPr>
      <w:r w:rsidRPr="00002FD4">
        <w:rPr>
          <w:color w:val="000000" w:themeColor="text1"/>
        </w:rPr>
        <w:t>Oznacza to</w:t>
      </w:r>
      <w:r w:rsidR="00AF5005">
        <w:rPr>
          <w:color w:val="000000" w:themeColor="text1"/>
        </w:rPr>
        <w:t>, że w wyniku pilotażu wskazano na niemożność dokonania AKK poprzez podstawienie typowych danych wejściowych (liczba użytkowników, czas przejazdu), przy jednoczesnej</w:t>
      </w:r>
      <w:r w:rsidRPr="00002FD4">
        <w:rPr>
          <w:color w:val="000000" w:themeColor="text1"/>
        </w:rPr>
        <w:t xml:space="preserve"> potencjaln</w:t>
      </w:r>
      <w:r w:rsidR="00AF5005">
        <w:rPr>
          <w:color w:val="000000" w:themeColor="text1"/>
        </w:rPr>
        <w:t>ej</w:t>
      </w:r>
      <w:r w:rsidRPr="00002FD4">
        <w:rPr>
          <w:color w:val="000000" w:themeColor="text1"/>
        </w:rPr>
        <w:t xml:space="preserve"> możliwość analizy osiągnięcia wskaźników AKK na dwa sposoby:</w:t>
      </w:r>
    </w:p>
    <w:p w14:paraId="19693435" w14:textId="74839AB4" w:rsidR="00287ADF" w:rsidRPr="00002FD4" w:rsidRDefault="00287ADF" w:rsidP="001B2A4E">
      <w:pPr>
        <w:pStyle w:val="Akapitzlist"/>
        <w:numPr>
          <w:ilvl w:val="0"/>
          <w:numId w:val="27"/>
        </w:numPr>
        <w:rPr>
          <w:color w:val="000000" w:themeColor="text1"/>
        </w:rPr>
      </w:pPr>
      <w:r w:rsidRPr="00002FD4">
        <w:rPr>
          <w:color w:val="000000" w:themeColor="text1"/>
        </w:rPr>
        <w:t xml:space="preserve">poprzez </w:t>
      </w:r>
      <w:r w:rsidR="00142F2B">
        <w:rPr>
          <w:color w:val="000000" w:themeColor="text1"/>
        </w:rPr>
        <w:t>uwzględnienie rzeczywistych nakładów na realizację projektu oraz skorygowanie korzyści ekonomicznych proporcjonalne do liczby użytkowników;</w:t>
      </w:r>
    </w:p>
    <w:p w14:paraId="74049F5B" w14:textId="01D66912" w:rsidR="00287ADF" w:rsidRPr="00002FD4" w:rsidRDefault="00287ADF" w:rsidP="001B2A4E">
      <w:pPr>
        <w:pStyle w:val="Akapitzlist"/>
        <w:numPr>
          <w:ilvl w:val="0"/>
          <w:numId w:val="27"/>
        </w:numPr>
        <w:rPr>
          <w:color w:val="000000" w:themeColor="text1"/>
        </w:rPr>
      </w:pPr>
      <w:r w:rsidRPr="00002FD4">
        <w:rPr>
          <w:color w:val="000000" w:themeColor="text1"/>
        </w:rPr>
        <w:t>przy rozszerzeniu metodyki ewaluacji o modelowanie ruchu (lub w przyszłości – po rozszerzeniu monitoringu o dane spójne z danymi zastosowanymi w AKK) – poprzez ponowne przeliczenie ogólnego czasu poświęcanego na spędzanie przez pasażerów w</w:t>
      </w:r>
      <w:r w:rsidR="00660E0A" w:rsidRPr="00002FD4">
        <w:rPr>
          <w:color w:val="000000" w:themeColor="text1"/>
        </w:rPr>
        <w:t> </w:t>
      </w:r>
      <w:r w:rsidRPr="00002FD4">
        <w:rPr>
          <w:color w:val="000000" w:themeColor="text1"/>
        </w:rPr>
        <w:t>różnych środkach transportu i pełną weryfikację modelu.</w:t>
      </w:r>
    </w:p>
    <w:p w14:paraId="7062588C" w14:textId="77777777" w:rsidR="00287ADF" w:rsidRPr="00002FD4" w:rsidRDefault="00287ADF" w:rsidP="00287ADF">
      <w:pPr>
        <w:rPr>
          <w:color w:val="000000" w:themeColor="text1"/>
        </w:rPr>
      </w:pPr>
      <w:r w:rsidRPr="00002FD4">
        <w:rPr>
          <w:color w:val="000000" w:themeColor="text1"/>
        </w:rPr>
        <w:t>Rozszerzenie metodyki ewaluacji o modelowanie ruchu jest zasadne w szczególności przy znacznym nieosiągnięciu wskaźników wejściowych – wówczas konieczna jest bowiem szczegółowa weryfikacja, czy obniżone korzyści z projektu nie były niższe niż korzyści zakładane.</w:t>
      </w:r>
    </w:p>
    <w:p w14:paraId="07EBE1AF" w14:textId="4923C2F7" w:rsidR="00287ADF" w:rsidRDefault="00287ADF" w:rsidP="00287ADF">
      <w:pPr>
        <w:rPr>
          <w:color w:val="000000" w:themeColor="text1"/>
        </w:rPr>
      </w:pPr>
      <w:r w:rsidRPr="00002FD4">
        <w:rPr>
          <w:color w:val="000000" w:themeColor="text1"/>
        </w:rPr>
        <w:t xml:space="preserve">Dla perspektywy finansowej 2007-2013 </w:t>
      </w:r>
      <w:r w:rsidR="00E53841" w:rsidRPr="00002FD4">
        <w:rPr>
          <w:color w:val="000000" w:themeColor="text1"/>
        </w:rPr>
        <w:t xml:space="preserve">założone </w:t>
      </w:r>
      <w:r w:rsidRPr="00002FD4">
        <w:rPr>
          <w:color w:val="000000" w:themeColor="text1"/>
        </w:rPr>
        <w:t xml:space="preserve">wskaźniki </w:t>
      </w:r>
      <w:r w:rsidR="00E53841" w:rsidRPr="00002FD4">
        <w:rPr>
          <w:color w:val="000000" w:themeColor="text1"/>
        </w:rPr>
        <w:t>monitoringu zostały</w:t>
      </w:r>
      <w:r w:rsidRPr="00002FD4">
        <w:rPr>
          <w:color w:val="000000" w:themeColor="text1"/>
        </w:rPr>
        <w:t xml:space="preserve"> osiągnięte </w:t>
      </w:r>
      <w:r w:rsidR="00011F29" w:rsidRPr="00002FD4">
        <w:rPr>
          <w:color w:val="000000" w:themeColor="text1"/>
        </w:rPr>
        <w:t xml:space="preserve">we wszystkich przypadkach </w:t>
      </w:r>
      <w:r w:rsidR="00E53841" w:rsidRPr="00002FD4">
        <w:rPr>
          <w:color w:val="000000" w:themeColor="text1"/>
        </w:rPr>
        <w:t>na koniec realizacji projektów</w:t>
      </w:r>
      <w:r w:rsidR="00011F29" w:rsidRPr="00002FD4">
        <w:rPr>
          <w:color w:val="000000" w:themeColor="text1"/>
        </w:rPr>
        <w:t>.</w:t>
      </w:r>
      <w:r w:rsidR="00E53841" w:rsidRPr="00002FD4">
        <w:rPr>
          <w:color w:val="000000" w:themeColor="text1"/>
        </w:rPr>
        <w:t xml:space="preserve"> </w:t>
      </w:r>
      <w:r w:rsidR="00011F29" w:rsidRPr="00002FD4">
        <w:rPr>
          <w:color w:val="000000" w:themeColor="text1"/>
        </w:rPr>
        <w:t>W</w:t>
      </w:r>
      <w:r w:rsidR="00E53841" w:rsidRPr="00002FD4">
        <w:rPr>
          <w:color w:val="000000" w:themeColor="text1"/>
        </w:rPr>
        <w:t xml:space="preserve"> przypadku Centralnego odcinka II linii metra wskaźnik osiągnął pożądaną wartość w 2016 roku, czyli rok po otwarciu połączenia. Należy zauważyć, że inwestycje w sieć tramwajową charakteryzują się wyższą stopą zwrotu (EIRR) niż inwestycje w metro. Wiąże się to z wielokrotnie wyższymi kosztami budowy</w:t>
      </w:r>
      <w:r w:rsidR="00011F29" w:rsidRPr="00002FD4">
        <w:rPr>
          <w:color w:val="000000" w:themeColor="text1"/>
        </w:rPr>
        <w:t xml:space="preserve"> metra</w:t>
      </w:r>
      <w:r w:rsidR="00E53841" w:rsidRPr="00002FD4">
        <w:rPr>
          <w:color w:val="000000" w:themeColor="text1"/>
        </w:rPr>
        <w:t xml:space="preserve">, a powstanie atrakcyjnych bezkolizyjnych tras podziemnych po stronie korzyści nie jest w stanie zrekompensować poniesionych kosztów, jak w przypadku tras tramwajowych, dla których przewiduje się dobry czas przejazdu bazujący na priorytecie w sygnalizacji świetlnej. </w:t>
      </w:r>
      <w:r w:rsidR="00011F29" w:rsidRPr="00002FD4">
        <w:rPr>
          <w:color w:val="000000" w:themeColor="text1"/>
        </w:rPr>
        <w:t>Ponadto często now</w:t>
      </w:r>
      <w:r w:rsidR="001B3E45" w:rsidRPr="00002FD4">
        <w:rPr>
          <w:color w:val="000000" w:themeColor="text1"/>
        </w:rPr>
        <w:t xml:space="preserve">e odcinki torowisk tramwajowych łączą fragmenty obecnej sieci, pozwalając na rozwinięcie sieci połączeń w wielu kierunkach (najwyższą stopę zwrotu spośród projektów </w:t>
      </w:r>
      <w:r w:rsidR="001B3E45" w:rsidRPr="00002FD4">
        <w:rPr>
          <w:color w:val="000000" w:themeColor="text1"/>
        </w:rPr>
        <w:lastRenderedPageBreak/>
        <w:t xml:space="preserve">warszawskich POIiŚ miała budowa trasy tramwaju w ul. Powstańców Śląskich, która połączyła dwie części sieci tramwajowej na Bemowie). </w:t>
      </w:r>
      <w:r w:rsidR="00E53841" w:rsidRPr="00002FD4">
        <w:rPr>
          <w:color w:val="000000" w:themeColor="text1"/>
        </w:rPr>
        <w:t>Jednak, gdyby w obliczeniach brano również pod uwagę wyższą niezawodność metra względem komunikacji tramwajowej i związane z tym koszty oraz straty czasu dla użytkowników, wartości stóp zwrotu mogłyby być sobie bardziej bliskie.</w:t>
      </w:r>
    </w:p>
    <w:p w14:paraId="1C036158" w14:textId="520CE611" w:rsidR="00380EEC" w:rsidRPr="00002FD4" w:rsidRDefault="00380EEC" w:rsidP="00380EEC">
      <w:pPr>
        <w:pStyle w:val="Nagwek3"/>
        <w:rPr>
          <w:color w:val="000000" w:themeColor="text1"/>
        </w:rPr>
      </w:pPr>
      <w:bookmarkStart w:id="197" w:name="_Toc27125349"/>
      <w:r w:rsidRPr="00002FD4">
        <w:rPr>
          <w:color w:val="000000" w:themeColor="text1"/>
        </w:rPr>
        <w:t xml:space="preserve">Założenia analizy kosztów i korzyści dla </w:t>
      </w:r>
      <w:r w:rsidRPr="00307E9E">
        <w:rPr>
          <w:i/>
          <w:color w:val="000000" w:themeColor="text1"/>
        </w:rPr>
        <w:t>Park</w:t>
      </w:r>
      <w:r w:rsidR="00AC0A56" w:rsidRPr="00307E9E">
        <w:rPr>
          <w:i/>
          <w:color w:val="000000" w:themeColor="text1"/>
        </w:rPr>
        <w:t xml:space="preserve"> </w:t>
      </w:r>
      <w:r w:rsidRPr="00307E9E">
        <w:rPr>
          <w:i/>
          <w:color w:val="000000" w:themeColor="text1"/>
        </w:rPr>
        <w:t>&amp;</w:t>
      </w:r>
      <w:r w:rsidR="00AC0A56" w:rsidRPr="00307E9E">
        <w:rPr>
          <w:i/>
          <w:color w:val="000000" w:themeColor="text1"/>
        </w:rPr>
        <w:t xml:space="preserve"> </w:t>
      </w:r>
      <w:r w:rsidRPr="00307E9E">
        <w:rPr>
          <w:i/>
          <w:color w:val="000000" w:themeColor="text1"/>
        </w:rPr>
        <w:t>Ride</w:t>
      </w:r>
      <w:bookmarkEnd w:id="197"/>
    </w:p>
    <w:p w14:paraId="4AD9B916" w14:textId="53E2F36A" w:rsidR="00380EEC" w:rsidRPr="00002FD4" w:rsidRDefault="00380EEC" w:rsidP="00380EEC">
      <w:pPr>
        <w:rPr>
          <w:color w:val="000000" w:themeColor="text1"/>
        </w:rPr>
      </w:pPr>
      <w:bookmarkStart w:id="198" w:name="_Hlk25244753"/>
      <w:r w:rsidRPr="00002FD4">
        <w:rPr>
          <w:color w:val="000000" w:themeColor="text1"/>
        </w:rPr>
        <w:t xml:space="preserve">Celem analizy kosztów i korzyści budowy parkingów </w:t>
      </w:r>
      <w:r w:rsidRPr="00307E9E">
        <w:rPr>
          <w:i/>
          <w:color w:val="000000" w:themeColor="text1"/>
        </w:rPr>
        <w:t xml:space="preserve">Park </w:t>
      </w:r>
      <w:r w:rsidR="00AC0A56" w:rsidRPr="00307E9E">
        <w:rPr>
          <w:i/>
          <w:color w:val="000000" w:themeColor="text1"/>
        </w:rPr>
        <w:t>&amp;</w:t>
      </w:r>
      <w:r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 xml:space="preserve"> było określenie efektywności ekonomicznej tego typu komponentu inwestycji poprzez wyznaczanie krytycznej wartości średniego przebiegu unikniętego przez pojedynczy samochód korzystając</w:t>
      </w:r>
      <w:r w:rsidR="00FD39CD" w:rsidRPr="00002FD4">
        <w:rPr>
          <w:color w:val="000000" w:themeColor="text1"/>
        </w:rPr>
        <w:t>y</w:t>
      </w:r>
      <w:r w:rsidRPr="00002FD4">
        <w:rPr>
          <w:color w:val="000000" w:themeColor="text1"/>
        </w:rPr>
        <w:t xml:space="preserve"> z takiego parkingu, powyżej którego parking osiąga pozytywną wartość ENPV. Przebieg ten był określany dla różnych wartości kosztu budowy pojedynczego miejsca parkingowego, zawierających się w przedziale od 10 do 90 tys. zł, przy czym obie wartości są wysoce skrajne - wartość 10 tysięcy złotych dotyczy prostych parkingów jednopoziomowych przy peryferyjnych przystankach, zaś 90 tys. zł – najbardziej skomplikowanych parkingów, położonych na drogich gruntach, przy uwzględnieniu rosnących cen prac budowlanych. Pod pojęciem kosztu należy rozumieć koszt po skorygowaniu z</w:t>
      </w:r>
      <w:r w:rsidR="00FD39CD" w:rsidRPr="00002FD4">
        <w:rPr>
          <w:color w:val="000000" w:themeColor="text1"/>
        </w:rPr>
        <w:t> </w:t>
      </w:r>
      <w:r w:rsidRPr="00002FD4">
        <w:rPr>
          <w:color w:val="000000" w:themeColor="text1"/>
        </w:rPr>
        <w:t>cen rynkowych na ukryte, czyli ok. 83% wyjściowej ceny netto.</w:t>
      </w:r>
    </w:p>
    <w:bookmarkEnd w:id="198"/>
    <w:p w14:paraId="1D9E6686" w14:textId="77777777" w:rsidR="00380EEC" w:rsidRPr="00002FD4" w:rsidRDefault="00380EEC" w:rsidP="00380EEC">
      <w:pPr>
        <w:rPr>
          <w:color w:val="000000" w:themeColor="text1"/>
        </w:rPr>
      </w:pPr>
      <w:r w:rsidRPr="00002FD4">
        <w:rPr>
          <w:color w:val="000000" w:themeColor="text1"/>
        </w:rPr>
        <w:t>Poszukiwanie krytycznej wartości właśnie dla średniego przebiegu, wynika z faktu, że koszty zewnętrzne związane z użyciem samochodu (takie jak koszty wypadków i emisji), są co do zasady zależne od unikniętego przebiegu samochodów korzystających z danego parkingu. Budowa parkingu powoduje, że część przebiegu samochodów jest zastąpiona podróżami komunikacji miejskiej i im dłuższe są te podróże – tym wyższe są korzyści zewnętrze.</w:t>
      </w:r>
    </w:p>
    <w:p w14:paraId="60CFDAE0" w14:textId="15A9C363" w:rsidR="00380EEC" w:rsidRPr="00002FD4" w:rsidRDefault="00380EEC" w:rsidP="00380EEC">
      <w:pPr>
        <w:rPr>
          <w:color w:val="000000" w:themeColor="text1"/>
        </w:rPr>
      </w:pPr>
      <w:r w:rsidRPr="00002FD4">
        <w:rPr>
          <w:color w:val="000000" w:themeColor="text1"/>
        </w:rPr>
        <w:t>Analiza została oparta o generalne wytyczne, dotyczące analiz kosztów i korzyści, zawarte w</w:t>
      </w:r>
      <w:r w:rsidR="00FD39CD" w:rsidRPr="00002FD4">
        <w:rPr>
          <w:color w:val="000000" w:themeColor="text1"/>
        </w:rPr>
        <w:t> </w:t>
      </w:r>
      <w:r w:rsidRPr="00002FD4">
        <w:rPr>
          <w:color w:val="000000" w:themeColor="text1"/>
        </w:rPr>
        <w:t>Niebieskiej Księdze Jaspers dla Transportu publicznego</w:t>
      </w:r>
      <w:r w:rsidRPr="00002FD4">
        <w:rPr>
          <w:rStyle w:val="Odwoanieprzypisudolnego"/>
          <w:color w:val="000000" w:themeColor="text1"/>
        </w:rPr>
        <w:footnoteReference w:id="11"/>
      </w:r>
      <w:r w:rsidRPr="00002FD4">
        <w:rPr>
          <w:color w:val="000000" w:themeColor="text1"/>
        </w:rPr>
        <w:t>, przy czym dokonano niezbędnych korekt założeń w księdze, które były niespójne ze wskazanym jako źródło przewodnikiem AKK Generalnej Dyrekcji Dróg Krajowych i Autostrad oraz późniejszymi wytycznymi Vademecum CUPT</w:t>
      </w:r>
      <w:r w:rsidRPr="00002FD4">
        <w:rPr>
          <w:rStyle w:val="Odwoanieprzypisudolnego"/>
          <w:color w:val="000000" w:themeColor="text1"/>
        </w:rPr>
        <w:footnoteReference w:id="12"/>
      </w:r>
      <w:r w:rsidRPr="00002FD4">
        <w:rPr>
          <w:color w:val="000000" w:themeColor="text1"/>
        </w:rPr>
        <w:t>:</w:t>
      </w:r>
    </w:p>
    <w:p w14:paraId="210CA60F" w14:textId="1E9FFFF3" w:rsidR="00380EEC" w:rsidRPr="00002FD4" w:rsidRDefault="00380EEC" w:rsidP="001B2A4E">
      <w:pPr>
        <w:pStyle w:val="Akapitzlist"/>
        <w:numPr>
          <w:ilvl w:val="0"/>
          <w:numId w:val="25"/>
        </w:numPr>
        <w:rPr>
          <w:color w:val="000000" w:themeColor="text1"/>
        </w:rPr>
      </w:pPr>
      <w:r w:rsidRPr="00002FD4">
        <w:rPr>
          <w:color w:val="000000" w:themeColor="text1"/>
        </w:rPr>
        <w:t xml:space="preserve">podany w załączniku A do Niebieskiej Księgi koszt rannych na zdarzenie </w:t>
      </w:r>
      <w:r w:rsidRPr="00002FD4">
        <w:rPr>
          <w:i/>
          <w:iCs/>
          <w:color w:val="000000" w:themeColor="text1"/>
        </w:rPr>
        <w:t xml:space="preserve">de facto </w:t>
      </w:r>
      <w:r w:rsidRPr="00002FD4">
        <w:rPr>
          <w:color w:val="000000" w:themeColor="text1"/>
        </w:rPr>
        <w:t xml:space="preserve">był kosztem pojedynczej osoby ciężko rannej (bez uwzględnienia kosztów osób lekko rannych), co powodowało znacznie zawyżenie kosztów zewnętrznych (aż do ok. 1,30 zł/km z tytułu samych osób rannych – tymczasem nie w każdym zdarzeniu są osoby ciężko ranne) – dokonano analizy danych </w:t>
      </w:r>
      <w:proofErr w:type="spellStart"/>
      <w:r w:rsidRPr="00002FD4">
        <w:rPr>
          <w:color w:val="000000" w:themeColor="text1"/>
        </w:rPr>
        <w:t>SEWiK</w:t>
      </w:r>
      <w:proofErr w:type="spellEnd"/>
      <w:r w:rsidR="00FD39CD" w:rsidRPr="00002FD4">
        <w:rPr>
          <w:color w:val="000000" w:themeColor="text1"/>
        </w:rPr>
        <w:t>,</w:t>
      </w:r>
      <w:r w:rsidRPr="00002FD4">
        <w:rPr>
          <w:color w:val="000000" w:themeColor="text1"/>
        </w:rPr>
        <w:t xml:space="preserve"> na podstawie której określono wskaźnik osób ciężko rannych w wypadku na poziomie 0,115 osoby na wypadek oraz osób lekko rannych na poziomie 1,035 osoby na wypadek w ruchu miejskim i na tej postawie wyznaczono poprawne wskaźniki (łączny koszt wypadków wyniósł 0,27 zł/km w roku referencyjnym);</w:t>
      </w:r>
    </w:p>
    <w:p w14:paraId="7D4B4963" w14:textId="27E15A2F" w:rsidR="00380EEC" w:rsidRPr="00002FD4" w:rsidRDefault="00380EEC" w:rsidP="001B2A4E">
      <w:pPr>
        <w:pStyle w:val="Akapitzlist"/>
        <w:numPr>
          <w:ilvl w:val="0"/>
          <w:numId w:val="25"/>
        </w:numPr>
        <w:rPr>
          <w:color w:val="000000" w:themeColor="text1"/>
        </w:rPr>
      </w:pPr>
      <w:r w:rsidRPr="00002FD4">
        <w:rPr>
          <w:color w:val="000000" w:themeColor="text1"/>
        </w:rPr>
        <w:t>podany w załączniku A koszt strat materialnych w wysokości 19,966 zł na zdarzenie (wypadek) skorygowano na 19 966 zł/zdarzenie.</w:t>
      </w:r>
    </w:p>
    <w:p w14:paraId="4C4B6728" w14:textId="6931A309" w:rsidR="00380EEC" w:rsidRPr="00002FD4" w:rsidRDefault="00380EEC" w:rsidP="00380EEC">
      <w:pPr>
        <w:rPr>
          <w:color w:val="000000" w:themeColor="text1"/>
        </w:rPr>
      </w:pPr>
      <w:r w:rsidRPr="00002FD4">
        <w:rPr>
          <w:color w:val="000000" w:themeColor="text1"/>
        </w:rPr>
        <w:t xml:space="preserve">Jednocześnie jednak należy pamiętać, że analiza ta ma siłą rzeczy charakter uproszczony, gdyż zgodnie z wytycznymi </w:t>
      </w:r>
      <w:r w:rsidR="00FD39CD" w:rsidRPr="00002FD4">
        <w:rPr>
          <w:color w:val="000000" w:themeColor="text1"/>
        </w:rPr>
        <w:t>N</w:t>
      </w:r>
      <w:r w:rsidRPr="00002FD4">
        <w:rPr>
          <w:color w:val="000000" w:themeColor="text1"/>
        </w:rPr>
        <w:t xml:space="preserve">iebieskiej </w:t>
      </w:r>
      <w:r w:rsidR="00FD39CD" w:rsidRPr="00002FD4">
        <w:rPr>
          <w:color w:val="000000" w:themeColor="text1"/>
        </w:rPr>
        <w:t>K</w:t>
      </w:r>
      <w:r w:rsidRPr="00002FD4">
        <w:rPr>
          <w:color w:val="000000" w:themeColor="text1"/>
        </w:rPr>
        <w:t xml:space="preserve">sięgi wskaźniki wypadkowości czy kosztów należy liczyć indywidualnie dla określonych relacji w zależności od prędkości i lokalnego natężenia i częstości </w:t>
      </w:r>
      <w:r w:rsidRPr="00002FD4">
        <w:rPr>
          <w:color w:val="000000" w:themeColor="text1"/>
        </w:rPr>
        <w:lastRenderedPageBreak/>
        <w:t>wypadków. Dla potrzeb niniejszej analizy dokonano koniecznych uśrednień, m.in. przyjmując prędkość średnią z przedziału 21-30 km/h oraz przebieg drogi w połowie po nawierzchni nowej i</w:t>
      </w:r>
      <w:r w:rsidR="00FD39CD" w:rsidRPr="00002FD4">
        <w:rPr>
          <w:color w:val="000000" w:themeColor="text1"/>
        </w:rPr>
        <w:t> </w:t>
      </w:r>
      <w:r w:rsidRPr="00002FD4">
        <w:rPr>
          <w:color w:val="000000" w:themeColor="text1"/>
        </w:rPr>
        <w:t xml:space="preserve">zdegradowanej. Pominięto również przyrost kosztów zewnętrznych w wyniku zwiększonego wykorzystania transportu publicznego – wobec jego zaniedbywalnej wielkości, braku szczegółowych wytycznych w Księdze oraz wykorzystywania przez pasażerów </w:t>
      </w:r>
      <w:r w:rsidRPr="00307E9E">
        <w:rPr>
          <w:i/>
          <w:color w:val="000000" w:themeColor="text1"/>
        </w:rPr>
        <w:t xml:space="preserve">Park </w:t>
      </w:r>
      <w:r w:rsidR="00AC0A56" w:rsidRPr="00307E9E">
        <w:rPr>
          <w:i/>
          <w:color w:val="000000" w:themeColor="text1"/>
        </w:rPr>
        <w:t>&amp;</w:t>
      </w:r>
      <w:r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 xml:space="preserve"> po części niewykorzystanej przepustowości pojazdów transportu publicznego. Pominięto także oszczędności czasu, gdyż mają one charakter specyficzny dla lokalizacji i użytkownika, w wyniku skorzystania z transportu publicznego mogą przy tym być pozytywne lub negatywne. Założono wreszcie, </w:t>
      </w:r>
      <w:r w:rsidR="008B4CB1">
        <w:rPr>
          <w:color w:val="000000" w:themeColor="text1"/>
        </w:rPr>
        <w:t>ż</w:t>
      </w:r>
      <w:r w:rsidRPr="00002FD4">
        <w:rPr>
          <w:color w:val="000000" w:themeColor="text1"/>
        </w:rPr>
        <w:t>e każdy użytkownik parkingu rzeczywiście przesiada się z samochodu na transport publiczny, gdy tymczasem część osób mogła wcześniej również korzystać z podróży łączonych, wykorzystując innego rodzaju miejsca parkingowe.</w:t>
      </w:r>
    </w:p>
    <w:p w14:paraId="03C13DAE" w14:textId="7D9228C4" w:rsidR="00380EEC" w:rsidRPr="00002FD4" w:rsidRDefault="00380EEC" w:rsidP="00380EEC">
      <w:pPr>
        <w:rPr>
          <w:color w:val="000000" w:themeColor="text1"/>
        </w:rPr>
      </w:pPr>
      <w:r w:rsidRPr="00002FD4">
        <w:rPr>
          <w:color w:val="000000" w:themeColor="text1"/>
        </w:rPr>
        <w:t>Już pierwsze wyniki modelowania wskazały, że główne korzyści, związane z przejęciem ruchu przez transport publiczny wynikają nie z zaoszczędzonych przez ogół społeczeństwa kosztów zanieczyszczeń, hałasu, zmian klimatycznych i wypadków (wynoszących łącznie zgodnie z</w:t>
      </w:r>
      <w:r w:rsidR="00FD39CD" w:rsidRPr="00002FD4">
        <w:rPr>
          <w:color w:val="000000" w:themeColor="text1"/>
        </w:rPr>
        <w:t> </w:t>
      </w:r>
      <w:r w:rsidRPr="00002FD4">
        <w:rPr>
          <w:color w:val="000000" w:themeColor="text1"/>
        </w:rPr>
        <w:t>wytycznymi ok. 0,47 zł/km), lecz z zaoszczędzonych przez przesiadających się kierowców kosztów użytkowania samochodów. Koszty te zostały przyjęte za Niebieską Księgą na poziomie ponad 0,87 zł/km.</w:t>
      </w:r>
    </w:p>
    <w:p w14:paraId="2767EF04" w14:textId="7B91CB89" w:rsidR="00380EEC" w:rsidRPr="00002FD4" w:rsidRDefault="00380EEC" w:rsidP="00380EEC">
      <w:pPr>
        <w:rPr>
          <w:color w:val="000000" w:themeColor="text1"/>
        </w:rPr>
      </w:pPr>
      <w:r w:rsidRPr="00002FD4">
        <w:rPr>
          <w:color w:val="000000" w:themeColor="text1"/>
        </w:rPr>
        <w:t xml:space="preserve">Ze względu na kluczowe znaczenie tej wartości dla wyników modelowania, poddano ją szczegółowej analizie. Zmienna ta reprezentuje średni koszt użycia samochodu, czyli zarówno koszty zmienne (paliwo, zużycie i naprawy związane z przebiegiem), jak i stałe (ubezpieczenie, utrata wartości, zużycie i naprawy związane z upływem czasu) w przeliczeniu na kilometr. Przyjęcie takich wartości w analizie kosztów i korzyści dla parkingów </w:t>
      </w:r>
      <w:r w:rsidRPr="00307E9E">
        <w:rPr>
          <w:i/>
          <w:color w:val="000000" w:themeColor="text1"/>
        </w:rPr>
        <w:t xml:space="preserve">Park &amp; </w:t>
      </w:r>
      <w:proofErr w:type="spellStart"/>
      <w:r w:rsidRPr="00307E9E">
        <w:rPr>
          <w:i/>
          <w:color w:val="000000" w:themeColor="text1"/>
        </w:rPr>
        <w:t>Ride</w:t>
      </w:r>
      <w:proofErr w:type="spellEnd"/>
      <w:r w:rsidRPr="00002FD4">
        <w:rPr>
          <w:color w:val="000000" w:themeColor="text1"/>
        </w:rPr>
        <w:t xml:space="preserve"> jest mocno kontrowersyjne, gdyż osoba decydująca się na skorzystanie z parkingu </w:t>
      </w:r>
      <w:r w:rsidR="00FD39CD" w:rsidRPr="00307E9E">
        <w:rPr>
          <w:i/>
          <w:color w:val="000000" w:themeColor="text1"/>
        </w:rPr>
        <w:t>P</w:t>
      </w:r>
      <w:r w:rsidRPr="00307E9E">
        <w:rPr>
          <w:i/>
          <w:color w:val="000000" w:themeColor="text1"/>
        </w:rPr>
        <w:t>ark</w:t>
      </w:r>
      <w:r w:rsidR="00FD39CD" w:rsidRPr="00307E9E">
        <w:rPr>
          <w:i/>
          <w:color w:val="000000" w:themeColor="text1"/>
        </w:rPr>
        <w:t xml:space="preserve"> </w:t>
      </w:r>
      <w:r w:rsidRPr="00307E9E">
        <w:rPr>
          <w:i/>
          <w:color w:val="000000" w:themeColor="text1"/>
        </w:rPr>
        <w:t>&amp;</w:t>
      </w:r>
      <w:r w:rsidR="00FD39CD" w:rsidRPr="00307E9E">
        <w:rPr>
          <w:i/>
          <w:color w:val="000000" w:themeColor="text1"/>
        </w:rPr>
        <w:t xml:space="preserve"> </w:t>
      </w:r>
      <w:proofErr w:type="spellStart"/>
      <w:r w:rsidR="00FD39CD" w:rsidRPr="00307E9E">
        <w:rPr>
          <w:i/>
          <w:color w:val="000000" w:themeColor="text1"/>
        </w:rPr>
        <w:t>R</w:t>
      </w:r>
      <w:r w:rsidRPr="00307E9E">
        <w:rPr>
          <w:i/>
          <w:color w:val="000000" w:themeColor="text1"/>
        </w:rPr>
        <w:t>ide</w:t>
      </w:r>
      <w:proofErr w:type="spellEnd"/>
      <w:r w:rsidRPr="00002FD4">
        <w:rPr>
          <w:color w:val="000000" w:themeColor="text1"/>
        </w:rPr>
        <w:t xml:space="preserve"> wciąż ponosi koszty stałe związane z posiadaniem samochodu i jej osobista oszczędność związana z</w:t>
      </w:r>
      <w:r w:rsidR="00FD39CD" w:rsidRPr="00002FD4">
        <w:rPr>
          <w:color w:val="000000" w:themeColor="text1"/>
        </w:rPr>
        <w:t> </w:t>
      </w:r>
      <w:r w:rsidRPr="00002FD4">
        <w:rPr>
          <w:color w:val="000000" w:themeColor="text1"/>
        </w:rPr>
        <w:t xml:space="preserve">pozostawieniem samochodu na parkingu nie wynosi 0,87 zł/km, gdyż wciąż ponosi koszty ubezpieczenia czy utraty wartości w prawie niezmienionej wartości. Co więcej – samochody używane do względnie krótkich dojazdów z domu do parkingu </w:t>
      </w:r>
      <w:r w:rsidRPr="00307E9E">
        <w:rPr>
          <w:i/>
          <w:color w:val="000000" w:themeColor="text1"/>
        </w:rPr>
        <w:t xml:space="preserve">Park </w:t>
      </w:r>
      <w:r w:rsidR="00FD39CD" w:rsidRPr="00307E9E">
        <w:rPr>
          <w:i/>
          <w:color w:val="000000" w:themeColor="text1"/>
        </w:rPr>
        <w:t>&amp;</w:t>
      </w:r>
      <w:r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 xml:space="preserve"> mogą również wymagać np. przeglądów lub wymian opon w związku z upływem czasu, a nie z przebiegami, więc w skrajnym przypadku oszczędności można utożsamiać wyłącznie z oszczędnościami paliwa.</w:t>
      </w:r>
    </w:p>
    <w:p w14:paraId="594925C6" w14:textId="68346407" w:rsidR="00380EEC" w:rsidRPr="00002FD4" w:rsidRDefault="00380EEC" w:rsidP="00380EEC">
      <w:pPr>
        <w:rPr>
          <w:color w:val="000000" w:themeColor="text1"/>
        </w:rPr>
      </w:pPr>
      <w:r w:rsidRPr="00002FD4">
        <w:rPr>
          <w:color w:val="000000" w:themeColor="text1"/>
        </w:rPr>
        <w:t xml:space="preserve">Już na tym etapie należy również podkreślić, że nieco niepokojącym sygnałem z pierwszych wyników modelowania jest to, że korzyści prywatne związane z oszczędnościami kosztów użytkowania samochodów są głównym strumieniem korzyści, związanym z funkcjonowaniem parkingów. Beneficjentem tylko 1/3 korzyści jest szeroki ogół społeczeństwa miejskiego, zaś 2/3 korzyści – wąska grupa kierowców, przesiadających się. Jeśli ich prywatne korzyści zostały zidentyfikowane właściwie, to istnieje możliwość ich internalizacji poprzez pobieranie opłat za korzystanie z parkingów </w:t>
      </w:r>
      <w:r w:rsidRPr="00307E9E">
        <w:rPr>
          <w:i/>
          <w:color w:val="000000" w:themeColor="text1"/>
        </w:rPr>
        <w:t xml:space="preserve">Park </w:t>
      </w:r>
      <w:r w:rsidR="00FD39CD" w:rsidRPr="00307E9E">
        <w:rPr>
          <w:i/>
          <w:color w:val="000000" w:themeColor="text1"/>
        </w:rPr>
        <w:t>&amp;</w:t>
      </w:r>
      <w:r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w:t>
      </w:r>
    </w:p>
    <w:p w14:paraId="663AF50B" w14:textId="77777777" w:rsidR="00380EEC" w:rsidRPr="00002FD4" w:rsidRDefault="00380EEC" w:rsidP="00380EEC">
      <w:pPr>
        <w:rPr>
          <w:color w:val="000000" w:themeColor="text1"/>
        </w:rPr>
      </w:pPr>
      <w:r w:rsidRPr="00002FD4">
        <w:rPr>
          <w:color w:val="000000" w:themeColor="text1"/>
        </w:rPr>
        <w:t>W związku z powyższym, analizę zdecydowano się przeprowadzić w trzech wariantach:</w:t>
      </w:r>
    </w:p>
    <w:p w14:paraId="7ED79836" w14:textId="0A40FDCF" w:rsidR="00380EEC" w:rsidRPr="00002FD4" w:rsidRDefault="00380EEC" w:rsidP="001B2A4E">
      <w:pPr>
        <w:pStyle w:val="Akapitzlist"/>
        <w:numPr>
          <w:ilvl w:val="0"/>
          <w:numId w:val="26"/>
        </w:numPr>
        <w:rPr>
          <w:color w:val="000000" w:themeColor="text1"/>
        </w:rPr>
      </w:pPr>
      <w:r w:rsidRPr="00002FD4">
        <w:rPr>
          <w:color w:val="000000" w:themeColor="text1"/>
        </w:rPr>
        <w:t>„pełen koszt użycia samochodu” - bazując na oryginalnych założeniach Niebieskiej Księgi z</w:t>
      </w:r>
      <w:r w:rsidR="006D27B2">
        <w:rPr>
          <w:color w:val="000000" w:themeColor="text1"/>
        </w:rPr>
        <w:t> </w:t>
      </w:r>
      <w:r w:rsidRPr="00002FD4">
        <w:rPr>
          <w:color w:val="000000" w:themeColor="text1"/>
        </w:rPr>
        <w:t>unikniętym przez kierowców kosztem użycia samochodu w wysokości 0,87 zł/km, ale jednocześnie uwzględniając przyrost kosztów organizacji transportu publicznego;</w:t>
      </w:r>
    </w:p>
    <w:p w14:paraId="2FF73B11" w14:textId="410E8832" w:rsidR="00380EEC" w:rsidRPr="00002FD4" w:rsidRDefault="00380EEC" w:rsidP="001B2A4E">
      <w:pPr>
        <w:pStyle w:val="Akapitzlist"/>
        <w:numPr>
          <w:ilvl w:val="0"/>
          <w:numId w:val="26"/>
        </w:numPr>
        <w:rPr>
          <w:color w:val="000000" w:themeColor="text1"/>
        </w:rPr>
      </w:pPr>
      <w:r w:rsidRPr="00002FD4">
        <w:rPr>
          <w:color w:val="000000" w:themeColor="text1"/>
        </w:rPr>
        <w:t>„tylko krańcowy koszt użycia samochodu” - uwzględniając jedynie koszt krańcowy zużycia samochodu, przyjęty na poziomie 0,4 zł/km, co odpowiada zużyciu paliwa na poziomie 8</w:t>
      </w:r>
      <w:r w:rsidR="00002FD4">
        <w:rPr>
          <w:color w:val="000000" w:themeColor="text1"/>
        </w:rPr>
        <w:t> </w:t>
      </w:r>
      <w:r w:rsidRPr="00002FD4">
        <w:rPr>
          <w:color w:val="000000" w:themeColor="text1"/>
        </w:rPr>
        <w:t>l/100 km i cenie 5 zł/l (przy założeniu braku wliczania paliwo w koszty działalności gospodarczej i</w:t>
      </w:r>
      <w:r w:rsidR="006D27B2">
        <w:rPr>
          <w:color w:val="000000" w:themeColor="text1"/>
        </w:rPr>
        <w:t> </w:t>
      </w:r>
      <w:r w:rsidRPr="00002FD4">
        <w:rPr>
          <w:color w:val="000000" w:themeColor="text1"/>
        </w:rPr>
        <w:t>możliwości odliczenia VAT) – w takim wariancie korzyści środowiskowe zaczęły dominować ilościowo nad korzyściami prywatnymi;</w:t>
      </w:r>
    </w:p>
    <w:p w14:paraId="3AA1C0EF" w14:textId="77777777" w:rsidR="00380EEC" w:rsidRPr="00002FD4" w:rsidRDefault="00380EEC" w:rsidP="001B2A4E">
      <w:pPr>
        <w:pStyle w:val="Akapitzlist"/>
        <w:numPr>
          <w:ilvl w:val="0"/>
          <w:numId w:val="26"/>
        </w:numPr>
        <w:rPr>
          <w:color w:val="000000" w:themeColor="text1"/>
        </w:rPr>
      </w:pPr>
      <w:r w:rsidRPr="00002FD4">
        <w:rPr>
          <w:color w:val="000000" w:themeColor="text1"/>
        </w:rPr>
        <w:lastRenderedPageBreak/>
        <w:t xml:space="preserve">„bez korzyści dla kierowców” - pomijając korzyści związane z prywatnymi oszczędnościami czasu, gdyż korzyść ta ma mocno kontrowersyjny kierunek alokacji (do bardzo wąskiej, wybranej grupy osób, wciąż korzystającej z samochodu), przez co chociaż spełnione jest kryterium </w:t>
      </w:r>
      <w:proofErr w:type="spellStart"/>
      <w:r w:rsidRPr="00002FD4">
        <w:rPr>
          <w:color w:val="000000" w:themeColor="text1"/>
        </w:rPr>
        <w:t>Kaldora-Hicks’a</w:t>
      </w:r>
      <w:proofErr w:type="spellEnd"/>
      <w:r w:rsidRPr="00002FD4">
        <w:rPr>
          <w:color w:val="000000" w:themeColor="text1"/>
        </w:rPr>
        <w:t>, to jednak efekt redystrybucyjny może być uznany za politycznie nieakceptowalny – co oczywiście jest wariantem i założeniem skrajnym oraz kontrowersyjnym, ale jednak godnym zilustrowania.</w:t>
      </w:r>
    </w:p>
    <w:p w14:paraId="6A736EC8" w14:textId="0CBC09FD" w:rsidR="00380EEC" w:rsidRPr="00002FD4" w:rsidRDefault="00380EEC" w:rsidP="00380EEC">
      <w:pPr>
        <w:rPr>
          <w:color w:val="000000" w:themeColor="text1"/>
        </w:rPr>
      </w:pPr>
      <w:r w:rsidRPr="00002FD4">
        <w:rPr>
          <w:color w:val="000000" w:themeColor="text1"/>
        </w:rPr>
        <w:t xml:space="preserve">Wyniki modelowania pokazuje </w:t>
      </w:r>
      <w:r w:rsidRPr="00002FD4">
        <w:rPr>
          <w:color w:val="000000" w:themeColor="text1"/>
        </w:rPr>
        <w:fldChar w:fldCharType="begin"/>
      </w:r>
      <w:r w:rsidRPr="00002FD4">
        <w:rPr>
          <w:color w:val="000000" w:themeColor="text1"/>
        </w:rPr>
        <w:instrText xml:space="preserve"> REF _Ref22898537 \h </w:instrText>
      </w:r>
      <w:r w:rsidRPr="00002FD4">
        <w:rPr>
          <w:color w:val="000000" w:themeColor="text1"/>
        </w:rPr>
      </w:r>
      <w:r w:rsidRPr="00002FD4">
        <w:rPr>
          <w:color w:val="000000" w:themeColor="text1"/>
        </w:rPr>
        <w:fldChar w:fldCharType="separate"/>
      </w:r>
      <w:r w:rsidR="00C93FD7" w:rsidRPr="00002FD4">
        <w:t xml:space="preserve">Rysunek </w:t>
      </w:r>
      <w:r w:rsidR="00C93FD7">
        <w:rPr>
          <w:noProof/>
        </w:rPr>
        <w:t>23</w:t>
      </w:r>
      <w:r w:rsidRPr="00002FD4">
        <w:rPr>
          <w:color w:val="000000" w:themeColor="text1"/>
        </w:rPr>
        <w:fldChar w:fldCharType="end"/>
      </w:r>
      <w:r w:rsidRPr="00002FD4">
        <w:rPr>
          <w:color w:val="000000" w:themeColor="text1"/>
        </w:rPr>
        <w:t>.</w:t>
      </w:r>
    </w:p>
    <w:p w14:paraId="696DE651" w14:textId="5426AB7C" w:rsidR="00380EEC" w:rsidRPr="00002FD4" w:rsidRDefault="00380EEC" w:rsidP="00380EEC">
      <w:pPr>
        <w:pStyle w:val="Legenda"/>
      </w:pPr>
      <w:bookmarkStart w:id="201" w:name="_Ref22898537"/>
      <w:bookmarkStart w:id="202" w:name="_Ref24715496"/>
      <w:bookmarkStart w:id="203" w:name="_Toc27125401"/>
      <w:r w:rsidRPr="00002FD4">
        <w:t xml:space="preserve">Rysunek </w:t>
      </w:r>
      <w:r w:rsidR="003C20BE">
        <w:rPr>
          <w:noProof/>
        </w:rPr>
        <w:fldChar w:fldCharType="begin"/>
      </w:r>
      <w:r w:rsidR="003C20BE">
        <w:rPr>
          <w:noProof/>
        </w:rPr>
        <w:instrText xml:space="preserve"> SEQ Rysunek \* ARABIC </w:instrText>
      </w:r>
      <w:r w:rsidR="003C20BE">
        <w:rPr>
          <w:noProof/>
        </w:rPr>
        <w:fldChar w:fldCharType="separate"/>
      </w:r>
      <w:r w:rsidR="00C93FD7">
        <w:rPr>
          <w:noProof/>
        </w:rPr>
        <w:t>23</w:t>
      </w:r>
      <w:r w:rsidR="003C20BE">
        <w:rPr>
          <w:noProof/>
        </w:rPr>
        <w:fldChar w:fldCharType="end"/>
      </w:r>
      <w:bookmarkEnd w:id="201"/>
      <w:r w:rsidRPr="00002FD4">
        <w:t xml:space="preserve">. Wyniki modelowania AKK dla parkingów </w:t>
      </w:r>
      <w:r w:rsidRPr="00307E9E">
        <w:rPr>
          <w:i/>
        </w:rPr>
        <w:t xml:space="preserve">Park </w:t>
      </w:r>
      <w:r w:rsidR="00AC0A56" w:rsidRPr="00307E9E">
        <w:rPr>
          <w:i/>
        </w:rPr>
        <w:t>&amp;</w:t>
      </w:r>
      <w:r w:rsidRPr="00307E9E">
        <w:rPr>
          <w:i/>
        </w:rPr>
        <w:t xml:space="preserve"> </w:t>
      </w:r>
      <w:proofErr w:type="spellStart"/>
      <w:r w:rsidRPr="00307E9E">
        <w:rPr>
          <w:i/>
        </w:rPr>
        <w:t>Ride</w:t>
      </w:r>
      <w:bookmarkEnd w:id="202"/>
      <w:bookmarkEnd w:id="203"/>
      <w:proofErr w:type="spellEnd"/>
      <w:r w:rsidR="00AF5005" w:rsidRPr="00AF5005">
        <w:rPr>
          <w:noProof/>
        </w:rPr>
        <w:t xml:space="preserve"> </w:t>
      </w:r>
    </w:p>
    <w:p w14:paraId="38298E56" w14:textId="263A48AB" w:rsidR="00380EEC" w:rsidRPr="00002FD4" w:rsidRDefault="00967D28" w:rsidP="00380EEC">
      <w:pPr>
        <w:rPr>
          <w:color w:val="000000" w:themeColor="text1"/>
        </w:rPr>
      </w:pPr>
      <w:r>
        <w:rPr>
          <w:noProof/>
          <w:color w:val="000000" w:themeColor="text1"/>
          <w:lang w:eastAsia="pl-PL"/>
        </w:rPr>
        <mc:AlternateContent>
          <mc:Choice Requires="wpg">
            <w:drawing>
              <wp:anchor distT="0" distB="0" distL="114300" distR="114300" simplePos="0" relativeHeight="251658240" behindDoc="0" locked="0" layoutInCell="1" allowOverlap="1" wp14:anchorId="25029812" wp14:editId="0CFF36CF">
                <wp:simplePos x="0" y="0"/>
                <wp:positionH relativeFrom="column">
                  <wp:posOffset>1076033</wp:posOffset>
                </wp:positionH>
                <wp:positionV relativeFrom="paragraph">
                  <wp:posOffset>237490</wp:posOffset>
                </wp:positionV>
                <wp:extent cx="4394700" cy="2601490"/>
                <wp:effectExtent l="0" t="0" r="0" b="0"/>
                <wp:wrapNone/>
                <wp:docPr id="47" name="Grupa 47" descr="Znaki &quot;plus&quot; i &quot;minus&quot; wyznaczające obszary wykresu, dla których korzystna lub nie pod względem ekonomicznym jest lokalizacja parkingów parkuj i jedź."/>
                <wp:cNvGraphicFramePr/>
                <a:graphic xmlns:a="http://schemas.openxmlformats.org/drawingml/2006/main">
                  <a:graphicData uri="http://schemas.microsoft.com/office/word/2010/wordprocessingGroup">
                    <wpg:wgp>
                      <wpg:cNvGrpSpPr/>
                      <wpg:grpSpPr>
                        <a:xfrm>
                          <a:off x="0" y="0"/>
                          <a:ext cx="4394700" cy="2601490"/>
                          <a:chOff x="0" y="0"/>
                          <a:chExt cx="4394700" cy="2601490"/>
                        </a:xfrm>
                      </wpg:grpSpPr>
                      <wps:wsp>
                        <wps:cNvPr id="3" name="Znak plus 1"/>
                        <wps:cNvSpPr/>
                        <wps:spPr>
                          <a:xfrm>
                            <a:off x="0" y="0"/>
                            <a:ext cx="1079966" cy="1079970"/>
                          </a:xfrm>
                          <a:prstGeom prst="mathPlus">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vertOverflow="clip"/>
                      </wps:wsp>
                      <wps:wsp>
                        <wps:cNvPr id="5" name="Znak minus 1" descr="Symbol plus i minus dla części wykresu odpowiadającego korzyściom oraz brakowi korzyści wynikających z unikniętego przebiegu samochodem dla parkingów parkuj i jedź."/>
                        <wps:cNvSpPr>
                          <a:spLocks noChangeAspect="1"/>
                        </wps:cNvSpPr>
                        <wps:spPr>
                          <a:xfrm>
                            <a:off x="3314700" y="1666875"/>
                            <a:ext cx="1080000" cy="934615"/>
                          </a:xfrm>
                          <a:prstGeom prst="mathMinus">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4AAC533" id="Grupa 47" o:spid="_x0000_s1026" alt="Znaki &quot;plus&quot; i &quot;minus&quot; wyznaczające obszary wykresu, dla których korzystna lub nie pod względem ekonomicznym jest lokalizacja parkingów parkuj i jedź." style="position:absolute;margin-left:84.75pt;margin-top:18.7pt;width:346.05pt;height:204.85pt;z-index:251658240" coordsize="43947,26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">
                <v:shape id="Znak plus 1" o:spid="_x0000_s1027" style="position:absolute;width:10799;height:10799;visibility:visible;mso-wrap-style:square;v-text-anchor:top" coordsize="1079966,107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" path="m143149,412981r269830,l412979,143150r254008,l666987,412981r269830,l936817,666989r-269830,l666987,936820r-254008,l412979,666989r-269830,l143149,412981xe" fillcolor="#00b050" stroked="f" strokeweight="1pt">
                  <v:stroke joinstyle="miter"/>
                  <v:path arrowok="t" o:connecttype="custom" o:connectlocs="143149,412981;412979,412981;412979,143150;666987,143150;666987,412981;936817,412981;936817,666989;666987,666989;666987,936820;412979,936820;412979,666989;143149,666989;143149,412981" o:connectangles="0,0,0,0,0,0,0,0,0,0,0,0,0"/>
                </v:shape>
                <v:shape id="Znak minus 1" o:spid="_x0000_s1028" alt="Symbol plus i minus dla części wykresu odpowiadającego korzyściom oraz brakowi korzyści wynikających z unikniętego przebiegu samochodem dla parkingów parkuj i jedź." style="position:absolute;left:33147;top:16668;width:10800;height:9346;visibility:visible;mso-wrap-style:square;v-text-anchor:middle" coordsize="1080000,93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" path="m143154,357397r793692,l936846,577218r-793692,l143154,357397xe" fillcolor="red" stroked="f" strokeweight="1pt">
                  <v:stroke joinstyle="miter"/>
                  <v:path arrowok="t" o:connecttype="custom" o:connectlocs="143154,357397;936846,357397;936846,577218;143154,577218;143154,357397" o:connectangles="0,0,0,0,0"/>
                  <o:lock v:ext="edit" aspectratio="t"/>
                </v:shape>
              </v:group>
            </w:pict>
          </mc:Fallback>
        </mc:AlternateContent>
      </w:r>
      <w:r w:rsidR="00380EEC" w:rsidRPr="00002FD4">
        <w:rPr>
          <w:noProof/>
          <w:color w:val="000000" w:themeColor="text1"/>
          <w:lang w:eastAsia="pl-PL"/>
        </w:rPr>
        <w:drawing>
          <wp:inline distT="0" distB="0" distL="0" distR="0" wp14:anchorId="62B369FE" wp14:editId="6F3D5F40">
            <wp:extent cx="5760720" cy="3838575"/>
            <wp:effectExtent l="0" t="0" r="0" b="0"/>
            <wp:docPr id="23" name="Wykres 23" descr="Na wykresie wskazano trzy funkcje liniowe wskazujące krytyczny dzienny uniknięty przebieg samochodem, przy którym bilansuje się budowa parkingów parkuj i jedź w wariantach uwzględniających pełen koszt użycia samochodu, tylko krańcowy koszt użycia samochodu oraz brak korzyści dla kierowców, czyli wyłącznie korzyści dla społeczeństwa. Jednostkowy koszt parkingu zamodelowano między 10 a 90 tysięcy złotych za miejsce parkingowe. Krytyczna wartość przebiegu wynosi między 3 a 45 kilometrów dziennie, natomiast w każdym przypadku dystans uniknięty przez kierowców, który będzie większy od wskazań funkcji liniowej jest korzystny i parking znajduje uzasadnienie w stanie ekonomicznym.">
              <a:extLst xmlns:a="http://schemas.openxmlformats.org/drawingml/2006/main">
                <a:ext uri="{FF2B5EF4-FFF2-40B4-BE49-F238E27FC236}">
                  <a16:creationId xmlns:a16="http://schemas.microsoft.com/office/drawing/2014/main" id="{89712A59-22C7-4F34-A989-FB8DC6E703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D465C13" w14:textId="329BF98E" w:rsidR="00380EEC" w:rsidRPr="00002FD4" w:rsidRDefault="00380EEC" w:rsidP="00380EEC">
      <w:pPr>
        <w:pStyle w:val="Legenda"/>
      </w:pPr>
      <w:r w:rsidRPr="00002FD4">
        <w:t>Źródło: Opracowanie własne</w:t>
      </w:r>
      <w:r w:rsidR="002071E4">
        <w:t>.</w:t>
      </w:r>
    </w:p>
    <w:p w14:paraId="7F470EC7" w14:textId="7FA4585F" w:rsidR="00380EEC" w:rsidRPr="00002FD4" w:rsidRDefault="00380EEC" w:rsidP="00380EEC">
      <w:pPr>
        <w:rPr>
          <w:color w:val="000000" w:themeColor="text1"/>
        </w:rPr>
      </w:pPr>
      <w:r w:rsidRPr="00002FD4">
        <w:rPr>
          <w:color w:val="000000" w:themeColor="text1"/>
        </w:rPr>
        <w:t xml:space="preserve">Analiza wskazuje, że wielopoziomowe, miejskie parkingi </w:t>
      </w:r>
      <w:r w:rsidRPr="00307E9E">
        <w:rPr>
          <w:i/>
          <w:color w:val="000000" w:themeColor="text1"/>
        </w:rPr>
        <w:t xml:space="preserve">Park </w:t>
      </w:r>
      <w:r w:rsidR="00FD39CD" w:rsidRPr="00307E9E">
        <w:rPr>
          <w:i/>
          <w:color w:val="000000" w:themeColor="text1"/>
        </w:rPr>
        <w:t>&amp;</w:t>
      </w:r>
      <w:r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 xml:space="preserve"> bardzo często są inwestycjami na granicy rentowości – uwzględniając najbardziej realistyczny wariant wyceny kosztów i korzyści, przy koszcie miejsca 50 000 zł, krytyczny uniknięty przebieg samochodu wynosi ok. 19 km. W</w:t>
      </w:r>
      <w:r w:rsidR="00FD39CD" w:rsidRPr="00002FD4">
        <w:rPr>
          <w:color w:val="000000" w:themeColor="text1"/>
        </w:rPr>
        <w:t> </w:t>
      </w:r>
      <w:r w:rsidRPr="00002FD4">
        <w:rPr>
          <w:color w:val="000000" w:themeColor="text1"/>
        </w:rPr>
        <w:t>praktyce – ze względu na dużą liczbę inwestycji alternatywnych - w dojrzałych systemach transportowych poszukuje się inwestycji o wskaźniku kosztów i korzyści na poziomie 2, co by musiało oznaczać przebiegi rzędu 38 kilometrów</w:t>
      </w:r>
      <w:r w:rsidR="00AF5005">
        <w:rPr>
          <w:color w:val="000000" w:themeColor="text1"/>
        </w:rPr>
        <w:t>, czyli lokalizację parkingu w odległości ok. 20 kilometrów od rdzenia aglomeracji</w:t>
      </w:r>
      <w:r w:rsidRPr="00002FD4">
        <w:rPr>
          <w:color w:val="000000" w:themeColor="text1"/>
        </w:rPr>
        <w:t>. Tego typu odległości mogą eliminować zasadność budowy wielopoziomowych parkingów w obrębie rdzeni aglomeracji, w przypadku gdyby wykonywano dla nich analizę kosztów i korzyści odrębnie od pozostałych elementów projektu.</w:t>
      </w:r>
    </w:p>
    <w:p w14:paraId="640EEC3D" w14:textId="77777777" w:rsidR="00380EEC" w:rsidRPr="00002FD4" w:rsidRDefault="00380EEC" w:rsidP="00380EEC">
      <w:pPr>
        <w:rPr>
          <w:color w:val="000000" w:themeColor="text1"/>
        </w:rPr>
      </w:pPr>
      <w:r w:rsidRPr="00002FD4">
        <w:rPr>
          <w:color w:val="000000" w:themeColor="text1"/>
        </w:rPr>
        <w:t>Wysoką efektywność wykazują parkingi tanie – przy koszcie miejsca 10 000 zł, punkt krytyczny osiąga się już przy unikniętym przebiegu samochodu 4 km, co w praktyce przy dojazdach rzędu 10 km w jedną stronę oznacza bardzo korzystny wskaźnik kosztów do korzyści rzędu 5, zaś przy dojazdach 20 kilometrowych – rzędu 10. Oczywiście w takiej sytuacji korzyści również ulegają pewnemu zmniejszeniu, ale wciąż ich bilans do kosztów pozostaje atrakcyjny.</w:t>
      </w:r>
    </w:p>
    <w:p w14:paraId="187B5FDD" w14:textId="4E5243EE" w:rsidR="00380EEC" w:rsidRPr="00002FD4" w:rsidRDefault="00AF5005" w:rsidP="00380EEC">
      <w:pPr>
        <w:rPr>
          <w:color w:val="000000" w:themeColor="text1"/>
        </w:rPr>
      </w:pPr>
      <w:r>
        <w:rPr>
          <w:color w:val="000000" w:themeColor="text1"/>
        </w:rPr>
        <w:lastRenderedPageBreak/>
        <w:t>Ważnym</w:t>
      </w:r>
      <w:r w:rsidR="00380EEC" w:rsidRPr="00002FD4">
        <w:rPr>
          <w:color w:val="000000" w:themeColor="text1"/>
        </w:rPr>
        <w:t>, pobocznym wynikiem analizy jest również określenie kosztów zewnętrznych użycia samochodu w mieście na poziomie ok. 0,47 zł/km, podczas gdy koszt podatków i opłat publicznych zawartych w cenie paliwa to ok. 0,20 zł/km. Pozwala to łatwo obalić mit, że kierowcy poprzez opłaty pokrywają koszty – z pewności</w:t>
      </w:r>
      <w:r w:rsidR="009A721C" w:rsidRPr="00002FD4">
        <w:rPr>
          <w:color w:val="000000" w:themeColor="text1"/>
        </w:rPr>
        <w:t>ą</w:t>
      </w:r>
      <w:r w:rsidR="00380EEC" w:rsidRPr="00002FD4">
        <w:rPr>
          <w:color w:val="000000" w:themeColor="text1"/>
        </w:rPr>
        <w:t xml:space="preserve"> nie dzieje się tak w miastach, tym bardziej że nie uwzględniono przy tym kosztów budowy i utrzymania dróg, a jedynie wypadków, hałasu, zanieczyszczeń i zmian klimatycznych.</w:t>
      </w:r>
    </w:p>
    <w:p w14:paraId="462E9EC8" w14:textId="6E1955DE" w:rsidR="00AA1140" w:rsidRPr="00002FD4" w:rsidRDefault="00AA1140" w:rsidP="00380EEC">
      <w:pPr>
        <w:rPr>
          <w:color w:val="000000" w:themeColor="text1"/>
        </w:rPr>
      </w:pPr>
      <w:r w:rsidRPr="00002FD4">
        <w:rPr>
          <w:color w:val="000000" w:themeColor="text1"/>
        </w:rPr>
        <w:t xml:space="preserve">Wyniki analizy pod kątem spójności zweryfikowano z wynikami analiz w udostępnionych studiach wykonalności. Koszty i korzyści związane z parkingami </w:t>
      </w:r>
      <w:r w:rsidRPr="00307E9E">
        <w:rPr>
          <w:i/>
          <w:color w:val="000000" w:themeColor="text1"/>
        </w:rPr>
        <w:t>Park</w:t>
      </w:r>
      <w:r w:rsidR="00CE3BA8" w:rsidRPr="00307E9E">
        <w:rPr>
          <w:i/>
          <w:color w:val="000000" w:themeColor="text1"/>
        </w:rPr>
        <w:t xml:space="preserve"> </w:t>
      </w:r>
      <w:r w:rsidRPr="00307E9E">
        <w:rPr>
          <w:i/>
          <w:color w:val="000000" w:themeColor="text1"/>
        </w:rPr>
        <w:t>&amp;</w:t>
      </w:r>
      <w:r w:rsidR="00CE3BA8" w:rsidRPr="00307E9E">
        <w:rPr>
          <w:i/>
          <w:color w:val="000000" w:themeColor="text1"/>
        </w:rPr>
        <w:t xml:space="preserve"> </w:t>
      </w:r>
      <w:proofErr w:type="spellStart"/>
      <w:r w:rsidRPr="00307E9E">
        <w:rPr>
          <w:i/>
          <w:color w:val="000000" w:themeColor="text1"/>
        </w:rPr>
        <w:t>Ride</w:t>
      </w:r>
      <w:proofErr w:type="spellEnd"/>
      <w:r w:rsidRPr="00002FD4">
        <w:rPr>
          <w:color w:val="000000" w:themeColor="text1"/>
        </w:rPr>
        <w:t xml:space="preserve"> udało się odczytać w przypadku 3 projektów węzłów przesiadkowych: Gdynia Chylonia, Siechnice (2 węzły) i Opole Wschód. Zestawienie wyników analiz przedstawia </w:t>
      </w:r>
      <w:r w:rsidRPr="00002FD4">
        <w:rPr>
          <w:color w:val="000000" w:themeColor="text1"/>
        </w:rPr>
        <w:fldChar w:fldCharType="begin"/>
      </w:r>
      <w:r w:rsidRPr="00002FD4">
        <w:rPr>
          <w:color w:val="000000" w:themeColor="text1"/>
        </w:rPr>
        <w:instrText xml:space="preserve"> REF _Ref24714563 \h </w:instrText>
      </w:r>
      <w:r w:rsidRPr="00002FD4">
        <w:rPr>
          <w:color w:val="000000" w:themeColor="text1"/>
        </w:rPr>
      </w:r>
      <w:r w:rsidRPr="00002FD4">
        <w:rPr>
          <w:color w:val="000000" w:themeColor="text1"/>
        </w:rPr>
        <w:fldChar w:fldCharType="separate"/>
      </w:r>
      <w:r w:rsidR="00C93FD7" w:rsidRPr="00002FD4">
        <w:t xml:space="preserve">Tabela </w:t>
      </w:r>
      <w:r w:rsidR="00C93FD7">
        <w:rPr>
          <w:noProof/>
        </w:rPr>
        <w:t>19</w:t>
      </w:r>
      <w:r w:rsidRPr="00002FD4">
        <w:rPr>
          <w:color w:val="000000" w:themeColor="text1"/>
        </w:rPr>
        <w:fldChar w:fldCharType="end"/>
      </w:r>
      <w:r w:rsidRPr="00002FD4">
        <w:rPr>
          <w:color w:val="000000" w:themeColor="text1"/>
        </w:rPr>
        <w:t>.</w:t>
      </w:r>
    </w:p>
    <w:p w14:paraId="5031BB79" w14:textId="2B61523A" w:rsidR="008A732C" w:rsidRPr="00002FD4" w:rsidRDefault="008A732C" w:rsidP="008A732C">
      <w:pPr>
        <w:pStyle w:val="Legenda"/>
      </w:pPr>
      <w:bookmarkStart w:id="204" w:name="_Ref24714563"/>
      <w:bookmarkStart w:id="205" w:name="_Toc27125377"/>
      <w:r w:rsidRPr="00002FD4">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19</w:t>
      </w:r>
      <w:r w:rsidR="003C20BE">
        <w:rPr>
          <w:noProof/>
        </w:rPr>
        <w:fldChar w:fldCharType="end"/>
      </w:r>
      <w:bookmarkEnd w:id="204"/>
      <w:r w:rsidRPr="00002FD4">
        <w:t xml:space="preserve">. Zestawienie parametrów wejściowych analizy kosztów i korzyści w projektach </w:t>
      </w:r>
      <w:r w:rsidRPr="00307E9E">
        <w:rPr>
          <w:i/>
        </w:rPr>
        <w:t>Park</w:t>
      </w:r>
      <w:r w:rsidR="00AC0A56" w:rsidRPr="00307E9E">
        <w:rPr>
          <w:i/>
        </w:rPr>
        <w:t xml:space="preserve"> </w:t>
      </w:r>
      <w:r w:rsidRPr="00307E9E">
        <w:rPr>
          <w:i/>
        </w:rPr>
        <w:t>&amp;</w:t>
      </w:r>
      <w:r w:rsidR="00AC0A56" w:rsidRPr="00307E9E">
        <w:rPr>
          <w:i/>
        </w:rPr>
        <w:t xml:space="preserve"> </w:t>
      </w:r>
      <w:proofErr w:type="spellStart"/>
      <w:r w:rsidRPr="00307E9E">
        <w:rPr>
          <w:i/>
        </w:rPr>
        <w:t>Ride</w:t>
      </w:r>
      <w:proofErr w:type="spellEnd"/>
      <w:r w:rsidRPr="00002FD4">
        <w:t xml:space="preserve"> POIiŚ 2014-2020 i analizie własnej</w:t>
      </w:r>
      <w:bookmarkEnd w:id="205"/>
    </w:p>
    <w:tbl>
      <w:tblPr>
        <w:tblStyle w:val="WolanskiCorpTabela3"/>
        <w:tblW w:w="0" w:type="auto"/>
        <w:tblLook w:val="04A0" w:firstRow="1" w:lastRow="0" w:firstColumn="1" w:lastColumn="0" w:noHBand="0" w:noVBand="1"/>
      </w:tblPr>
      <w:tblGrid>
        <w:gridCol w:w="388"/>
        <w:gridCol w:w="2893"/>
        <w:gridCol w:w="1356"/>
        <w:gridCol w:w="1511"/>
        <w:gridCol w:w="1489"/>
        <w:gridCol w:w="1434"/>
      </w:tblGrid>
      <w:tr w:rsidR="00547F9C" w:rsidRPr="00002FD4" w14:paraId="166F2640" w14:textId="77777777" w:rsidTr="00D415F4">
        <w:trPr>
          <w:cnfStyle w:val="100000000000" w:firstRow="1" w:lastRow="0" w:firstColumn="0" w:lastColumn="0" w:oddVBand="0" w:evenVBand="0" w:oddHBand="0" w:evenHBand="0" w:firstRowFirstColumn="0" w:firstRowLastColumn="0" w:lastRowFirstColumn="0" w:lastRowLastColumn="0"/>
          <w:trHeight w:val="300"/>
        </w:trPr>
        <w:tc>
          <w:tcPr>
            <w:tcW w:w="0" w:type="auto"/>
            <w:noWrap/>
            <w:hideMark/>
          </w:tcPr>
          <w:p w14:paraId="0EE01EAF" w14:textId="6CC2CB44" w:rsidR="00844FFD" w:rsidRPr="00002FD4" w:rsidRDefault="00844FFD" w:rsidP="00FA7E39">
            <w:pPr>
              <w:spacing w:before="0" w:after="0" w:line="240" w:lineRule="auto"/>
              <w:jc w:val="center"/>
              <w:rPr>
                <w:rFonts w:asciiTheme="majorHAnsi" w:eastAsia="Times New Roman" w:hAnsiTheme="majorHAnsi" w:cs="Times New Roman"/>
                <w:color w:val="000000" w:themeColor="text1"/>
                <w:sz w:val="18"/>
                <w:szCs w:val="18"/>
                <w:lang w:eastAsia="pl-PL"/>
              </w:rPr>
            </w:pPr>
          </w:p>
        </w:tc>
        <w:tc>
          <w:tcPr>
            <w:tcW w:w="0" w:type="auto"/>
            <w:noWrap/>
          </w:tcPr>
          <w:p w14:paraId="4705E6E8" w14:textId="4648AA87" w:rsidR="00844FFD" w:rsidRPr="00002FD4" w:rsidRDefault="00FA7E39" w:rsidP="00FA7E39">
            <w:pPr>
              <w:spacing w:before="0" w:after="0" w:line="240" w:lineRule="auto"/>
              <w:jc w:val="center"/>
              <w:rPr>
                <w:rFonts w:asciiTheme="majorHAnsi" w:eastAsia="Times New Roman" w:hAnsiTheme="majorHAnsi" w:cs="Calibri"/>
                <w:bCs/>
                <w:color w:val="000000" w:themeColor="text1"/>
                <w:sz w:val="18"/>
                <w:szCs w:val="18"/>
                <w:lang w:eastAsia="pl-PL"/>
              </w:rPr>
            </w:pPr>
            <w:r w:rsidRPr="00002FD4">
              <w:rPr>
                <w:rFonts w:asciiTheme="majorHAnsi" w:eastAsia="Times New Roman" w:hAnsiTheme="majorHAnsi" w:cs="Calibri"/>
                <w:bCs/>
                <w:color w:val="000000" w:themeColor="text1"/>
                <w:sz w:val="18"/>
                <w:szCs w:val="18"/>
                <w:lang w:eastAsia="pl-PL"/>
              </w:rPr>
              <w:t xml:space="preserve">Parametr </w:t>
            </w:r>
            <w:r w:rsidR="008A732C" w:rsidRPr="00002FD4">
              <w:rPr>
                <w:rFonts w:asciiTheme="majorHAnsi" w:eastAsia="Times New Roman" w:hAnsiTheme="majorHAnsi" w:cs="Calibri"/>
                <w:bCs/>
                <w:color w:val="000000" w:themeColor="text1"/>
                <w:sz w:val="18"/>
                <w:szCs w:val="18"/>
                <w:lang w:eastAsia="pl-PL"/>
              </w:rPr>
              <w:t>\ MIASTO</w:t>
            </w:r>
          </w:p>
        </w:tc>
        <w:tc>
          <w:tcPr>
            <w:tcW w:w="0" w:type="auto"/>
            <w:noWrap/>
            <w:hideMark/>
          </w:tcPr>
          <w:p w14:paraId="4878291F" w14:textId="77777777" w:rsidR="00844FFD" w:rsidRPr="00002FD4" w:rsidRDefault="00844FFD">
            <w:pPr>
              <w:spacing w:before="0" w:after="0" w:line="240" w:lineRule="auto"/>
              <w:jc w:val="center"/>
              <w:rPr>
                <w:rFonts w:asciiTheme="majorHAnsi" w:eastAsia="Times New Roman" w:hAnsiTheme="majorHAnsi" w:cs="Calibri"/>
                <w:color w:val="000000" w:themeColor="text1"/>
                <w:sz w:val="18"/>
                <w:szCs w:val="18"/>
                <w:lang w:eastAsia="pl-PL"/>
              </w:rPr>
            </w:pPr>
            <w:r w:rsidRPr="00002FD4">
              <w:rPr>
                <w:rFonts w:asciiTheme="majorHAnsi" w:eastAsia="Times New Roman" w:hAnsiTheme="majorHAnsi" w:cs="Calibri"/>
                <w:color w:val="000000" w:themeColor="text1"/>
                <w:sz w:val="18"/>
                <w:szCs w:val="18"/>
                <w:lang w:eastAsia="pl-PL"/>
              </w:rPr>
              <w:t>Gdynia</w:t>
            </w:r>
          </w:p>
        </w:tc>
        <w:tc>
          <w:tcPr>
            <w:tcW w:w="0" w:type="auto"/>
            <w:noWrap/>
            <w:hideMark/>
          </w:tcPr>
          <w:p w14:paraId="44CE781B" w14:textId="77777777" w:rsidR="00844FFD" w:rsidRPr="00002FD4" w:rsidRDefault="00844FFD">
            <w:pPr>
              <w:spacing w:before="0" w:after="0" w:line="240" w:lineRule="auto"/>
              <w:jc w:val="center"/>
              <w:rPr>
                <w:rFonts w:asciiTheme="majorHAnsi" w:eastAsia="Times New Roman" w:hAnsiTheme="majorHAnsi" w:cs="Calibri"/>
                <w:color w:val="000000" w:themeColor="text1"/>
                <w:sz w:val="18"/>
                <w:szCs w:val="18"/>
                <w:lang w:eastAsia="pl-PL"/>
              </w:rPr>
            </w:pPr>
            <w:r w:rsidRPr="00002FD4">
              <w:rPr>
                <w:rFonts w:asciiTheme="majorHAnsi" w:eastAsia="Times New Roman" w:hAnsiTheme="majorHAnsi" w:cs="Calibri"/>
                <w:color w:val="000000" w:themeColor="text1"/>
                <w:sz w:val="18"/>
                <w:szCs w:val="18"/>
                <w:lang w:eastAsia="pl-PL"/>
              </w:rPr>
              <w:t>Siechnice</w:t>
            </w:r>
          </w:p>
        </w:tc>
        <w:tc>
          <w:tcPr>
            <w:tcW w:w="0" w:type="auto"/>
            <w:noWrap/>
            <w:hideMark/>
          </w:tcPr>
          <w:p w14:paraId="3FE28896" w14:textId="77777777" w:rsidR="00844FFD" w:rsidRPr="00002FD4" w:rsidRDefault="00844FFD">
            <w:pPr>
              <w:spacing w:before="0" w:after="0" w:line="240" w:lineRule="auto"/>
              <w:jc w:val="center"/>
              <w:rPr>
                <w:rFonts w:asciiTheme="majorHAnsi" w:eastAsia="Times New Roman" w:hAnsiTheme="majorHAnsi" w:cs="Calibri"/>
                <w:color w:val="000000" w:themeColor="text1"/>
                <w:sz w:val="18"/>
                <w:szCs w:val="18"/>
                <w:lang w:eastAsia="pl-PL"/>
              </w:rPr>
            </w:pPr>
            <w:r w:rsidRPr="00002FD4">
              <w:rPr>
                <w:rFonts w:asciiTheme="majorHAnsi" w:eastAsia="Times New Roman" w:hAnsiTheme="majorHAnsi" w:cs="Calibri"/>
                <w:color w:val="000000" w:themeColor="text1"/>
                <w:sz w:val="18"/>
                <w:szCs w:val="18"/>
                <w:lang w:eastAsia="pl-PL"/>
              </w:rPr>
              <w:t>Opole</w:t>
            </w:r>
          </w:p>
        </w:tc>
        <w:tc>
          <w:tcPr>
            <w:tcW w:w="0" w:type="auto"/>
            <w:noWrap/>
            <w:hideMark/>
          </w:tcPr>
          <w:p w14:paraId="709EC818" w14:textId="47A9E322" w:rsidR="00844FFD" w:rsidRPr="00002FD4" w:rsidRDefault="00FA7E39">
            <w:pPr>
              <w:spacing w:before="0" w:after="0" w:line="240" w:lineRule="auto"/>
              <w:jc w:val="center"/>
              <w:rPr>
                <w:rFonts w:asciiTheme="majorHAnsi" w:eastAsia="Times New Roman" w:hAnsiTheme="majorHAnsi" w:cs="Calibri"/>
                <w:color w:val="000000" w:themeColor="text1"/>
                <w:sz w:val="18"/>
                <w:szCs w:val="18"/>
                <w:lang w:eastAsia="pl-PL"/>
              </w:rPr>
            </w:pPr>
            <w:r w:rsidRPr="00002FD4">
              <w:rPr>
                <w:rFonts w:asciiTheme="majorHAnsi" w:eastAsia="Times New Roman" w:hAnsiTheme="majorHAnsi" w:cs="Calibri"/>
                <w:color w:val="000000" w:themeColor="text1"/>
                <w:sz w:val="18"/>
                <w:szCs w:val="18"/>
                <w:lang w:eastAsia="pl-PL"/>
              </w:rPr>
              <w:t>ANALIZA WŁASNA</w:t>
            </w:r>
          </w:p>
        </w:tc>
      </w:tr>
      <w:tr w:rsidR="00AF5005" w:rsidRPr="00002FD4" w14:paraId="61619C4B" w14:textId="77777777" w:rsidTr="00D43957">
        <w:trPr>
          <w:cnfStyle w:val="000000100000" w:firstRow="0" w:lastRow="0" w:firstColumn="0" w:lastColumn="0" w:oddVBand="0" w:evenVBand="0" w:oddHBand="1" w:evenHBand="0" w:firstRowFirstColumn="0" w:firstRowLastColumn="0" w:lastRowFirstColumn="0" w:lastRowLastColumn="0"/>
          <w:trHeight w:val="300"/>
        </w:trPr>
        <w:tc>
          <w:tcPr>
            <w:tcW w:w="0" w:type="auto"/>
            <w:gridSpan w:val="2"/>
            <w:noWrap/>
            <w:vAlign w:val="center"/>
            <w:hideMark/>
          </w:tcPr>
          <w:p w14:paraId="484860F7" w14:textId="1F972342" w:rsidR="00AF5005" w:rsidRPr="00002FD4" w:rsidRDefault="00AF5005" w:rsidP="00D43957">
            <w:pPr>
              <w:spacing w:before="0" w:after="0" w:line="240" w:lineRule="auto"/>
              <w:jc w:val="center"/>
              <w:rPr>
                <w:rFonts w:eastAsia="Times New Roman" w:cs="Calibri"/>
                <w:b/>
                <w:bCs/>
                <w:color w:val="000000" w:themeColor="text1"/>
                <w:sz w:val="18"/>
                <w:szCs w:val="18"/>
                <w:lang w:eastAsia="pl-PL"/>
              </w:rPr>
            </w:pPr>
            <w:r w:rsidRPr="00002FD4">
              <w:rPr>
                <w:rFonts w:eastAsia="Times New Roman" w:cs="Calibri"/>
                <w:b/>
                <w:color w:val="000000" w:themeColor="text1"/>
                <w:sz w:val="18"/>
                <w:szCs w:val="18"/>
                <w:lang w:eastAsia="pl-PL"/>
              </w:rPr>
              <w:t>Projekt</w:t>
            </w:r>
          </w:p>
        </w:tc>
        <w:tc>
          <w:tcPr>
            <w:tcW w:w="0" w:type="auto"/>
            <w:noWrap/>
            <w:vAlign w:val="center"/>
            <w:hideMark/>
          </w:tcPr>
          <w:p w14:paraId="1BBCC1EB"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Węzeł Chylonia</w:t>
            </w:r>
          </w:p>
        </w:tc>
        <w:tc>
          <w:tcPr>
            <w:tcW w:w="0" w:type="auto"/>
            <w:noWrap/>
            <w:vAlign w:val="center"/>
            <w:hideMark/>
          </w:tcPr>
          <w:p w14:paraId="33681436"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 węzły przesiadkowe</w:t>
            </w:r>
          </w:p>
        </w:tc>
        <w:tc>
          <w:tcPr>
            <w:tcW w:w="0" w:type="auto"/>
            <w:noWrap/>
            <w:vAlign w:val="center"/>
            <w:hideMark/>
          </w:tcPr>
          <w:p w14:paraId="3ADC2C2A"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Węzeł Opole Wschód</w:t>
            </w:r>
          </w:p>
        </w:tc>
        <w:tc>
          <w:tcPr>
            <w:tcW w:w="0" w:type="auto"/>
            <w:noWrap/>
            <w:vAlign w:val="center"/>
            <w:hideMark/>
          </w:tcPr>
          <w:p w14:paraId="2B972B37" w14:textId="5B1BA0CB"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AF5005" w:rsidRPr="00002FD4" w14:paraId="479F036D" w14:textId="77777777" w:rsidTr="00D43957">
        <w:trPr>
          <w:trHeight w:val="300"/>
        </w:trPr>
        <w:tc>
          <w:tcPr>
            <w:tcW w:w="0" w:type="auto"/>
            <w:gridSpan w:val="2"/>
            <w:noWrap/>
            <w:vAlign w:val="center"/>
            <w:hideMark/>
          </w:tcPr>
          <w:p w14:paraId="72D5B476" w14:textId="4504D202" w:rsidR="00AF5005" w:rsidRPr="00002FD4" w:rsidRDefault="00AF5005" w:rsidP="00FB1044">
            <w:pPr>
              <w:spacing w:before="0" w:after="0" w:line="240" w:lineRule="auto"/>
              <w:jc w:val="center"/>
              <w:rPr>
                <w:rFonts w:eastAsia="Times New Roman" w:cs="Calibri"/>
                <w:b/>
                <w:bCs/>
                <w:color w:val="000000" w:themeColor="text1"/>
                <w:sz w:val="18"/>
                <w:szCs w:val="18"/>
                <w:lang w:eastAsia="pl-PL"/>
              </w:rPr>
            </w:pPr>
            <w:r>
              <w:rPr>
                <w:rFonts w:eastAsia="Times New Roman" w:cs="Times New Roman"/>
                <w:b/>
                <w:color w:val="000000" w:themeColor="text1"/>
                <w:sz w:val="18"/>
                <w:szCs w:val="18"/>
                <w:lang w:eastAsia="pl-PL"/>
              </w:rPr>
              <w:t>Specyfika obiektu</w:t>
            </w:r>
          </w:p>
        </w:tc>
        <w:tc>
          <w:tcPr>
            <w:tcW w:w="0" w:type="auto"/>
            <w:noWrap/>
            <w:vAlign w:val="center"/>
            <w:hideMark/>
          </w:tcPr>
          <w:p w14:paraId="0B78F600"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parking podziemny</w:t>
            </w:r>
          </w:p>
        </w:tc>
        <w:tc>
          <w:tcPr>
            <w:tcW w:w="0" w:type="auto"/>
            <w:noWrap/>
            <w:vAlign w:val="center"/>
            <w:hideMark/>
          </w:tcPr>
          <w:p w14:paraId="3A821D77"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 parkingi naziemne</w:t>
            </w:r>
          </w:p>
        </w:tc>
        <w:tc>
          <w:tcPr>
            <w:tcW w:w="0" w:type="auto"/>
            <w:noWrap/>
            <w:vAlign w:val="center"/>
            <w:hideMark/>
          </w:tcPr>
          <w:p w14:paraId="2CB1324D" w14:textId="77777777"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parking naziemny</w:t>
            </w:r>
          </w:p>
        </w:tc>
        <w:tc>
          <w:tcPr>
            <w:tcW w:w="0" w:type="auto"/>
            <w:noWrap/>
            <w:vAlign w:val="center"/>
            <w:hideMark/>
          </w:tcPr>
          <w:p w14:paraId="24E3862C" w14:textId="1C40E3AA" w:rsidR="00AF5005" w:rsidRPr="00002FD4" w:rsidRDefault="00AF5005" w:rsidP="00D415F4">
            <w:pPr>
              <w:spacing w:before="0" w:after="0" w:line="240" w:lineRule="auto"/>
              <w:jc w:val="center"/>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547F9C" w:rsidRPr="00002FD4" w14:paraId="691DC4BA" w14:textId="77777777" w:rsidTr="00D415F4">
        <w:trPr>
          <w:cnfStyle w:val="000000100000" w:firstRow="0" w:lastRow="0" w:firstColumn="0" w:lastColumn="0" w:oddVBand="0" w:evenVBand="0" w:oddHBand="1" w:evenHBand="0" w:firstRowFirstColumn="0" w:firstRowLastColumn="0" w:lastRowFirstColumn="0" w:lastRowLastColumn="0"/>
          <w:trHeight w:val="300"/>
        </w:trPr>
        <w:tc>
          <w:tcPr>
            <w:tcW w:w="0" w:type="auto"/>
            <w:noWrap/>
          </w:tcPr>
          <w:p w14:paraId="3A534457" w14:textId="6DA7E827" w:rsidR="008A732C" w:rsidRPr="00002FD4" w:rsidRDefault="008A732C" w:rsidP="008A732C">
            <w:pPr>
              <w:spacing w:before="0" w:after="0" w:line="240" w:lineRule="auto"/>
              <w:ind w:left="-104"/>
              <w:jc w:val="right"/>
              <w:rPr>
                <w:rFonts w:eastAsia="Times New Roman" w:cs="Times New Roman"/>
                <w:color w:val="000000" w:themeColor="text1"/>
                <w:sz w:val="18"/>
                <w:szCs w:val="18"/>
                <w:lang w:eastAsia="pl-PL"/>
              </w:rPr>
            </w:pPr>
          </w:p>
        </w:tc>
        <w:tc>
          <w:tcPr>
            <w:tcW w:w="0" w:type="auto"/>
            <w:noWrap/>
          </w:tcPr>
          <w:p w14:paraId="27718BFB" w14:textId="36760097" w:rsidR="008A732C" w:rsidRPr="00002FD4" w:rsidRDefault="008A732C" w:rsidP="008A732C">
            <w:pPr>
              <w:spacing w:before="0" w:after="0" w:line="240" w:lineRule="auto"/>
              <w:jc w:val="left"/>
              <w:rPr>
                <w:rFonts w:eastAsia="Times New Roman" w:cs="Calibri"/>
                <w:bCs/>
                <w:color w:val="000000" w:themeColor="text1"/>
                <w:sz w:val="18"/>
                <w:szCs w:val="18"/>
                <w:lang w:eastAsia="pl-PL"/>
              </w:rPr>
            </w:pPr>
            <w:r w:rsidRPr="00002FD4">
              <w:rPr>
                <w:rFonts w:eastAsia="Times New Roman" w:cs="Calibri"/>
                <w:bCs/>
                <w:color w:val="000000" w:themeColor="text1"/>
                <w:sz w:val="18"/>
                <w:szCs w:val="18"/>
                <w:lang w:eastAsia="pl-PL"/>
              </w:rPr>
              <w:t>ENPV [PLN]</w:t>
            </w:r>
          </w:p>
        </w:tc>
        <w:tc>
          <w:tcPr>
            <w:tcW w:w="0" w:type="auto"/>
            <w:noWrap/>
            <w:vAlign w:val="center"/>
            <w:hideMark/>
          </w:tcPr>
          <w:p w14:paraId="4A13F5DF" w14:textId="139B6FED"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162 055 589,52</w:t>
            </w:r>
          </w:p>
        </w:tc>
        <w:tc>
          <w:tcPr>
            <w:tcW w:w="0" w:type="auto"/>
            <w:noWrap/>
            <w:vAlign w:val="center"/>
            <w:hideMark/>
          </w:tcPr>
          <w:p w14:paraId="7ACC561B" w14:textId="1D409EE2" w:rsidR="008A732C" w:rsidRPr="00002FD4" w:rsidRDefault="008A732C">
            <w:pPr>
              <w:tabs>
                <w:tab w:val="clear" w:pos="284"/>
                <w:tab w:val="left" w:pos="0"/>
              </w:tabs>
              <w:spacing w:before="0" w:after="0" w:line="240" w:lineRule="auto"/>
              <w:ind w:hanging="153"/>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40 994 269,09</w:t>
            </w:r>
          </w:p>
        </w:tc>
        <w:tc>
          <w:tcPr>
            <w:tcW w:w="0" w:type="auto"/>
            <w:noWrap/>
            <w:vAlign w:val="center"/>
            <w:hideMark/>
          </w:tcPr>
          <w:p w14:paraId="0C1051CF" w14:textId="763D14AC"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50 412 512,17</w:t>
            </w:r>
          </w:p>
        </w:tc>
        <w:tc>
          <w:tcPr>
            <w:tcW w:w="0" w:type="auto"/>
            <w:noWrap/>
            <w:vAlign w:val="center"/>
            <w:hideMark/>
          </w:tcPr>
          <w:p w14:paraId="691F1962" w14:textId="3E9084F2"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547F9C" w:rsidRPr="00002FD4" w14:paraId="451E1F96" w14:textId="77777777" w:rsidTr="00D415F4">
        <w:trPr>
          <w:trHeight w:val="300"/>
        </w:trPr>
        <w:tc>
          <w:tcPr>
            <w:tcW w:w="0" w:type="auto"/>
            <w:noWrap/>
          </w:tcPr>
          <w:p w14:paraId="361104A3" w14:textId="5D8213C8" w:rsidR="008A732C" w:rsidRPr="00002FD4" w:rsidRDefault="008A732C" w:rsidP="008A732C">
            <w:pPr>
              <w:spacing w:before="0" w:after="0" w:line="240" w:lineRule="auto"/>
              <w:jc w:val="right"/>
              <w:rPr>
                <w:rFonts w:eastAsia="Times New Roman" w:cs="Times New Roman"/>
                <w:color w:val="000000" w:themeColor="text1"/>
                <w:sz w:val="18"/>
                <w:szCs w:val="18"/>
                <w:lang w:eastAsia="pl-PL"/>
              </w:rPr>
            </w:pPr>
          </w:p>
        </w:tc>
        <w:tc>
          <w:tcPr>
            <w:tcW w:w="0" w:type="auto"/>
            <w:noWrap/>
          </w:tcPr>
          <w:p w14:paraId="45EBBEBA" w14:textId="68017765" w:rsidR="008A732C" w:rsidRPr="00002FD4" w:rsidRDefault="008A732C" w:rsidP="008A732C">
            <w:pPr>
              <w:spacing w:before="0" w:after="0" w:line="240" w:lineRule="auto"/>
              <w:jc w:val="left"/>
              <w:rPr>
                <w:rFonts w:eastAsia="Times New Roman" w:cs="Calibri"/>
                <w:bCs/>
                <w:color w:val="000000" w:themeColor="text1"/>
                <w:sz w:val="18"/>
                <w:szCs w:val="18"/>
                <w:lang w:eastAsia="pl-PL"/>
              </w:rPr>
            </w:pPr>
            <w:r w:rsidRPr="00002FD4">
              <w:rPr>
                <w:rFonts w:eastAsia="Times New Roman" w:cs="Calibri"/>
                <w:bCs/>
                <w:color w:val="000000" w:themeColor="text1"/>
                <w:sz w:val="18"/>
                <w:szCs w:val="18"/>
                <w:lang w:eastAsia="pl-PL"/>
              </w:rPr>
              <w:t>ERR [%]</w:t>
            </w:r>
          </w:p>
        </w:tc>
        <w:tc>
          <w:tcPr>
            <w:tcW w:w="0" w:type="auto"/>
            <w:noWrap/>
            <w:vAlign w:val="center"/>
            <w:hideMark/>
          </w:tcPr>
          <w:p w14:paraId="0000B36D"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21,28</w:t>
            </w:r>
          </w:p>
        </w:tc>
        <w:tc>
          <w:tcPr>
            <w:tcW w:w="0" w:type="auto"/>
            <w:noWrap/>
            <w:vAlign w:val="center"/>
            <w:hideMark/>
          </w:tcPr>
          <w:p w14:paraId="35F00582"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42,00</w:t>
            </w:r>
          </w:p>
        </w:tc>
        <w:tc>
          <w:tcPr>
            <w:tcW w:w="0" w:type="auto"/>
            <w:noWrap/>
            <w:vAlign w:val="center"/>
            <w:hideMark/>
          </w:tcPr>
          <w:p w14:paraId="54102CCF"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7,37</w:t>
            </w:r>
          </w:p>
        </w:tc>
        <w:tc>
          <w:tcPr>
            <w:tcW w:w="0" w:type="auto"/>
            <w:noWrap/>
            <w:vAlign w:val="center"/>
            <w:hideMark/>
          </w:tcPr>
          <w:p w14:paraId="0B93EE00" w14:textId="500A6801"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547F9C" w:rsidRPr="00002FD4" w14:paraId="55677A74" w14:textId="77777777" w:rsidTr="00D415F4">
        <w:trPr>
          <w:cnfStyle w:val="000000100000" w:firstRow="0" w:lastRow="0" w:firstColumn="0" w:lastColumn="0" w:oddVBand="0" w:evenVBand="0" w:oddHBand="1" w:evenHBand="0" w:firstRowFirstColumn="0" w:firstRowLastColumn="0" w:lastRowFirstColumn="0" w:lastRowLastColumn="0"/>
          <w:trHeight w:val="340"/>
        </w:trPr>
        <w:tc>
          <w:tcPr>
            <w:tcW w:w="0" w:type="auto"/>
            <w:vMerge w:val="restart"/>
            <w:noWrap/>
            <w:textDirection w:val="btLr"/>
            <w:vAlign w:val="center"/>
            <w:hideMark/>
          </w:tcPr>
          <w:p w14:paraId="2FAE9011" w14:textId="77777777" w:rsidR="008A732C" w:rsidRPr="00002FD4" w:rsidRDefault="008A732C" w:rsidP="008A732C">
            <w:pPr>
              <w:spacing w:before="0" w:after="0" w:line="240" w:lineRule="auto"/>
              <w:ind w:left="113" w:right="113"/>
              <w:jc w:val="center"/>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Utrzymanie</w:t>
            </w:r>
          </w:p>
        </w:tc>
        <w:tc>
          <w:tcPr>
            <w:tcW w:w="0" w:type="auto"/>
            <w:noWrap/>
            <w:vAlign w:val="center"/>
            <w:hideMark/>
          </w:tcPr>
          <w:p w14:paraId="56D99618"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Liczba miejsc</w:t>
            </w:r>
          </w:p>
        </w:tc>
        <w:tc>
          <w:tcPr>
            <w:tcW w:w="0" w:type="auto"/>
            <w:noWrap/>
            <w:vAlign w:val="center"/>
            <w:hideMark/>
          </w:tcPr>
          <w:p w14:paraId="74600037"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140</w:t>
            </w:r>
          </w:p>
        </w:tc>
        <w:tc>
          <w:tcPr>
            <w:tcW w:w="0" w:type="auto"/>
            <w:noWrap/>
            <w:vAlign w:val="center"/>
            <w:hideMark/>
          </w:tcPr>
          <w:p w14:paraId="21F53498"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150</w:t>
            </w:r>
          </w:p>
        </w:tc>
        <w:tc>
          <w:tcPr>
            <w:tcW w:w="0" w:type="auto"/>
            <w:noWrap/>
            <w:vAlign w:val="center"/>
            <w:hideMark/>
          </w:tcPr>
          <w:p w14:paraId="56EF7360"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78</w:t>
            </w:r>
          </w:p>
        </w:tc>
        <w:tc>
          <w:tcPr>
            <w:tcW w:w="0" w:type="auto"/>
            <w:noWrap/>
            <w:vAlign w:val="center"/>
            <w:hideMark/>
          </w:tcPr>
          <w:p w14:paraId="3B2A00A5" w14:textId="6FA9FD9F"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547F9C" w:rsidRPr="00002FD4" w14:paraId="2D44DC60" w14:textId="77777777" w:rsidTr="00D415F4">
        <w:trPr>
          <w:trHeight w:val="340"/>
        </w:trPr>
        <w:tc>
          <w:tcPr>
            <w:tcW w:w="0" w:type="auto"/>
            <w:vMerge/>
            <w:noWrap/>
            <w:hideMark/>
          </w:tcPr>
          <w:p w14:paraId="7DD19D09" w14:textId="77777777" w:rsidR="008A732C" w:rsidRPr="00002FD4" w:rsidRDefault="008A732C" w:rsidP="008A732C">
            <w:pPr>
              <w:spacing w:before="0" w:after="0" w:line="240" w:lineRule="auto"/>
              <w:jc w:val="left"/>
              <w:rPr>
                <w:rFonts w:eastAsia="Times New Roman" w:cs="Times New Roman"/>
                <w:color w:val="000000" w:themeColor="text1"/>
                <w:sz w:val="18"/>
                <w:szCs w:val="18"/>
                <w:lang w:eastAsia="pl-PL"/>
              </w:rPr>
            </w:pPr>
          </w:p>
        </w:tc>
        <w:tc>
          <w:tcPr>
            <w:tcW w:w="0" w:type="auto"/>
            <w:noWrap/>
            <w:vAlign w:val="center"/>
            <w:hideMark/>
          </w:tcPr>
          <w:p w14:paraId="6D826DDC" w14:textId="347A6196"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miesięczny na 1 miejsce [PLN/miesiąc]</w:t>
            </w:r>
          </w:p>
        </w:tc>
        <w:tc>
          <w:tcPr>
            <w:tcW w:w="0" w:type="auto"/>
            <w:noWrap/>
            <w:vAlign w:val="center"/>
            <w:hideMark/>
          </w:tcPr>
          <w:p w14:paraId="3FBD7A0C" w14:textId="204EFC2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174,00</w:t>
            </w:r>
          </w:p>
        </w:tc>
        <w:tc>
          <w:tcPr>
            <w:tcW w:w="0" w:type="auto"/>
            <w:noWrap/>
            <w:vAlign w:val="center"/>
            <w:hideMark/>
          </w:tcPr>
          <w:p w14:paraId="62FFF234" w14:textId="112C2CC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28,24</w:t>
            </w:r>
          </w:p>
        </w:tc>
        <w:tc>
          <w:tcPr>
            <w:tcW w:w="0" w:type="auto"/>
            <w:noWrap/>
            <w:vAlign w:val="center"/>
            <w:hideMark/>
          </w:tcPr>
          <w:p w14:paraId="0FFB988C" w14:textId="35939398"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189,38</w:t>
            </w:r>
          </w:p>
        </w:tc>
        <w:tc>
          <w:tcPr>
            <w:tcW w:w="0" w:type="auto"/>
            <w:noWrap/>
            <w:vAlign w:val="center"/>
            <w:hideMark/>
          </w:tcPr>
          <w:p w14:paraId="4217FCAA" w14:textId="38C568D6"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0,21% budowy</w:t>
            </w:r>
          </w:p>
        </w:tc>
      </w:tr>
      <w:tr w:rsidR="00547F9C" w:rsidRPr="00002FD4" w14:paraId="0374B044" w14:textId="77777777" w:rsidTr="00D415F4">
        <w:trPr>
          <w:cnfStyle w:val="000000100000" w:firstRow="0" w:lastRow="0" w:firstColumn="0" w:lastColumn="0" w:oddVBand="0" w:evenVBand="0" w:oddHBand="1" w:evenHBand="0" w:firstRowFirstColumn="0" w:firstRowLastColumn="0" w:lastRowFirstColumn="0" w:lastRowLastColumn="0"/>
          <w:trHeight w:val="736"/>
        </w:trPr>
        <w:tc>
          <w:tcPr>
            <w:tcW w:w="0" w:type="auto"/>
            <w:vMerge/>
            <w:noWrap/>
            <w:hideMark/>
          </w:tcPr>
          <w:p w14:paraId="45C727D1" w14:textId="77777777" w:rsidR="008A732C" w:rsidRPr="00002FD4" w:rsidRDefault="008A732C" w:rsidP="008A732C">
            <w:pPr>
              <w:spacing w:before="0" w:after="0" w:line="240" w:lineRule="auto"/>
              <w:jc w:val="right"/>
              <w:rPr>
                <w:rFonts w:eastAsia="Times New Roman" w:cs="Times New Roman"/>
                <w:color w:val="000000" w:themeColor="text1"/>
                <w:sz w:val="18"/>
                <w:szCs w:val="18"/>
                <w:lang w:eastAsia="pl-PL"/>
              </w:rPr>
            </w:pPr>
          </w:p>
        </w:tc>
        <w:tc>
          <w:tcPr>
            <w:tcW w:w="0" w:type="auto"/>
            <w:noWrap/>
            <w:vAlign w:val="center"/>
            <w:hideMark/>
          </w:tcPr>
          <w:p w14:paraId="044F47B5" w14:textId="3A620DED"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roczny [PLN/rok]</w:t>
            </w:r>
          </w:p>
        </w:tc>
        <w:tc>
          <w:tcPr>
            <w:tcW w:w="0" w:type="auto"/>
            <w:noWrap/>
            <w:vAlign w:val="center"/>
            <w:hideMark/>
          </w:tcPr>
          <w:p w14:paraId="707EA8DE" w14:textId="7991F300"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292 320,00</w:t>
            </w:r>
          </w:p>
        </w:tc>
        <w:tc>
          <w:tcPr>
            <w:tcW w:w="0" w:type="auto"/>
            <w:noWrap/>
            <w:vAlign w:val="center"/>
            <w:hideMark/>
          </w:tcPr>
          <w:p w14:paraId="46213CBE" w14:textId="6F243D76"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50 823,72</w:t>
            </w:r>
          </w:p>
        </w:tc>
        <w:tc>
          <w:tcPr>
            <w:tcW w:w="0" w:type="auto"/>
            <w:noWrap/>
            <w:vAlign w:val="center"/>
            <w:hideMark/>
          </w:tcPr>
          <w:p w14:paraId="042414AD" w14:textId="05EEF2DD"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177 255,97</w:t>
            </w:r>
          </w:p>
        </w:tc>
        <w:tc>
          <w:tcPr>
            <w:tcW w:w="0" w:type="auto"/>
            <w:noWrap/>
            <w:vAlign w:val="center"/>
            <w:hideMark/>
          </w:tcPr>
          <w:p w14:paraId="7739E78B" w14:textId="6BD3D0E9"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2,5% budowy</w:t>
            </w:r>
          </w:p>
        </w:tc>
      </w:tr>
      <w:tr w:rsidR="00547F9C" w:rsidRPr="00002FD4" w14:paraId="42A3BE16" w14:textId="77777777" w:rsidTr="00D415F4">
        <w:trPr>
          <w:trHeight w:val="397"/>
        </w:trPr>
        <w:tc>
          <w:tcPr>
            <w:tcW w:w="0" w:type="auto"/>
            <w:vMerge w:val="restart"/>
            <w:noWrap/>
            <w:textDirection w:val="btLr"/>
            <w:vAlign w:val="center"/>
            <w:hideMark/>
          </w:tcPr>
          <w:p w14:paraId="2E9AE26B" w14:textId="77777777" w:rsidR="008A732C" w:rsidRPr="00002FD4" w:rsidRDefault="008A732C" w:rsidP="008A732C">
            <w:pPr>
              <w:spacing w:before="0" w:after="0" w:line="240" w:lineRule="auto"/>
              <w:ind w:left="113" w:right="113"/>
              <w:jc w:val="center"/>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Budowa</w:t>
            </w:r>
          </w:p>
        </w:tc>
        <w:tc>
          <w:tcPr>
            <w:tcW w:w="0" w:type="auto"/>
            <w:noWrap/>
            <w:vAlign w:val="center"/>
            <w:hideMark/>
          </w:tcPr>
          <w:p w14:paraId="06ECE1D1" w14:textId="5CF76A0B"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Wartość inwestycji [PLN]</w:t>
            </w:r>
          </w:p>
        </w:tc>
        <w:tc>
          <w:tcPr>
            <w:tcW w:w="0" w:type="auto"/>
            <w:noWrap/>
            <w:vAlign w:val="center"/>
            <w:hideMark/>
          </w:tcPr>
          <w:p w14:paraId="489FB238" w14:textId="73B8EC68"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3184D707" w14:textId="3AE7CF05"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7 624 106,00</w:t>
            </w:r>
          </w:p>
        </w:tc>
        <w:tc>
          <w:tcPr>
            <w:tcW w:w="0" w:type="auto"/>
            <w:noWrap/>
            <w:vAlign w:val="center"/>
            <w:hideMark/>
          </w:tcPr>
          <w:p w14:paraId="5039E25C" w14:textId="69FDB846"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57ADD3D0" w14:textId="0E63691C"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n/d</w:t>
            </w:r>
          </w:p>
        </w:tc>
      </w:tr>
      <w:tr w:rsidR="00547F9C" w:rsidRPr="00002FD4" w14:paraId="26CAEE9A" w14:textId="77777777" w:rsidTr="00D415F4">
        <w:trPr>
          <w:cnfStyle w:val="000000100000" w:firstRow="0" w:lastRow="0" w:firstColumn="0" w:lastColumn="0" w:oddVBand="0" w:evenVBand="0" w:oddHBand="1" w:evenHBand="0" w:firstRowFirstColumn="0" w:firstRowLastColumn="0" w:lastRowFirstColumn="0" w:lastRowLastColumn="0"/>
          <w:trHeight w:val="696"/>
        </w:trPr>
        <w:tc>
          <w:tcPr>
            <w:tcW w:w="0" w:type="auto"/>
            <w:vMerge/>
            <w:noWrap/>
            <w:hideMark/>
          </w:tcPr>
          <w:p w14:paraId="1EC01E92" w14:textId="77777777" w:rsidR="008A732C" w:rsidRPr="00002FD4" w:rsidRDefault="008A732C" w:rsidP="008A732C">
            <w:pPr>
              <w:spacing w:before="0" w:after="0" w:line="240" w:lineRule="auto"/>
              <w:jc w:val="left"/>
              <w:rPr>
                <w:rFonts w:eastAsia="Times New Roman" w:cs="Times New Roman"/>
                <w:color w:val="000000" w:themeColor="text1"/>
                <w:sz w:val="18"/>
                <w:szCs w:val="18"/>
                <w:lang w:eastAsia="pl-PL"/>
              </w:rPr>
            </w:pPr>
          </w:p>
        </w:tc>
        <w:tc>
          <w:tcPr>
            <w:tcW w:w="0" w:type="auto"/>
            <w:noWrap/>
            <w:vAlign w:val="center"/>
            <w:hideMark/>
          </w:tcPr>
          <w:p w14:paraId="4B6192F1" w14:textId="1DABCC94"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budowy 1 miejsca [PLN]</w:t>
            </w:r>
          </w:p>
        </w:tc>
        <w:tc>
          <w:tcPr>
            <w:tcW w:w="0" w:type="auto"/>
            <w:noWrap/>
            <w:vAlign w:val="center"/>
            <w:hideMark/>
          </w:tcPr>
          <w:p w14:paraId="794F0176" w14:textId="24A7A606"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66F80ADE" w14:textId="3CB9C285"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47 950,35</w:t>
            </w:r>
          </w:p>
        </w:tc>
        <w:tc>
          <w:tcPr>
            <w:tcW w:w="0" w:type="auto"/>
            <w:noWrap/>
            <w:vAlign w:val="center"/>
            <w:hideMark/>
          </w:tcPr>
          <w:p w14:paraId="54C5E25B" w14:textId="3DD66502"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468992A0" w14:textId="6C9183D5" w:rsidR="008A732C" w:rsidRPr="00002FD4" w:rsidRDefault="008A732C">
            <w:pPr>
              <w:spacing w:before="0" w:after="0" w:line="240" w:lineRule="auto"/>
              <w:jc w:val="right"/>
              <w:rPr>
                <w:rFonts w:eastAsia="Times New Roman" w:cs="Times New Roman"/>
                <w:color w:val="000000" w:themeColor="text1"/>
                <w:sz w:val="18"/>
                <w:szCs w:val="18"/>
                <w:lang w:eastAsia="pl-PL"/>
              </w:rPr>
            </w:pPr>
            <w:r w:rsidRPr="00002FD4">
              <w:rPr>
                <w:rFonts w:eastAsia="Times New Roman" w:cs="Times New Roman"/>
                <w:color w:val="000000" w:themeColor="text1"/>
                <w:sz w:val="18"/>
                <w:szCs w:val="18"/>
                <w:lang w:eastAsia="pl-PL"/>
              </w:rPr>
              <w:t>10 000 – 90 000</w:t>
            </w:r>
          </w:p>
        </w:tc>
      </w:tr>
      <w:tr w:rsidR="00547F9C" w:rsidRPr="00002FD4" w14:paraId="3371FA7D" w14:textId="77777777" w:rsidTr="00D415F4">
        <w:trPr>
          <w:trHeight w:val="300"/>
        </w:trPr>
        <w:tc>
          <w:tcPr>
            <w:tcW w:w="0" w:type="auto"/>
            <w:vMerge w:val="restart"/>
            <w:shd w:val="clear" w:color="auto" w:fill="F2F2F2" w:themeFill="background1" w:themeFillShade="F2"/>
            <w:noWrap/>
            <w:textDirection w:val="btLr"/>
            <w:vAlign w:val="center"/>
            <w:hideMark/>
          </w:tcPr>
          <w:p w14:paraId="523041B1" w14:textId="77777777" w:rsidR="008A732C" w:rsidRPr="00002FD4" w:rsidRDefault="008A732C" w:rsidP="008A732C">
            <w:pPr>
              <w:spacing w:before="0" w:after="0" w:line="240" w:lineRule="auto"/>
              <w:ind w:left="113" w:right="113"/>
              <w:jc w:val="center"/>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Założenia</w:t>
            </w:r>
          </w:p>
        </w:tc>
        <w:tc>
          <w:tcPr>
            <w:tcW w:w="0" w:type="auto"/>
            <w:noWrap/>
            <w:vAlign w:val="center"/>
            <w:hideMark/>
          </w:tcPr>
          <w:p w14:paraId="20550289"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eksploatacji sam. [PLN/km]</w:t>
            </w:r>
          </w:p>
        </w:tc>
        <w:tc>
          <w:tcPr>
            <w:tcW w:w="0" w:type="auto"/>
            <w:noWrap/>
            <w:vAlign w:val="center"/>
            <w:hideMark/>
          </w:tcPr>
          <w:p w14:paraId="784F166F"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0,875</w:t>
            </w:r>
          </w:p>
        </w:tc>
        <w:tc>
          <w:tcPr>
            <w:tcW w:w="0" w:type="auto"/>
            <w:noWrap/>
            <w:vAlign w:val="center"/>
            <w:hideMark/>
          </w:tcPr>
          <w:p w14:paraId="0D1CAA45"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0,85</w:t>
            </w:r>
          </w:p>
        </w:tc>
        <w:tc>
          <w:tcPr>
            <w:tcW w:w="0" w:type="auto"/>
            <w:noWrap/>
            <w:vAlign w:val="center"/>
            <w:hideMark/>
          </w:tcPr>
          <w:p w14:paraId="1FBCDBFB"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0,56</w:t>
            </w:r>
          </w:p>
        </w:tc>
        <w:tc>
          <w:tcPr>
            <w:tcW w:w="0" w:type="auto"/>
            <w:noWrap/>
            <w:vAlign w:val="center"/>
            <w:hideMark/>
          </w:tcPr>
          <w:p w14:paraId="2B4FE787" w14:textId="30D1342F"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0,00-0,87</w:t>
            </w:r>
          </w:p>
        </w:tc>
      </w:tr>
      <w:tr w:rsidR="00547F9C" w:rsidRPr="00002FD4" w14:paraId="351EB060" w14:textId="77777777" w:rsidTr="00D415F4">
        <w:trPr>
          <w:cnfStyle w:val="000000100000" w:firstRow="0" w:lastRow="0" w:firstColumn="0" w:lastColumn="0" w:oddVBand="0" w:evenVBand="0" w:oddHBand="1" w:evenHBand="0" w:firstRowFirstColumn="0" w:firstRowLastColumn="0" w:lastRowFirstColumn="0" w:lastRowLastColumn="0"/>
          <w:trHeight w:val="300"/>
        </w:trPr>
        <w:tc>
          <w:tcPr>
            <w:tcW w:w="0" w:type="auto"/>
            <w:vMerge/>
            <w:shd w:val="clear" w:color="auto" w:fill="F2F2F2" w:themeFill="background1" w:themeFillShade="F2"/>
            <w:noWrap/>
            <w:hideMark/>
          </w:tcPr>
          <w:p w14:paraId="36A35C16" w14:textId="77777777" w:rsidR="008A732C" w:rsidRPr="00002FD4" w:rsidRDefault="008A732C" w:rsidP="008A732C">
            <w:pPr>
              <w:spacing w:before="0" w:after="0" w:line="240" w:lineRule="auto"/>
              <w:jc w:val="right"/>
              <w:rPr>
                <w:rFonts w:eastAsia="Times New Roman" w:cs="Calibri"/>
                <w:color w:val="000000" w:themeColor="text1"/>
                <w:sz w:val="18"/>
                <w:szCs w:val="18"/>
                <w:lang w:eastAsia="pl-PL"/>
              </w:rPr>
            </w:pPr>
          </w:p>
        </w:tc>
        <w:tc>
          <w:tcPr>
            <w:tcW w:w="0" w:type="auto"/>
            <w:noWrap/>
            <w:vAlign w:val="center"/>
            <w:hideMark/>
          </w:tcPr>
          <w:p w14:paraId="34108731"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zanieczyszczeń [PLN/km]</w:t>
            </w:r>
          </w:p>
        </w:tc>
        <w:tc>
          <w:tcPr>
            <w:tcW w:w="0" w:type="auto"/>
            <w:noWrap/>
            <w:vAlign w:val="center"/>
            <w:hideMark/>
          </w:tcPr>
          <w:p w14:paraId="791F3C69"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0,126</w:t>
            </w:r>
          </w:p>
        </w:tc>
        <w:tc>
          <w:tcPr>
            <w:tcW w:w="0" w:type="auto"/>
            <w:noWrap/>
            <w:vAlign w:val="center"/>
            <w:hideMark/>
          </w:tcPr>
          <w:p w14:paraId="3E5D91A3"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0,13</w:t>
            </w:r>
          </w:p>
        </w:tc>
        <w:tc>
          <w:tcPr>
            <w:tcW w:w="0" w:type="auto"/>
            <w:noWrap/>
            <w:vAlign w:val="center"/>
            <w:hideMark/>
          </w:tcPr>
          <w:p w14:paraId="26A9000B"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0,051</w:t>
            </w:r>
          </w:p>
        </w:tc>
        <w:tc>
          <w:tcPr>
            <w:tcW w:w="0" w:type="auto"/>
            <w:noWrap/>
            <w:vAlign w:val="center"/>
            <w:hideMark/>
          </w:tcPr>
          <w:p w14:paraId="3C737A11"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0,153</w:t>
            </w:r>
          </w:p>
        </w:tc>
      </w:tr>
      <w:tr w:rsidR="00547F9C" w:rsidRPr="00002FD4" w14:paraId="74A072F2" w14:textId="77777777" w:rsidTr="00D415F4">
        <w:trPr>
          <w:trHeight w:val="300"/>
        </w:trPr>
        <w:tc>
          <w:tcPr>
            <w:tcW w:w="0" w:type="auto"/>
            <w:vMerge/>
            <w:shd w:val="clear" w:color="auto" w:fill="F2F2F2" w:themeFill="background1" w:themeFillShade="F2"/>
            <w:noWrap/>
            <w:hideMark/>
          </w:tcPr>
          <w:p w14:paraId="75611050" w14:textId="77777777" w:rsidR="008A732C" w:rsidRPr="00002FD4" w:rsidRDefault="008A732C" w:rsidP="008A732C">
            <w:pPr>
              <w:spacing w:before="0" w:after="0" w:line="240" w:lineRule="auto"/>
              <w:jc w:val="right"/>
              <w:rPr>
                <w:rFonts w:eastAsia="Times New Roman" w:cs="Calibri"/>
                <w:color w:val="000000" w:themeColor="text1"/>
                <w:sz w:val="18"/>
                <w:szCs w:val="18"/>
                <w:lang w:eastAsia="pl-PL"/>
              </w:rPr>
            </w:pPr>
          </w:p>
        </w:tc>
        <w:tc>
          <w:tcPr>
            <w:tcW w:w="0" w:type="auto"/>
            <w:noWrap/>
            <w:vAlign w:val="center"/>
            <w:hideMark/>
          </w:tcPr>
          <w:p w14:paraId="27BBCB2B"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zmian klimatu [PLN/km]</w:t>
            </w:r>
          </w:p>
        </w:tc>
        <w:tc>
          <w:tcPr>
            <w:tcW w:w="0" w:type="auto"/>
            <w:noWrap/>
            <w:vAlign w:val="center"/>
            <w:hideMark/>
          </w:tcPr>
          <w:p w14:paraId="6A6DFF12"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0,000248</w:t>
            </w:r>
          </w:p>
        </w:tc>
        <w:tc>
          <w:tcPr>
            <w:tcW w:w="0" w:type="auto"/>
            <w:noWrap/>
            <w:vAlign w:val="center"/>
            <w:hideMark/>
          </w:tcPr>
          <w:p w14:paraId="18DF3633"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0,028993</w:t>
            </w:r>
          </w:p>
        </w:tc>
        <w:tc>
          <w:tcPr>
            <w:tcW w:w="0" w:type="auto"/>
            <w:noWrap/>
            <w:vAlign w:val="center"/>
            <w:hideMark/>
          </w:tcPr>
          <w:p w14:paraId="462F0224"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0,025385</w:t>
            </w:r>
          </w:p>
        </w:tc>
        <w:tc>
          <w:tcPr>
            <w:tcW w:w="0" w:type="auto"/>
            <w:noWrap/>
            <w:vAlign w:val="center"/>
            <w:hideMark/>
          </w:tcPr>
          <w:p w14:paraId="14720116"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0,000248</w:t>
            </w:r>
          </w:p>
        </w:tc>
      </w:tr>
      <w:tr w:rsidR="00547F9C" w:rsidRPr="00002FD4" w14:paraId="62CBF5FE" w14:textId="77777777" w:rsidTr="00D415F4">
        <w:trPr>
          <w:cnfStyle w:val="000000100000" w:firstRow="0" w:lastRow="0" w:firstColumn="0" w:lastColumn="0" w:oddVBand="0" w:evenVBand="0" w:oddHBand="1" w:evenHBand="0" w:firstRowFirstColumn="0" w:firstRowLastColumn="0" w:lastRowFirstColumn="0" w:lastRowLastColumn="0"/>
          <w:trHeight w:val="300"/>
        </w:trPr>
        <w:tc>
          <w:tcPr>
            <w:tcW w:w="0" w:type="auto"/>
            <w:vMerge/>
            <w:shd w:val="clear" w:color="auto" w:fill="F2F2F2" w:themeFill="background1" w:themeFillShade="F2"/>
            <w:noWrap/>
            <w:hideMark/>
          </w:tcPr>
          <w:p w14:paraId="4A669278" w14:textId="77777777" w:rsidR="008A732C" w:rsidRPr="00002FD4" w:rsidRDefault="008A732C" w:rsidP="008A732C">
            <w:pPr>
              <w:spacing w:before="0" w:after="0" w:line="240" w:lineRule="auto"/>
              <w:jc w:val="right"/>
              <w:rPr>
                <w:rFonts w:eastAsia="Times New Roman" w:cs="Calibri"/>
                <w:color w:val="000000" w:themeColor="text1"/>
                <w:sz w:val="18"/>
                <w:szCs w:val="18"/>
                <w:lang w:eastAsia="pl-PL"/>
              </w:rPr>
            </w:pPr>
          </w:p>
        </w:tc>
        <w:tc>
          <w:tcPr>
            <w:tcW w:w="0" w:type="auto"/>
            <w:noWrap/>
            <w:vAlign w:val="center"/>
            <w:hideMark/>
          </w:tcPr>
          <w:p w14:paraId="5C0DD671"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hałasu [PLN/km]</w:t>
            </w:r>
          </w:p>
        </w:tc>
        <w:tc>
          <w:tcPr>
            <w:tcW w:w="0" w:type="auto"/>
            <w:noWrap/>
            <w:vAlign w:val="center"/>
            <w:hideMark/>
          </w:tcPr>
          <w:p w14:paraId="19E88685"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0,049</w:t>
            </w:r>
          </w:p>
        </w:tc>
        <w:tc>
          <w:tcPr>
            <w:tcW w:w="0" w:type="auto"/>
            <w:noWrap/>
            <w:vAlign w:val="center"/>
            <w:hideMark/>
          </w:tcPr>
          <w:p w14:paraId="087D4B26"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nie uwzględnia</w:t>
            </w:r>
          </w:p>
        </w:tc>
        <w:tc>
          <w:tcPr>
            <w:tcW w:w="0" w:type="auto"/>
            <w:noWrap/>
            <w:vAlign w:val="center"/>
            <w:hideMark/>
          </w:tcPr>
          <w:p w14:paraId="49B8B870"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0,051</w:t>
            </w:r>
          </w:p>
        </w:tc>
        <w:tc>
          <w:tcPr>
            <w:tcW w:w="0" w:type="auto"/>
            <w:noWrap/>
            <w:vAlign w:val="center"/>
            <w:hideMark/>
          </w:tcPr>
          <w:p w14:paraId="4E886D0A"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0,044</w:t>
            </w:r>
          </w:p>
        </w:tc>
      </w:tr>
      <w:tr w:rsidR="00547F9C" w:rsidRPr="00002FD4" w14:paraId="4D3137BC" w14:textId="77777777" w:rsidTr="00D415F4">
        <w:trPr>
          <w:trHeight w:val="300"/>
        </w:trPr>
        <w:tc>
          <w:tcPr>
            <w:tcW w:w="0" w:type="auto"/>
            <w:vMerge/>
            <w:shd w:val="clear" w:color="auto" w:fill="F2F2F2" w:themeFill="background1" w:themeFillShade="F2"/>
            <w:noWrap/>
            <w:hideMark/>
          </w:tcPr>
          <w:p w14:paraId="45A8F78D" w14:textId="77777777" w:rsidR="008A732C" w:rsidRPr="00002FD4" w:rsidRDefault="008A732C" w:rsidP="008A732C">
            <w:pPr>
              <w:spacing w:before="0" w:after="0" w:line="240" w:lineRule="auto"/>
              <w:jc w:val="right"/>
              <w:rPr>
                <w:rFonts w:eastAsia="Times New Roman" w:cs="Calibri"/>
                <w:color w:val="000000" w:themeColor="text1"/>
                <w:sz w:val="18"/>
                <w:szCs w:val="18"/>
                <w:lang w:eastAsia="pl-PL"/>
              </w:rPr>
            </w:pPr>
          </w:p>
        </w:tc>
        <w:tc>
          <w:tcPr>
            <w:tcW w:w="0" w:type="auto"/>
            <w:noWrap/>
            <w:vAlign w:val="center"/>
            <w:hideMark/>
          </w:tcPr>
          <w:p w14:paraId="7E2DB3BC"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Koszt wypadków [PLN/km]</w:t>
            </w:r>
          </w:p>
        </w:tc>
        <w:tc>
          <w:tcPr>
            <w:tcW w:w="0" w:type="auto"/>
            <w:noWrap/>
            <w:vAlign w:val="center"/>
            <w:hideMark/>
          </w:tcPr>
          <w:p w14:paraId="3A55397E"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0,14</w:t>
            </w:r>
          </w:p>
        </w:tc>
        <w:tc>
          <w:tcPr>
            <w:tcW w:w="0" w:type="auto"/>
            <w:noWrap/>
            <w:vAlign w:val="center"/>
            <w:hideMark/>
          </w:tcPr>
          <w:p w14:paraId="728B7CE6" w14:textId="25A5F062"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6C43737F"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0,33</w:t>
            </w:r>
          </w:p>
        </w:tc>
        <w:tc>
          <w:tcPr>
            <w:tcW w:w="0" w:type="auto"/>
            <w:noWrap/>
            <w:vAlign w:val="center"/>
            <w:hideMark/>
          </w:tcPr>
          <w:p w14:paraId="72B2B75C"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0,27</w:t>
            </w:r>
          </w:p>
        </w:tc>
      </w:tr>
      <w:tr w:rsidR="00547F9C" w:rsidRPr="00002FD4" w14:paraId="6CF94E85" w14:textId="77777777" w:rsidTr="00D415F4">
        <w:trPr>
          <w:cnfStyle w:val="000000100000" w:firstRow="0" w:lastRow="0" w:firstColumn="0" w:lastColumn="0" w:oddVBand="0" w:evenVBand="0" w:oddHBand="1" w:evenHBand="0" w:firstRowFirstColumn="0" w:firstRowLastColumn="0" w:lastRowFirstColumn="0" w:lastRowLastColumn="0"/>
          <w:trHeight w:val="300"/>
        </w:trPr>
        <w:tc>
          <w:tcPr>
            <w:tcW w:w="0" w:type="auto"/>
            <w:vMerge/>
            <w:shd w:val="clear" w:color="auto" w:fill="F2F2F2" w:themeFill="background1" w:themeFillShade="F2"/>
            <w:noWrap/>
            <w:hideMark/>
          </w:tcPr>
          <w:p w14:paraId="7434161D" w14:textId="77777777" w:rsidR="008A732C" w:rsidRPr="00002FD4" w:rsidRDefault="008A732C" w:rsidP="008A732C">
            <w:pPr>
              <w:spacing w:before="0" w:after="0" w:line="240" w:lineRule="auto"/>
              <w:jc w:val="right"/>
              <w:rPr>
                <w:rFonts w:eastAsia="Times New Roman" w:cs="Calibri"/>
                <w:color w:val="000000" w:themeColor="text1"/>
                <w:sz w:val="18"/>
                <w:szCs w:val="18"/>
                <w:lang w:eastAsia="pl-PL"/>
              </w:rPr>
            </w:pPr>
          </w:p>
        </w:tc>
        <w:tc>
          <w:tcPr>
            <w:tcW w:w="0" w:type="auto"/>
            <w:noWrap/>
            <w:vAlign w:val="center"/>
            <w:hideMark/>
          </w:tcPr>
          <w:p w14:paraId="0D41492E" w14:textId="25C47860" w:rsidR="008A732C" w:rsidRPr="00002FD4" w:rsidRDefault="008A732C" w:rsidP="008A732C">
            <w:pPr>
              <w:spacing w:before="0" w:after="0" w:line="240" w:lineRule="auto"/>
              <w:jc w:val="left"/>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Koszt łączn</w:t>
            </w:r>
            <w:r w:rsidR="005D7E91" w:rsidRPr="00002FD4">
              <w:rPr>
                <w:rFonts w:eastAsia="Times New Roman" w:cs="Calibri"/>
                <w:b/>
                <w:bCs/>
                <w:color w:val="000000" w:themeColor="text1"/>
                <w:sz w:val="18"/>
                <w:szCs w:val="18"/>
                <w:lang w:eastAsia="pl-PL"/>
              </w:rPr>
              <w:t>y</w:t>
            </w:r>
            <w:r w:rsidRPr="00002FD4">
              <w:rPr>
                <w:rFonts w:eastAsia="Times New Roman" w:cs="Calibri"/>
                <w:b/>
                <w:bCs/>
                <w:color w:val="000000" w:themeColor="text1"/>
                <w:sz w:val="18"/>
                <w:szCs w:val="18"/>
                <w:lang w:eastAsia="pl-PL"/>
              </w:rPr>
              <w:t xml:space="preserve"> [PLN/km]</w:t>
            </w:r>
          </w:p>
        </w:tc>
        <w:tc>
          <w:tcPr>
            <w:tcW w:w="0" w:type="auto"/>
            <w:noWrap/>
            <w:vAlign w:val="center"/>
            <w:hideMark/>
          </w:tcPr>
          <w:p w14:paraId="1CA119E4" w14:textId="77777777" w:rsidR="008A732C" w:rsidRPr="00002FD4" w:rsidRDefault="008A732C">
            <w:pPr>
              <w:spacing w:before="0" w:after="0" w:line="240" w:lineRule="auto"/>
              <w:jc w:val="right"/>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1,19</w:t>
            </w:r>
          </w:p>
        </w:tc>
        <w:tc>
          <w:tcPr>
            <w:tcW w:w="0" w:type="auto"/>
            <w:noWrap/>
            <w:vAlign w:val="center"/>
            <w:hideMark/>
          </w:tcPr>
          <w:p w14:paraId="6B6B11CC" w14:textId="77777777" w:rsidR="008A732C" w:rsidRPr="00002FD4" w:rsidRDefault="008A732C">
            <w:pPr>
              <w:spacing w:before="0" w:after="0" w:line="240" w:lineRule="auto"/>
              <w:jc w:val="right"/>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1,01+</w:t>
            </w:r>
          </w:p>
        </w:tc>
        <w:tc>
          <w:tcPr>
            <w:tcW w:w="0" w:type="auto"/>
            <w:noWrap/>
            <w:vAlign w:val="center"/>
            <w:hideMark/>
          </w:tcPr>
          <w:p w14:paraId="0596B460" w14:textId="77777777" w:rsidR="008A732C" w:rsidRPr="00002FD4" w:rsidRDefault="008A732C">
            <w:pPr>
              <w:spacing w:before="0" w:after="0" w:line="240" w:lineRule="auto"/>
              <w:jc w:val="right"/>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1,02</w:t>
            </w:r>
          </w:p>
        </w:tc>
        <w:tc>
          <w:tcPr>
            <w:tcW w:w="0" w:type="auto"/>
            <w:noWrap/>
            <w:vAlign w:val="center"/>
            <w:hideMark/>
          </w:tcPr>
          <w:p w14:paraId="019284B2" w14:textId="77777777" w:rsidR="008A732C" w:rsidRPr="00002FD4" w:rsidRDefault="008A732C">
            <w:pPr>
              <w:spacing w:before="0" w:after="0" w:line="240" w:lineRule="auto"/>
              <w:jc w:val="right"/>
              <w:rPr>
                <w:rFonts w:eastAsia="Times New Roman" w:cs="Calibri"/>
                <w:b/>
                <w:bCs/>
                <w:color w:val="000000" w:themeColor="text1"/>
                <w:sz w:val="18"/>
                <w:szCs w:val="18"/>
                <w:lang w:eastAsia="pl-PL"/>
              </w:rPr>
            </w:pPr>
            <w:r w:rsidRPr="00002FD4">
              <w:rPr>
                <w:rFonts w:eastAsia="Times New Roman" w:cs="Calibri"/>
                <w:b/>
                <w:bCs/>
                <w:color w:val="000000" w:themeColor="text1"/>
                <w:sz w:val="18"/>
                <w:szCs w:val="18"/>
                <w:lang w:eastAsia="pl-PL"/>
              </w:rPr>
              <w:t>0,47-1,10</w:t>
            </w:r>
          </w:p>
        </w:tc>
      </w:tr>
      <w:tr w:rsidR="00547F9C" w:rsidRPr="00002FD4" w14:paraId="69AE09B2" w14:textId="77777777" w:rsidTr="00D415F4">
        <w:trPr>
          <w:trHeight w:val="300"/>
        </w:trPr>
        <w:tc>
          <w:tcPr>
            <w:tcW w:w="0" w:type="auto"/>
            <w:vMerge/>
            <w:shd w:val="clear" w:color="auto" w:fill="F2F2F2" w:themeFill="background1" w:themeFillShade="F2"/>
            <w:noWrap/>
            <w:hideMark/>
          </w:tcPr>
          <w:p w14:paraId="33462474" w14:textId="77777777" w:rsidR="008A732C" w:rsidRPr="00002FD4" w:rsidRDefault="008A732C" w:rsidP="008A732C">
            <w:pPr>
              <w:spacing w:before="0" w:after="0" w:line="240" w:lineRule="auto"/>
              <w:jc w:val="right"/>
              <w:rPr>
                <w:rFonts w:eastAsia="Times New Roman" w:cs="Calibri"/>
                <w:b/>
                <w:bCs/>
                <w:color w:val="000000" w:themeColor="text1"/>
                <w:sz w:val="18"/>
                <w:szCs w:val="18"/>
                <w:lang w:eastAsia="pl-PL"/>
              </w:rPr>
            </w:pPr>
          </w:p>
        </w:tc>
        <w:tc>
          <w:tcPr>
            <w:tcW w:w="0" w:type="auto"/>
            <w:noWrap/>
            <w:vAlign w:val="center"/>
            <w:hideMark/>
          </w:tcPr>
          <w:p w14:paraId="24F136F5" w14:textId="77777777" w:rsidR="008A732C" w:rsidRPr="00002FD4" w:rsidRDefault="008A732C" w:rsidP="008A732C">
            <w:pPr>
              <w:spacing w:before="0" w:after="0" w:line="240" w:lineRule="auto"/>
              <w:jc w:val="lef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Liczba dni zajęcia w roku</w:t>
            </w:r>
          </w:p>
        </w:tc>
        <w:tc>
          <w:tcPr>
            <w:tcW w:w="0" w:type="auto"/>
            <w:noWrap/>
            <w:vAlign w:val="center"/>
            <w:hideMark/>
          </w:tcPr>
          <w:p w14:paraId="54D60D0D"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300</w:t>
            </w:r>
          </w:p>
        </w:tc>
        <w:tc>
          <w:tcPr>
            <w:tcW w:w="0" w:type="auto"/>
            <w:noWrap/>
            <w:vAlign w:val="center"/>
            <w:hideMark/>
          </w:tcPr>
          <w:p w14:paraId="32BF8078"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300</w:t>
            </w:r>
          </w:p>
        </w:tc>
        <w:tc>
          <w:tcPr>
            <w:tcW w:w="0" w:type="auto"/>
            <w:noWrap/>
            <w:vAlign w:val="center"/>
            <w:hideMark/>
          </w:tcPr>
          <w:p w14:paraId="77B03FC7" w14:textId="7A65E744"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b/d</w:t>
            </w:r>
          </w:p>
        </w:tc>
        <w:tc>
          <w:tcPr>
            <w:tcW w:w="0" w:type="auto"/>
            <w:noWrap/>
            <w:vAlign w:val="center"/>
            <w:hideMark/>
          </w:tcPr>
          <w:p w14:paraId="3F8B9A5F" w14:textId="77777777" w:rsidR="008A732C" w:rsidRPr="00002FD4" w:rsidRDefault="008A732C">
            <w:pPr>
              <w:spacing w:before="0" w:after="0" w:line="240" w:lineRule="auto"/>
              <w:jc w:val="right"/>
              <w:rPr>
                <w:rFonts w:eastAsia="Times New Roman" w:cs="Calibri"/>
                <w:color w:val="000000" w:themeColor="text1"/>
                <w:sz w:val="18"/>
                <w:szCs w:val="18"/>
                <w:lang w:eastAsia="pl-PL"/>
              </w:rPr>
            </w:pPr>
            <w:r w:rsidRPr="00002FD4">
              <w:rPr>
                <w:rFonts w:eastAsia="Times New Roman" w:cs="Calibri"/>
                <w:color w:val="000000" w:themeColor="text1"/>
                <w:sz w:val="18"/>
                <w:szCs w:val="18"/>
                <w:lang w:eastAsia="pl-PL"/>
              </w:rPr>
              <w:t>275</w:t>
            </w:r>
          </w:p>
        </w:tc>
      </w:tr>
    </w:tbl>
    <w:p w14:paraId="120D07D2" w14:textId="77777777" w:rsidR="00FA7E39" w:rsidRPr="00002FD4" w:rsidRDefault="00FA7E39" w:rsidP="00FA7E39">
      <w:pPr>
        <w:pStyle w:val="rdo"/>
      </w:pPr>
      <w:r w:rsidRPr="00002FD4">
        <w:t>Źródło: opracowanie własne.</w:t>
      </w:r>
    </w:p>
    <w:p w14:paraId="3E8BB8CD" w14:textId="787EB5FF" w:rsidR="00F05E63" w:rsidRPr="00CE3BA8" w:rsidRDefault="00AA1140" w:rsidP="00380EEC">
      <w:pPr>
        <w:rPr>
          <w:color w:val="00B050"/>
        </w:rPr>
      </w:pPr>
      <w:r w:rsidRPr="00002FD4">
        <w:rPr>
          <w:color w:val="000000" w:themeColor="text1"/>
        </w:rPr>
        <w:t xml:space="preserve">Jak wynika z powyższej tabeli, w AKK dla </w:t>
      </w:r>
      <w:r w:rsidRPr="00307E9E">
        <w:rPr>
          <w:i/>
          <w:color w:val="000000" w:themeColor="text1"/>
        </w:rPr>
        <w:t>P&amp;R</w:t>
      </w:r>
      <w:r w:rsidRPr="00002FD4">
        <w:rPr>
          <w:color w:val="000000" w:themeColor="text1"/>
        </w:rPr>
        <w:t xml:space="preserve"> w projektach POIiŚ 2014-2020 w większości przypadków przyjmowano wariant obliczania pełnego kosztu użycia samochodu (koszt eksploatacji 0,85-0,875 zł/km), czyli uwzględniającego korzyści prywatn</w:t>
      </w:r>
      <w:r w:rsidR="005D7E91" w:rsidRPr="00002FD4">
        <w:rPr>
          <w:color w:val="000000" w:themeColor="text1"/>
        </w:rPr>
        <w:t>e</w:t>
      </w:r>
      <w:r w:rsidRPr="00002FD4">
        <w:rPr>
          <w:color w:val="000000" w:themeColor="text1"/>
        </w:rPr>
        <w:t xml:space="preserve"> kierowców zostawiających pojazdy na parkingach. Szacowany w projektach koszt łączny unikniętego przebiegu samochodem jest bliski kosztowi </w:t>
      </w:r>
      <w:r w:rsidR="005D7E91" w:rsidRPr="00002FD4">
        <w:rPr>
          <w:color w:val="000000" w:themeColor="text1"/>
        </w:rPr>
        <w:t xml:space="preserve">wynikającymi z analizy przygotowanej na rzecz badania. W przypadku Siechnic </w:t>
      </w:r>
      <w:r w:rsidR="00861657" w:rsidRPr="00002FD4">
        <w:rPr>
          <w:color w:val="000000" w:themeColor="text1"/>
        </w:rPr>
        <w:t xml:space="preserve">studium wykonalności zawierało szacowany </w:t>
      </w:r>
      <w:r w:rsidR="005D7E91" w:rsidRPr="00002FD4">
        <w:rPr>
          <w:color w:val="000000" w:themeColor="text1"/>
        </w:rPr>
        <w:t>koszt budowy 1</w:t>
      </w:r>
      <w:r w:rsidR="00002FD4">
        <w:rPr>
          <w:color w:val="000000" w:themeColor="text1"/>
        </w:rPr>
        <w:t> </w:t>
      </w:r>
      <w:r w:rsidR="005D7E91" w:rsidRPr="00002FD4">
        <w:rPr>
          <w:color w:val="000000" w:themeColor="text1"/>
        </w:rPr>
        <w:t xml:space="preserve">miejsca parkingowego – 47 950,35 zł. Parkingi </w:t>
      </w:r>
      <w:r w:rsidR="00861657" w:rsidRPr="00002FD4">
        <w:rPr>
          <w:color w:val="000000" w:themeColor="text1"/>
        </w:rPr>
        <w:t xml:space="preserve">w tym projekcie </w:t>
      </w:r>
      <w:r w:rsidR="005D7E91" w:rsidRPr="00002FD4">
        <w:rPr>
          <w:color w:val="000000" w:themeColor="text1"/>
        </w:rPr>
        <w:t xml:space="preserve">znajdą się w odległości </w:t>
      </w:r>
      <w:r w:rsidR="00861657" w:rsidRPr="00002FD4">
        <w:rPr>
          <w:color w:val="000000" w:themeColor="text1"/>
        </w:rPr>
        <w:t xml:space="preserve">ok. </w:t>
      </w:r>
      <w:r w:rsidR="005D7E91" w:rsidRPr="00002FD4">
        <w:rPr>
          <w:color w:val="000000" w:themeColor="text1"/>
        </w:rPr>
        <w:t xml:space="preserve">10 </w:t>
      </w:r>
      <w:r w:rsidR="005D7E91" w:rsidRPr="00002FD4">
        <w:rPr>
          <w:color w:val="000000" w:themeColor="text1"/>
        </w:rPr>
        <w:lastRenderedPageBreak/>
        <w:t>kilometrów od stacji Wrocław Główny (głównej stacji docelowej podróży)</w:t>
      </w:r>
      <w:r w:rsidR="00861657" w:rsidRPr="00002FD4">
        <w:rPr>
          <w:color w:val="000000" w:themeColor="text1"/>
        </w:rPr>
        <w:t xml:space="preserve">. Na tej podstawie można uznać, że średni dzienny uniknięty przebieg samochodem wyniesie 20 km. </w:t>
      </w:r>
      <w:r w:rsidR="005D7E91" w:rsidRPr="00002FD4">
        <w:rPr>
          <w:color w:val="000000" w:themeColor="text1"/>
        </w:rPr>
        <w:t xml:space="preserve">Zestawiając </w:t>
      </w:r>
      <w:r w:rsidR="00861657" w:rsidRPr="00002FD4">
        <w:rPr>
          <w:color w:val="000000" w:themeColor="text1"/>
        </w:rPr>
        <w:t xml:space="preserve">koszt budowy i uniknięty przebieg z wykresem (por. </w:t>
      </w:r>
      <w:r w:rsidR="00861657" w:rsidRPr="00002FD4">
        <w:rPr>
          <w:color w:val="000000" w:themeColor="text1"/>
        </w:rPr>
        <w:fldChar w:fldCharType="begin"/>
      </w:r>
      <w:r w:rsidR="00861657" w:rsidRPr="00002FD4">
        <w:rPr>
          <w:color w:val="000000" w:themeColor="text1"/>
        </w:rPr>
        <w:instrText xml:space="preserve"> REF _Ref22898537 \h </w:instrText>
      </w:r>
      <w:r w:rsidR="00861657" w:rsidRPr="00002FD4">
        <w:rPr>
          <w:color w:val="000000" w:themeColor="text1"/>
        </w:rPr>
      </w:r>
      <w:r w:rsidR="00861657" w:rsidRPr="00002FD4">
        <w:rPr>
          <w:color w:val="000000" w:themeColor="text1"/>
        </w:rPr>
        <w:fldChar w:fldCharType="separate"/>
      </w:r>
      <w:r w:rsidR="00C93FD7" w:rsidRPr="00002FD4">
        <w:t xml:space="preserve">Rysunek </w:t>
      </w:r>
      <w:r w:rsidR="00C93FD7">
        <w:rPr>
          <w:noProof/>
        </w:rPr>
        <w:t>23</w:t>
      </w:r>
      <w:r w:rsidR="00861657" w:rsidRPr="00002FD4">
        <w:rPr>
          <w:color w:val="000000" w:themeColor="text1"/>
        </w:rPr>
        <w:fldChar w:fldCharType="end"/>
      </w:r>
      <w:r w:rsidR="00861657" w:rsidRPr="00002FD4">
        <w:rPr>
          <w:color w:val="000000" w:themeColor="text1"/>
        </w:rPr>
        <w:t>) , inwestycja ta osiąga próg związany z przekroczeniem przez korzyści społeczne i prywatne kierowcy, związane tylko z krańcowym kosztem użycia samochodu, kosztu budowy miejsc parkingowych.</w:t>
      </w:r>
    </w:p>
    <w:p w14:paraId="21460614" w14:textId="1CC9B124" w:rsidR="00505691" w:rsidRDefault="00505691" w:rsidP="00F06D0A">
      <w:pPr>
        <w:pStyle w:val="Nagwek1"/>
        <w:rPr>
          <w:color w:val="000000" w:themeColor="text1"/>
        </w:rPr>
      </w:pPr>
      <w:bookmarkStart w:id="206" w:name="_Toc27125350"/>
      <w:r w:rsidRPr="00002FD4">
        <w:rPr>
          <w:color w:val="000000" w:themeColor="text1"/>
        </w:rPr>
        <w:lastRenderedPageBreak/>
        <w:t>Wnioski</w:t>
      </w:r>
      <w:r w:rsidR="00D56D62">
        <w:rPr>
          <w:color w:val="000000" w:themeColor="text1"/>
        </w:rPr>
        <w:t xml:space="preserve"> i rekomendacje</w:t>
      </w:r>
      <w:bookmarkEnd w:id="206"/>
    </w:p>
    <w:p w14:paraId="5BB53F4E" w14:textId="61069773" w:rsidR="002776DB" w:rsidRDefault="002776DB" w:rsidP="003239B8">
      <w:r>
        <w:t>Punktem odniesienia do formułowania wniosków z niniejszego badania są wnioski z badania pilotażowego</w:t>
      </w:r>
      <w:r w:rsidR="00E5052A">
        <w:t>.</w:t>
      </w:r>
      <w:r>
        <w:t xml:space="preserve"> Wnioski te przytoczono w podrozdziale </w:t>
      </w:r>
      <w:r w:rsidR="00735B14">
        <w:fldChar w:fldCharType="begin"/>
      </w:r>
      <w:r w:rsidR="00735B14">
        <w:instrText xml:space="preserve"> REF _Ref26977024 \n \h </w:instrText>
      </w:r>
      <w:r w:rsidR="00735B14">
        <w:fldChar w:fldCharType="separate"/>
      </w:r>
      <w:r w:rsidR="00C93FD7">
        <w:t>4.1</w:t>
      </w:r>
      <w:r w:rsidR="00735B14">
        <w:fldChar w:fldCharType="end"/>
      </w:r>
      <w:r w:rsidR="00735B14">
        <w:t xml:space="preserve"> </w:t>
      </w:r>
      <w:r>
        <w:t>dla zachowania spójności prowadzonego badania z wcześniej przeprowadzonymi pracami.</w:t>
      </w:r>
      <w:r w:rsidR="00735B14">
        <w:t xml:space="preserve"> Następnie przedstawiono wnioski z niniejszego badania</w:t>
      </w:r>
      <w:r w:rsidR="00E5052A">
        <w:t xml:space="preserve"> wraz z rekomendacjami, które zestawiono również w tabeli (por. </w:t>
      </w:r>
      <w:r w:rsidR="00E5052A">
        <w:fldChar w:fldCharType="begin"/>
      </w:r>
      <w:r w:rsidR="00E5052A">
        <w:instrText xml:space="preserve"> REF Załącznik16 \h </w:instrText>
      </w:r>
      <w:r w:rsidR="00E5052A">
        <w:fldChar w:fldCharType="separate"/>
      </w:r>
      <w:r w:rsidR="00C93FD7">
        <w:rPr>
          <w:color w:val="000000" w:themeColor="text1"/>
        </w:rPr>
        <w:t>Załącznik 16</w:t>
      </w:r>
      <w:r w:rsidR="00E5052A">
        <w:fldChar w:fldCharType="end"/>
      </w:r>
      <w:r w:rsidR="00E5052A">
        <w:t>)</w:t>
      </w:r>
      <w:r w:rsidR="00735B14">
        <w:t>.</w:t>
      </w:r>
    </w:p>
    <w:p w14:paraId="15D82AFB" w14:textId="77777777" w:rsidR="003239B8" w:rsidRPr="00002FD4" w:rsidRDefault="003239B8" w:rsidP="003239B8">
      <w:pPr>
        <w:pStyle w:val="Nagwek2"/>
      </w:pPr>
      <w:bookmarkStart w:id="207" w:name="_Toc26202490"/>
      <w:bookmarkStart w:id="208" w:name="_Ref26977024"/>
      <w:bookmarkStart w:id="209" w:name="_Toc27125351"/>
      <w:r w:rsidRPr="00002FD4">
        <w:t>Wnioski badania pilotażowego z 2018 r.</w:t>
      </w:r>
      <w:bookmarkEnd w:id="207"/>
      <w:bookmarkEnd w:id="208"/>
      <w:bookmarkEnd w:id="209"/>
    </w:p>
    <w:p w14:paraId="20F5A073" w14:textId="19C0262F" w:rsidR="003239B8" w:rsidRPr="00002FD4" w:rsidRDefault="003239B8" w:rsidP="003239B8">
      <w:pPr>
        <w:rPr>
          <w:color w:val="000000" w:themeColor="text1"/>
        </w:rPr>
      </w:pPr>
      <w:r w:rsidRPr="00002FD4">
        <w:rPr>
          <w:color w:val="000000" w:themeColor="text1"/>
        </w:rPr>
        <w:t>Realizacja badania pilotażowego dla interwencji obejmującej transport miejski w ramach VI osi POIiŚ dostarczyła szeregu wniosków i rekomendacji, zarówno o charakterze metodycznym, jak i</w:t>
      </w:r>
      <w:r>
        <w:rPr>
          <w:color w:val="000000" w:themeColor="text1"/>
        </w:rPr>
        <w:t> </w:t>
      </w:r>
      <w:r w:rsidRPr="00002FD4">
        <w:rPr>
          <w:color w:val="000000" w:themeColor="text1"/>
        </w:rPr>
        <w:t>merytorycznym</w:t>
      </w:r>
      <w:r w:rsidR="00207B6F">
        <w:rPr>
          <w:color w:val="000000" w:themeColor="text1"/>
        </w:rPr>
        <w:t>, które zostały wykorzystane również do formułowania rekomendacji z</w:t>
      </w:r>
      <w:r w:rsidR="0028672F">
        <w:rPr>
          <w:color w:val="000000" w:themeColor="text1"/>
        </w:rPr>
        <w:t> </w:t>
      </w:r>
      <w:r w:rsidR="00207B6F">
        <w:rPr>
          <w:color w:val="000000" w:themeColor="text1"/>
        </w:rPr>
        <w:t>niniejszego badania, stąd wymagają przytoczenia</w:t>
      </w:r>
      <w:r w:rsidRPr="00002FD4">
        <w:rPr>
          <w:color w:val="000000" w:themeColor="text1"/>
        </w:rPr>
        <w:t xml:space="preserve">. </w:t>
      </w:r>
    </w:p>
    <w:p w14:paraId="0A191746" w14:textId="77777777" w:rsidR="003239B8" w:rsidRPr="00002FD4" w:rsidRDefault="003239B8" w:rsidP="003239B8">
      <w:pPr>
        <w:rPr>
          <w:color w:val="000000" w:themeColor="text1"/>
        </w:rPr>
      </w:pPr>
      <w:r w:rsidRPr="00002FD4">
        <w:rPr>
          <w:color w:val="000000" w:themeColor="text1"/>
        </w:rPr>
        <w:t>Wśród rekomendacji merytorycznych znalazły się kwestie takie jak konieczność koncentrowania inwestycji w transporcie publicznym na przedsięwzięciach zintegrowanych, tworzących kompleksową wartość dodaną dla mieszkańców i lepsze parametry usługi niż transport indywidualny – w tym zapewniających częste kursowanie (dodatkowa praca eksploatacyjna), szybkość (priorytet w ruchu), bliskość do przystanku, dostępność miejsc siedzących (wygodę) oraz nierozbudowywanie infrastruktury transportu indywidualnego, kanibalizującej efekty inwestycji w</w:t>
      </w:r>
      <w:r>
        <w:rPr>
          <w:color w:val="000000" w:themeColor="text1"/>
        </w:rPr>
        <w:t> </w:t>
      </w:r>
      <w:r w:rsidRPr="00002FD4">
        <w:rPr>
          <w:color w:val="000000" w:themeColor="text1"/>
        </w:rPr>
        <w:t>transport publiczny. Niektóre z wymienionych zagadnień nie były przedmiotem badania pilotażowego i zostały uszczegółowione w ramach niniejszego badania.</w:t>
      </w:r>
    </w:p>
    <w:p w14:paraId="7F9E9472" w14:textId="77777777" w:rsidR="003239B8" w:rsidRPr="00002FD4" w:rsidRDefault="003239B8" w:rsidP="003239B8">
      <w:pPr>
        <w:rPr>
          <w:color w:val="000000" w:themeColor="text1"/>
        </w:rPr>
      </w:pPr>
      <w:r w:rsidRPr="00002FD4">
        <w:rPr>
          <w:color w:val="000000" w:themeColor="text1"/>
        </w:rPr>
        <w:t>Na podstawie zebranego w badaniu jakościowym materiału wnioskowano, że w wyniku realizacji projektów POIiŚ z perspektywy budżetowej 2014-2020 poprawie ulegnie zarówno jakość, jak i komfort podróży, chociaż zmiana ta dokona się głównie na (nie mniej istotnej) płaszczyźnie ilościowej – poprzez terytorialne lub ilościowe rozpowszechnienie się rozwiązań, które zostały zapoczątkowane w perspektywie 2007-2013.</w:t>
      </w:r>
    </w:p>
    <w:p w14:paraId="01B1C637" w14:textId="77777777" w:rsidR="003239B8" w:rsidRPr="00002FD4" w:rsidRDefault="003239B8" w:rsidP="003239B8">
      <w:pPr>
        <w:rPr>
          <w:color w:val="000000" w:themeColor="text1"/>
        </w:rPr>
      </w:pPr>
      <w:r w:rsidRPr="00002FD4">
        <w:rPr>
          <w:color w:val="000000" w:themeColor="text1"/>
        </w:rPr>
        <w:t>Ważnym osiągnięciem badania pilotażowego - z punktu widzenia metodycznego - było udane zastosowanie metody SPSM (</w:t>
      </w:r>
      <w:proofErr w:type="spellStart"/>
      <w:r w:rsidRPr="00002FD4">
        <w:rPr>
          <w:i/>
          <w:color w:val="000000" w:themeColor="text1"/>
        </w:rPr>
        <w:t>Stratified</w:t>
      </w:r>
      <w:proofErr w:type="spellEnd"/>
      <w:r w:rsidRPr="00002FD4">
        <w:rPr>
          <w:i/>
          <w:color w:val="000000" w:themeColor="text1"/>
        </w:rPr>
        <w:t xml:space="preserve"> </w:t>
      </w:r>
      <w:proofErr w:type="spellStart"/>
      <w:r w:rsidRPr="00002FD4">
        <w:rPr>
          <w:i/>
          <w:color w:val="000000" w:themeColor="text1"/>
        </w:rPr>
        <w:t>Propensity</w:t>
      </w:r>
      <w:proofErr w:type="spellEnd"/>
      <w:r w:rsidRPr="00002FD4">
        <w:rPr>
          <w:i/>
          <w:color w:val="000000" w:themeColor="text1"/>
        </w:rPr>
        <w:t xml:space="preserve"> </w:t>
      </w:r>
      <w:proofErr w:type="spellStart"/>
      <w:r w:rsidRPr="00002FD4">
        <w:rPr>
          <w:i/>
          <w:color w:val="000000" w:themeColor="text1"/>
        </w:rPr>
        <w:t>Score</w:t>
      </w:r>
      <w:proofErr w:type="spellEnd"/>
      <w:r w:rsidRPr="00002FD4">
        <w:rPr>
          <w:i/>
          <w:color w:val="000000" w:themeColor="text1"/>
        </w:rPr>
        <w:t xml:space="preserve"> </w:t>
      </w:r>
      <w:proofErr w:type="spellStart"/>
      <w:r w:rsidRPr="00002FD4">
        <w:rPr>
          <w:i/>
          <w:color w:val="000000" w:themeColor="text1"/>
        </w:rPr>
        <w:t>Matchi</w:t>
      </w:r>
      <w:r>
        <w:rPr>
          <w:i/>
          <w:color w:val="000000" w:themeColor="text1"/>
        </w:rPr>
        <w:t>n</w:t>
      </w:r>
      <w:r w:rsidRPr="00002FD4">
        <w:rPr>
          <w:i/>
          <w:color w:val="000000" w:themeColor="text1"/>
        </w:rPr>
        <w:t>g</w:t>
      </w:r>
      <w:proofErr w:type="spellEnd"/>
      <w:r w:rsidRPr="00002FD4">
        <w:rPr>
          <w:color w:val="000000" w:themeColor="text1"/>
        </w:rPr>
        <w:t>) do wyznaczenia efektu netto interwencji dla wskaźników dotyczących m.in. liczby pasażerów, przychodów ze sprzedaży biletów czy bezpieczeństwa ruchu. Jednocześnie jednak stwierdzono, że do modelowania efektu netto konieczne jest posiadanie danych przynajmniej dla ok. 20 względnie podobnych do siebie miast, podczas gdy interwencją VI OP POIiŚ objęto 13 ośrodków wojewódzkich wraz z obszarami funkcjonalnymi. Oznacza to, że do wyciągania wniosków konieczne jest modelowanie na zbiorze obejmującym nie tylko miasta POIiŚ, ale również przynajmniej kilka podobnych miast, które nazywamy miastami kontrfaktycznymi (np. stolice województw Polski Wschodniej lub największe miasta subregionalne). Wskazano również, że modelowanie efektu netto metodą SPSM dla Warszawy nie jest możliwe, gdyż odbiega ona swoją charakterystyką od pozostałych polskich miast – jako rozwiązania alternatywne zaproponowano modelowanie efektu netto w porównaniu do miast europejskich (w badaniu ogólnoeuropejskim) lub analizę kosztów i korzyści.</w:t>
      </w:r>
    </w:p>
    <w:p w14:paraId="1C0DD591" w14:textId="77777777" w:rsidR="003239B8" w:rsidRPr="00002FD4" w:rsidRDefault="003239B8" w:rsidP="003239B8">
      <w:pPr>
        <w:rPr>
          <w:color w:val="000000" w:themeColor="text1"/>
        </w:rPr>
      </w:pPr>
      <w:r w:rsidRPr="00002FD4">
        <w:rPr>
          <w:color w:val="000000" w:themeColor="text1"/>
        </w:rPr>
        <w:t xml:space="preserve">Dużą trudnością przy modelowaniu były niska jakość danych wejściowych oraz trudność w ich pozyskaniu. Dane wejściowe służą nie tylko do pomiaru efektu netto interwencji, lecz także do bieżącego monitorowania jakości oferowanych usług w ramach komunikacji miejskiej. Odpowiedzi na ankiety z wielu ośrodków nie wpłynęły lub wpłynęły tak późno, że niemożliwe było wysłanie zapytań o uzupełnienia i wyjaśnienia braków lub błędów. W związku z tym rekomendowano m.in. regularne tworzenie przez władze publiczne kompleksowej bazy danych dotyczącej transportu </w:t>
      </w:r>
      <w:r w:rsidRPr="00002FD4">
        <w:rPr>
          <w:color w:val="000000" w:themeColor="text1"/>
        </w:rPr>
        <w:lastRenderedPageBreak/>
        <w:t>publicznego oraz wprowadzenie i egzekwowanie wymogu zapewnienia przez beneficjenta interwencji – na etapie wniosku o dofinansowanie – przygotowania wskaźników wyjściowych, opisujących stan systemu transportowego przed realizacją projektu.</w:t>
      </w:r>
    </w:p>
    <w:p w14:paraId="59C6EE3F" w14:textId="77777777" w:rsidR="003239B8" w:rsidRPr="00002FD4" w:rsidRDefault="003239B8" w:rsidP="003239B8">
      <w:pPr>
        <w:rPr>
          <w:color w:val="000000" w:themeColor="text1"/>
        </w:rPr>
      </w:pPr>
      <w:r w:rsidRPr="00002FD4">
        <w:rPr>
          <w:color w:val="000000" w:themeColor="text1"/>
        </w:rPr>
        <w:t>W kontekście niniejszego badania wnioski z badania pilotażowego w odniesieniu do celów niniejszego badania oznaczały między innymi:</w:t>
      </w:r>
    </w:p>
    <w:p w14:paraId="3FAEDE2C" w14:textId="77777777" w:rsidR="003239B8" w:rsidRPr="00002FD4" w:rsidRDefault="003239B8" w:rsidP="003239B8">
      <w:pPr>
        <w:pStyle w:val="Akapitzlist"/>
        <w:numPr>
          <w:ilvl w:val="0"/>
          <w:numId w:val="7"/>
        </w:numPr>
        <w:rPr>
          <w:color w:val="000000" w:themeColor="text1"/>
        </w:rPr>
      </w:pPr>
      <w:r w:rsidRPr="00002FD4">
        <w:rPr>
          <w:color w:val="000000" w:themeColor="text1"/>
        </w:rPr>
        <w:t>możliwość pogłębiania efektu netto metodą SPSM z wykorzystaniem innych wskaźników wyjściowych (np. płynności ruchu), jednakże pod warunkiem że parametry te zabrane byłyby dla 20 podobnych do siebie ośrodków;</w:t>
      </w:r>
    </w:p>
    <w:p w14:paraId="328E1E6B" w14:textId="77777777" w:rsidR="003239B8" w:rsidRPr="00002FD4" w:rsidRDefault="003239B8" w:rsidP="003239B8">
      <w:pPr>
        <w:pStyle w:val="Akapitzlist"/>
        <w:numPr>
          <w:ilvl w:val="0"/>
          <w:numId w:val="7"/>
        </w:numPr>
        <w:rPr>
          <w:color w:val="000000" w:themeColor="text1"/>
        </w:rPr>
      </w:pPr>
      <w:r w:rsidRPr="00002FD4">
        <w:rPr>
          <w:color w:val="000000" w:themeColor="text1"/>
        </w:rPr>
        <w:t>możliwość dalszego zwiększenia jakości modelowana efektu netto metodą SPSM, po zoptymalizowaniu zbioru miast, czyli wybraniu miast kontrfaktycznych najbardziej do siebie podobnych oraz uzupełnieniu danych dla niektórych miast POIiŚ, dla których ich brakowało – podkreślono przy tym, że istnieją obiektywne miary jakości zbioru miast, wykorzystywane do „parowania” jednostek;</w:t>
      </w:r>
    </w:p>
    <w:p w14:paraId="1131BFF2" w14:textId="77777777" w:rsidR="003239B8" w:rsidRPr="00002FD4" w:rsidRDefault="003239B8" w:rsidP="003239B8">
      <w:pPr>
        <w:pStyle w:val="Akapitzlist"/>
        <w:numPr>
          <w:ilvl w:val="0"/>
          <w:numId w:val="7"/>
        </w:numPr>
        <w:rPr>
          <w:color w:val="000000" w:themeColor="text1"/>
        </w:rPr>
      </w:pPr>
      <w:r w:rsidRPr="00002FD4">
        <w:rPr>
          <w:color w:val="000000" w:themeColor="text1"/>
        </w:rPr>
        <w:t>trudności z pozyskiwaniem danych dla reprezentatywnej próby mieszkańców miast metodami wywiadów domowych, ze względu na konieczność ich przeprowadzenia w ponad 20 miastach, gdyby chcieć modelować na nich efekt netto, co oznaczałoby koszt samych badań ok. 800 000 zł netto;</w:t>
      </w:r>
    </w:p>
    <w:p w14:paraId="3C9D6EEC" w14:textId="77777777" w:rsidR="003239B8" w:rsidRPr="00002FD4" w:rsidRDefault="003239B8" w:rsidP="003239B8">
      <w:pPr>
        <w:pStyle w:val="Akapitzlist"/>
        <w:numPr>
          <w:ilvl w:val="0"/>
          <w:numId w:val="7"/>
        </w:numPr>
        <w:rPr>
          <w:color w:val="000000" w:themeColor="text1"/>
        </w:rPr>
      </w:pPr>
      <w:r w:rsidRPr="00002FD4">
        <w:rPr>
          <w:color w:val="000000" w:themeColor="text1"/>
        </w:rPr>
        <w:t>konieczność zastosowania tańszych metod badawczych, dla uzyskania przekrojowych, intersubiektywnych danych dotyczących m.in. częstości korzystania z transportu publicznego – taką metodą był w niniejszym badaniu panel internetowy;</w:t>
      </w:r>
    </w:p>
    <w:p w14:paraId="7EB51C90" w14:textId="77777777" w:rsidR="003239B8" w:rsidRPr="00002FD4" w:rsidRDefault="003239B8" w:rsidP="003239B8">
      <w:pPr>
        <w:pStyle w:val="Akapitzlist"/>
        <w:numPr>
          <w:ilvl w:val="0"/>
          <w:numId w:val="7"/>
        </w:numPr>
        <w:rPr>
          <w:color w:val="000000" w:themeColor="text1"/>
        </w:rPr>
      </w:pPr>
      <w:r w:rsidRPr="00002FD4">
        <w:rPr>
          <w:color w:val="000000" w:themeColor="text1"/>
        </w:rPr>
        <w:t>konieczność uzupełnienia dotychczas stworzonej bazy danych o transporcie poprzez dodatkowe zapytania – na co wskazały zidentyfikowane w badaniu pilotażowym braki danych;</w:t>
      </w:r>
    </w:p>
    <w:p w14:paraId="0515AF6F" w14:textId="77777777" w:rsidR="003239B8" w:rsidRPr="00002FD4" w:rsidRDefault="003239B8" w:rsidP="003239B8">
      <w:pPr>
        <w:pStyle w:val="Akapitzlist"/>
        <w:numPr>
          <w:ilvl w:val="0"/>
          <w:numId w:val="7"/>
        </w:numPr>
        <w:rPr>
          <w:color w:val="000000" w:themeColor="text1"/>
        </w:rPr>
      </w:pPr>
      <w:r w:rsidRPr="00002FD4">
        <w:rPr>
          <w:color w:val="000000" w:themeColor="text1"/>
        </w:rPr>
        <w:t>możliwość i zasadność ponownego wyboru próby miast kontrfaktycznych do modelowania SPSM, po uzupełnieniu bazy danych, w celu optymalizacji jakości modelowania na podstawie danych o lepszej jakości niż w badaniu pilotażowym;</w:t>
      </w:r>
    </w:p>
    <w:p w14:paraId="2BF7F730" w14:textId="77777777" w:rsidR="003239B8" w:rsidRPr="00002FD4" w:rsidRDefault="003239B8" w:rsidP="003239B8">
      <w:pPr>
        <w:pStyle w:val="Akapitzlist"/>
        <w:numPr>
          <w:ilvl w:val="0"/>
          <w:numId w:val="7"/>
        </w:numPr>
        <w:rPr>
          <w:color w:val="000000" w:themeColor="text1"/>
        </w:rPr>
      </w:pPr>
      <w:r w:rsidRPr="00002FD4">
        <w:rPr>
          <w:color w:val="000000" w:themeColor="text1"/>
        </w:rPr>
        <w:t>rozszerzenie metodyki pomiaru efektu netto metodą SPSM w skali miast o dodatkowe wskaźniki związane z płynnością ruchu w skali sieci – ponieważ płynność ruchu nie była przedmiotem badania pilotażowego, jednak w przypadku uzyskania danych dla próby ponad 20 miast będzie się poddawała takiemu modelowaniu;</w:t>
      </w:r>
    </w:p>
    <w:p w14:paraId="62D2B950" w14:textId="77777777" w:rsidR="003239B8" w:rsidRPr="00002FD4" w:rsidRDefault="003239B8" w:rsidP="003239B8">
      <w:pPr>
        <w:pStyle w:val="Akapitzlist"/>
        <w:numPr>
          <w:ilvl w:val="0"/>
          <w:numId w:val="7"/>
        </w:numPr>
        <w:rPr>
          <w:color w:val="000000" w:themeColor="text1"/>
        </w:rPr>
      </w:pPr>
      <w:r w:rsidRPr="00002FD4">
        <w:rPr>
          <w:color w:val="000000" w:themeColor="text1"/>
        </w:rPr>
        <w:t>zasadność zastosowania pilotażu dodatkowej metody pomiaru efektu netto – PSM w celu porównania płynności ruchu w skali pojedynczych linii oraz relacji – na co wskazało ukierunkowanie Zamawiającego na inwestycje infrastrukturalne w ramach obszaru badawczego dotyczącego płynności ruchu w niniejszym badaniu, przy czym w przypadku tego badania podstawowymi wyzwaniami była weryfikacja możliwości znalezienia odcinków kontrfaktycznych oraz utrwalenie danych początkowych dla odcinków objętych interwencją i kontrfaktycznych;</w:t>
      </w:r>
    </w:p>
    <w:p w14:paraId="491C19D7" w14:textId="77777777" w:rsidR="003239B8" w:rsidRPr="00002FD4" w:rsidRDefault="003239B8" w:rsidP="003239B8">
      <w:pPr>
        <w:pStyle w:val="Akapitzlist"/>
        <w:numPr>
          <w:ilvl w:val="0"/>
          <w:numId w:val="7"/>
        </w:numPr>
        <w:rPr>
          <w:color w:val="000000" w:themeColor="text1"/>
        </w:rPr>
      </w:pPr>
      <w:r w:rsidRPr="00002FD4">
        <w:rPr>
          <w:color w:val="000000" w:themeColor="text1"/>
        </w:rPr>
        <w:t xml:space="preserve">wykorzystanie danych dotyczących płynności ruchu pochodzących z źródeł </w:t>
      </w:r>
      <w:r w:rsidRPr="00AE21D2">
        <w:rPr>
          <w:i/>
          <w:color w:val="000000" w:themeColor="text1"/>
        </w:rPr>
        <w:t>big data</w:t>
      </w:r>
      <w:r w:rsidRPr="00002FD4">
        <w:rPr>
          <w:color w:val="000000" w:themeColor="text1"/>
        </w:rPr>
        <w:t>, co umożliwiło pozyskanie bardziej wiarygodnych i jednolitych w skali kraju danych w stosunku do tych pozyskiwanych bezpośrednio od miast;</w:t>
      </w:r>
    </w:p>
    <w:p w14:paraId="56181689" w14:textId="77777777" w:rsidR="003239B8" w:rsidRPr="002071E4" w:rsidRDefault="003239B8" w:rsidP="003239B8">
      <w:pPr>
        <w:pStyle w:val="Akapitzlist"/>
        <w:numPr>
          <w:ilvl w:val="0"/>
          <w:numId w:val="7"/>
        </w:numPr>
        <w:rPr>
          <w:color w:val="000000" w:themeColor="text1"/>
        </w:rPr>
      </w:pPr>
      <w:r w:rsidRPr="00002FD4">
        <w:rPr>
          <w:color w:val="000000" w:themeColor="text1"/>
        </w:rPr>
        <w:t>ukierunkowanie wywiadów indywidualnych na pogłębienie wiedzy w kwestiach metodycznych: sposobu estymacji liczby pasażerów stosowanej w poszczególnych miastach oraz dostępności danych dotyczących płynności ruchu pojazdów transportu publicznego – podczas gdy w badaniu pilotażowym wywiady obejmowały w większości kwestie organizacyjne transportu i prowadzenia inwestycji.</w:t>
      </w:r>
    </w:p>
    <w:p w14:paraId="17256AB0" w14:textId="0365CB77" w:rsidR="003239B8" w:rsidRDefault="003239B8" w:rsidP="003239B8"/>
    <w:p w14:paraId="016CE32C" w14:textId="6CD4A650" w:rsidR="00790555" w:rsidRDefault="00BC44DC" w:rsidP="00EA3B45">
      <w:pPr>
        <w:pStyle w:val="Nagwek2"/>
      </w:pPr>
      <w:bookmarkStart w:id="210" w:name="_Toc27125352"/>
      <w:r>
        <w:lastRenderedPageBreak/>
        <w:t xml:space="preserve">Wnioski </w:t>
      </w:r>
      <w:r w:rsidR="00AE0FD0">
        <w:t xml:space="preserve">z </w:t>
      </w:r>
      <w:r w:rsidR="00F52A08">
        <w:t>n</w:t>
      </w:r>
      <w:r w:rsidR="00207B6F">
        <w:t xml:space="preserve">iniejszego </w:t>
      </w:r>
      <w:r w:rsidR="00AE0FD0">
        <w:t>badania</w:t>
      </w:r>
      <w:bookmarkEnd w:id="210"/>
    </w:p>
    <w:p w14:paraId="3E528C45" w14:textId="799DD4C0" w:rsidR="00D56D62" w:rsidRDefault="00D56D62" w:rsidP="00D56D62">
      <w:pPr>
        <w:pStyle w:val="Podtytu"/>
      </w:pPr>
      <w:r>
        <w:t>wnioski metodyczne</w:t>
      </w:r>
    </w:p>
    <w:p w14:paraId="0DE6A1CD" w14:textId="4C88972E" w:rsidR="00981793" w:rsidRDefault="00981793" w:rsidP="00981793">
      <w:pPr>
        <w:pStyle w:val="Akapitzlist"/>
        <w:numPr>
          <w:ilvl w:val="0"/>
          <w:numId w:val="51"/>
        </w:numPr>
      </w:pPr>
      <w:r w:rsidRPr="00903109">
        <w:t>Inwestycje usprawniające transport publiczny oddziałują nie tylko na korytarz poddawany interwencji, ale na ruch w całej sieci, w tym podział użytkowników między transport publiczny i</w:t>
      </w:r>
      <w:r>
        <w:t> </w:t>
      </w:r>
      <w:r w:rsidRPr="00903109">
        <w:t>indywidualny. Wzrost liczby pasażerów na korytarzu inwestycyjnym może przyczynić się do wzrostów na korytarzach komplementarnych, np. dowozowych; ale też na odpływ pasażerów w</w:t>
      </w:r>
      <w:r>
        <w:t> </w:t>
      </w:r>
      <w:r w:rsidRPr="00903109">
        <w:t>alternatywnych relacjach. Istotna jest globalna zmiana zachowań komunikacyjnych mieszkańców danego obszaru, mierzona zmianą liczby pasażerów, sumaryczną zmianą czasu lub długości podróży wykonywanych przez pasażerów w sieci. Ponadto wyznaczanie liczby użytkowników dla produktów projektu powoduje duże trudności metodyczne, a i tak może być mylne i nieużyteczne, gdyż jeden pasażer może być liczony wielokrotnie (np. dla projektu infrastrukturalnego i taborowego). Liczba pasażerów może zależeć też np. od przydziału taboru będącego przedmiotem projektu do konkretnych zadań - w szczególności np. do linii krótszych, zamiast do linii dłuższych.</w:t>
      </w:r>
    </w:p>
    <w:p w14:paraId="6229AC69" w14:textId="1F5E4D1D" w:rsidR="00981793" w:rsidRPr="006B3531" w:rsidRDefault="00981793" w:rsidP="00981793">
      <w:pPr>
        <w:pStyle w:val="Akapitzlist"/>
        <w:numPr>
          <w:ilvl w:val="0"/>
          <w:numId w:val="51"/>
        </w:numPr>
      </w:pPr>
      <w:r w:rsidRPr="006B3531">
        <w:t xml:space="preserve">Na podstawie uzupełnionej bazy danych udało się zoptymalizować próbę miast dla analizy efektu netto metodą kontrfaktyczną </w:t>
      </w:r>
      <w:proofErr w:type="spellStart"/>
      <w:r w:rsidRPr="00981793">
        <w:rPr>
          <w:i/>
          <w:iCs/>
        </w:rPr>
        <w:t>Stratified</w:t>
      </w:r>
      <w:proofErr w:type="spellEnd"/>
      <w:r w:rsidRPr="00981793">
        <w:rPr>
          <w:i/>
          <w:iCs/>
        </w:rPr>
        <w:t xml:space="preserve"> </w:t>
      </w:r>
      <w:proofErr w:type="spellStart"/>
      <w:r w:rsidRPr="00981793">
        <w:rPr>
          <w:i/>
          <w:iCs/>
        </w:rPr>
        <w:t>Propensity</w:t>
      </w:r>
      <w:proofErr w:type="spellEnd"/>
      <w:r w:rsidRPr="00981793">
        <w:rPr>
          <w:i/>
          <w:iCs/>
        </w:rPr>
        <w:t xml:space="preserve"> </w:t>
      </w:r>
      <w:proofErr w:type="spellStart"/>
      <w:r w:rsidRPr="00981793">
        <w:rPr>
          <w:i/>
          <w:iCs/>
        </w:rPr>
        <w:t>Score</w:t>
      </w:r>
      <w:proofErr w:type="spellEnd"/>
      <w:r w:rsidRPr="00981793">
        <w:rPr>
          <w:i/>
          <w:iCs/>
        </w:rPr>
        <w:t xml:space="preserve"> </w:t>
      </w:r>
      <w:proofErr w:type="spellStart"/>
      <w:r w:rsidRPr="00981793">
        <w:rPr>
          <w:i/>
          <w:iCs/>
        </w:rPr>
        <w:t>Matching</w:t>
      </w:r>
      <w:proofErr w:type="spellEnd"/>
      <w:r w:rsidRPr="00981793">
        <w:rPr>
          <w:i/>
          <w:iCs/>
        </w:rPr>
        <w:t xml:space="preserve"> </w:t>
      </w:r>
      <w:r w:rsidRPr="006B3531">
        <w:t>(SPSM)</w:t>
      </w:r>
      <w:r>
        <w:t xml:space="preserve">. Planowano również zebrać dodatkowe zmienne dla oszacowania efektu netto za pomocą panelu CAWI, jednak nie było to </w:t>
      </w:r>
      <w:r w:rsidR="00B549BF">
        <w:t xml:space="preserve">w pełni </w:t>
      </w:r>
      <w:r>
        <w:t>możliwe ze względu na brak ankietowanych w</w:t>
      </w:r>
      <w:r w:rsidR="00B549BF">
        <w:t> </w:t>
      </w:r>
      <w:r>
        <w:t>niektórych miastach</w:t>
      </w:r>
      <w:r w:rsidR="00B549BF">
        <w:t>, w związku z czym wyznaczono dwie próby miast do analizy SPSM</w:t>
      </w:r>
      <w:r>
        <w:t>.</w:t>
      </w:r>
    </w:p>
    <w:p w14:paraId="140722E1" w14:textId="77777777" w:rsidR="00981793" w:rsidRDefault="00981793" w:rsidP="00981793">
      <w:pPr>
        <w:pStyle w:val="Akapitzlist"/>
        <w:numPr>
          <w:ilvl w:val="0"/>
          <w:numId w:val="51"/>
        </w:numPr>
      </w:pPr>
      <w:r w:rsidRPr="006B3531">
        <w:t xml:space="preserve">W ramach niniejszego badania zebrano komplet danych dotyczących prędkości podróży samochodem w wybranych relacjach przy wykorzystaniu </w:t>
      </w:r>
      <w:r w:rsidRPr="00981793">
        <w:rPr>
          <w:i/>
          <w:iCs/>
        </w:rPr>
        <w:t xml:space="preserve">big data </w:t>
      </w:r>
      <w:r w:rsidRPr="006B3531">
        <w:t xml:space="preserve">(Google </w:t>
      </w:r>
      <w:proofErr w:type="spellStart"/>
      <w:r w:rsidRPr="006B3531">
        <w:t>Maps</w:t>
      </w:r>
      <w:proofErr w:type="spellEnd"/>
      <w:r w:rsidRPr="006B3531">
        <w:t>). Pomiar miał miejsce w październiku jako miesiącu referencyjnym.</w:t>
      </w:r>
    </w:p>
    <w:p w14:paraId="635FDAD0" w14:textId="77777777" w:rsidR="00981793" w:rsidRPr="00B06E38" w:rsidRDefault="00981793" w:rsidP="00981793">
      <w:pPr>
        <w:pStyle w:val="Akapitzlist"/>
        <w:numPr>
          <w:ilvl w:val="0"/>
          <w:numId w:val="51"/>
        </w:numPr>
      </w:pPr>
      <w:r w:rsidRPr="00B06E38">
        <w:t xml:space="preserve">Udało się przeprowadzić parowanie odcinków sieci komunikacyjnej metodą kontrfaktyczną </w:t>
      </w:r>
      <w:proofErr w:type="spellStart"/>
      <w:r w:rsidRPr="00981793">
        <w:rPr>
          <w:i/>
          <w:iCs/>
        </w:rPr>
        <w:t>Propensity</w:t>
      </w:r>
      <w:proofErr w:type="spellEnd"/>
      <w:r w:rsidRPr="00981793">
        <w:rPr>
          <w:i/>
          <w:iCs/>
        </w:rPr>
        <w:t xml:space="preserve"> </w:t>
      </w:r>
      <w:proofErr w:type="spellStart"/>
      <w:r w:rsidRPr="00981793">
        <w:rPr>
          <w:i/>
          <w:iCs/>
        </w:rPr>
        <w:t>Score</w:t>
      </w:r>
      <w:proofErr w:type="spellEnd"/>
      <w:r w:rsidRPr="00981793">
        <w:rPr>
          <w:i/>
          <w:iCs/>
        </w:rPr>
        <w:t xml:space="preserve"> </w:t>
      </w:r>
      <w:proofErr w:type="spellStart"/>
      <w:r w:rsidRPr="00981793">
        <w:rPr>
          <w:i/>
          <w:iCs/>
        </w:rPr>
        <w:t>Matching</w:t>
      </w:r>
      <w:proofErr w:type="spellEnd"/>
      <w:r w:rsidRPr="00981793">
        <w:rPr>
          <w:i/>
          <w:iCs/>
        </w:rPr>
        <w:t xml:space="preserve"> </w:t>
      </w:r>
      <w:r w:rsidRPr="00B06E38">
        <w:t>(PSM) dla 10 wybranych inwestycji infrastrukturalnych</w:t>
      </w:r>
      <w:r w:rsidRPr="00981793">
        <w:rPr>
          <w:i/>
          <w:iCs/>
        </w:rPr>
        <w:t xml:space="preserve"> </w:t>
      </w:r>
      <w:r w:rsidRPr="00B06E38">
        <w:t xml:space="preserve">w ramach VI osi POIiŚ 2014-2020. Barierą dla pełnego oszacowania efektu netto w badaniu </w:t>
      </w:r>
      <w:r w:rsidRPr="00981793">
        <w:rPr>
          <w:i/>
          <w:iCs/>
        </w:rPr>
        <w:t>ex post</w:t>
      </w:r>
      <w:r w:rsidRPr="00B06E38">
        <w:t xml:space="preserve"> jest jednak brak danych dotyczących rzeczywistej prędkości podróży w transporcie publicznym od wszystkich miast, w których znajdują się te odcinki oraz odcinki kontrfaktyczne. </w:t>
      </w:r>
    </w:p>
    <w:p w14:paraId="7AE5D446" w14:textId="77777777" w:rsidR="00981793" w:rsidRDefault="00981793" w:rsidP="00981793">
      <w:pPr>
        <w:pStyle w:val="Akapitzlist"/>
        <w:numPr>
          <w:ilvl w:val="0"/>
          <w:numId w:val="51"/>
        </w:numPr>
      </w:pPr>
      <w:r>
        <w:t>P</w:t>
      </w:r>
      <w:r w:rsidRPr="00EF2D73">
        <w:t xml:space="preserve">rzeprowadzona AKK </w:t>
      </w:r>
      <w:r w:rsidRPr="00981793">
        <w:rPr>
          <w:i/>
        </w:rPr>
        <w:t>ex post</w:t>
      </w:r>
      <w:r w:rsidRPr="00EF2D73">
        <w:t xml:space="preserve"> była oparta na proporcjonalnym skorygowaniu w AKK </w:t>
      </w:r>
      <w:r w:rsidRPr="00981793">
        <w:rPr>
          <w:i/>
        </w:rPr>
        <w:t xml:space="preserve">ex </w:t>
      </w:r>
      <w:proofErr w:type="spellStart"/>
      <w:r w:rsidRPr="00981793">
        <w:rPr>
          <w:i/>
        </w:rPr>
        <w:t>ante</w:t>
      </w:r>
      <w:proofErr w:type="spellEnd"/>
      <w:r w:rsidRPr="00EF2D73">
        <w:t xml:space="preserve"> dwóch kluczowych zmiennych: korzyści ekonomicznych i nakładów finansowych</w:t>
      </w:r>
      <w:r>
        <w:t xml:space="preserve">. Pełna weryfikacja AKK dla projektów w ramach WOF wymaga przeprowadzenia modelowania ruchu, gdyż wejściowymi wskaźnikami dla każdego projektu są dane o charakterze </w:t>
      </w:r>
      <w:proofErr w:type="spellStart"/>
      <w:r>
        <w:t>ogólnosieciowym</w:t>
      </w:r>
      <w:proofErr w:type="spellEnd"/>
      <w:r>
        <w:t>, wynikające z ogólnych przejść pasażerów pomiędzy różnymi środkami transportu, a nie dane o liczbie użytkowników i czasach przejazdu w ramach konkretnej inwestycji. Jednak w przypadku braku projektów, które w znaczny sposób nie osiągnęły oczekiwanych rezultatów, takie modelowanie jest zbędne.</w:t>
      </w:r>
    </w:p>
    <w:p w14:paraId="3F6CE108" w14:textId="32D7B428" w:rsidR="00981793" w:rsidRDefault="00981793" w:rsidP="00981793">
      <w:pPr>
        <w:pStyle w:val="Akapitzlist"/>
        <w:numPr>
          <w:ilvl w:val="0"/>
          <w:numId w:val="51"/>
        </w:numPr>
      </w:pPr>
      <w:r w:rsidRPr="00B06E38">
        <w:t>Proces ponow</w:t>
      </w:r>
      <w:r>
        <w:t>io</w:t>
      </w:r>
      <w:r w:rsidRPr="00B06E38">
        <w:t xml:space="preserve">nych zapytań ankietowych do miast </w:t>
      </w:r>
      <w:r>
        <w:t xml:space="preserve">z badania pilotażowego </w:t>
      </w:r>
      <w:r w:rsidRPr="00B06E38">
        <w:t>pozwolił na uzupełnienie kluczowych braków danych (zmiennych objaśnianych i objaśniających dla metody SPSM). Wciąż jednak niski jest zwrot w zakresie danych m.in. o polityce parkingowej czy ruchu pieszym oraz dla wskaźników dotyczących bezpieczeństwa i</w:t>
      </w:r>
      <w:r>
        <w:t> </w:t>
      </w:r>
      <w:r w:rsidRPr="00B06E38">
        <w:t xml:space="preserve">płynności ruchu (np. czas likwidacji zdarzeń czy liczba </w:t>
      </w:r>
      <w:r>
        <w:t xml:space="preserve">fotoradarów i </w:t>
      </w:r>
      <w:r w:rsidRPr="00B06E38">
        <w:t>„odcinków pomiaru prędkości”).</w:t>
      </w:r>
    </w:p>
    <w:p w14:paraId="1C1AB172" w14:textId="77777777" w:rsidR="00981793" w:rsidRPr="00903109" w:rsidRDefault="00981793" w:rsidP="00981793"/>
    <w:p w14:paraId="36F7C648" w14:textId="77777777" w:rsidR="00D56D62" w:rsidRPr="00D56D62" w:rsidRDefault="00D56D62" w:rsidP="00D56D62"/>
    <w:p w14:paraId="3EC08253" w14:textId="195C3F7A" w:rsidR="00AE0FD0" w:rsidRDefault="00D56D62" w:rsidP="00D56D62">
      <w:pPr>
        <w:pStyle w:val="Podtytu"/>
      </w:pPr>
      <w:r>
        <w:lastRenderedPageBreak/>
        <w:t xml:space="preserve">wnioski </w:t>
      </w:r>
      <w:r w:rsidR="0028672F">
        <w:t>systemowe</w:t>
      </w:r>
    </w:p>
    <w:p w14:paraId="6A3AE9D7" w14:textId="62DACF88" w:rsidR="00981793" w:rsidRDefault="00981793" w:rsidP="00981793">
      <w:pPr>
        <w:pStyle w:val="Akapitzlist"/>
        <w:numPr>
          <w:ilvl w:val="0"/>
          <w:numId w:val="52"/>
        </w:numPr>
      </w:pPr>
      <w:r w:rsidRPr="001D2242">
        <w:t xml:space="preserve">W celu znacznego zwiększenia liczby użytkowników transportu publicznego w miastach, inwestycje </w:t>
      </w:r>
      <w:r>
        <w:t xml:space="preserve">w transport publiczny </w:t>
      </w:r>
      <w:r w:rsidRPr="001D2242">
        <w:t>nie powinny się skupiać wyłącznie na infrastrukturze i</w:t>
      </w:r>
      <w:r>
        <w:t> </w:t>
      </w:r>
      <w:r w:rsidRPr="001D2242">
        <w:t>taborze, a obejmować także inne elementy składające się na całościową ofertę dla klienta</w:t>
      </w:r>
      <w:r>
        <w:t xml:space="preserve"> </w:t>
      </w:r>
      <w:r w:rsidRPr="006B3531">
        <w:t>(wysoka przepustowość i zasięg, dobra informacja w razie zakłóceń).</w:t>
      </w:r>
      <w:r w:rsidRPr="003B47EF">
        <w:t xml:space="preserve"> </w:t>
      </w:r>
      <w:r>
        <w:t xml:space="preserve">Inwestycje </w:t>
      </w:r>
      <w:r w:rsidRPr="003B47EF">
        <w:t xml:space="preserve">wiążą się </w:t>
      </w:r>
      <w:r>
        <w:t xml:space="preserve">dziś </w:t>
      </w:r>
      <w:r w:rsidRPr="003B47EF">
        <w:t>ze wzrostem kosztu eksploatacji systemu transportowego – funkcjonowanie bardziej skomplikowanych rozwiązań technicznych i systemowych</w:t>
      </w:r>
      <w:r>
        <w:t>.</w:t>
      </w:r>
    </w:p>
    <w:p w14:paraId="7F588851" w14:textId="504DDC3D" w:rsidR="00F27A84" w:rsidRDefault="00F27A84" w:rsidP="00F27A84">
      <w:pPr>
        <w:pStyle w:val="Akapitzlist"/>
        <w:numPr>
          <w:ilvl w:val="0"/>
          <w:numId w:val="52"/>
        </w:numPr>
      </w:pPr>
      <w:r>
        <w:t>W kontekście projektów zawierających ITS i powodzenia działań mających na celu usprawnienie ruchu pojazdów transportu publicznego, kluczowa jest w wielu miastach rozdzielność organizacyjna zarządów dróg i transportu miejskiego. Operatorzy systemów sterowania ruchem są pracownikami zarządów dróg, które często realizują strategie zarządzania ruchem drogowym sprzeczne z priorytet</w:t>
      </w:r>
      <w:r w:rsidR="00B82489">
        <w:t>em dla</w:t>
      </w:r>
      <w:r>
        <w:t xml:space="preserve"> transportu miejskiego.</w:t>
      </w:r>
    </w:p>
    <w:p w14:paraId="0CDF4B25" w14:textId="1674D127" w:rsidR="00981793" w:rsidRPr="006B3531" w:rsidRDefault="00981793" w:rsidP="00981793">
      <w:pPr>
        <w:pStyle w:val="Akapitzlist"/>
        <w:numPr>
          <w:ilvl w:val="0"/>
          <w:numId w:val="52"/>
        </w:numPr>
      </w:pPr>
      <w:r w:rsidRPr="006B3531">
        <w:t>W studiach przypadku dla węzłów przesiadkowych zaobserwowano liczne bariery architektoniczne, wpływające na mobilność osób z niepełnosprawnością i z ograniczonymi możliwościami poruszania się. Bariery infrastrukturalne stają się zauważalne szczególnie</w:t>
      </w:r>
      <w:r>
        <w:t xml:space="preserve"> </w:t>
      </w:r>
      <w:r w:rsidRPr="006B3531">
        <w:t>w</w:t>
      </w:r>
      <w:r>
        <w:t> </w:t>
      </w:r>
      <w:r w:rsidRPr="006B3531">
        <w:t>kontekście wysokiej dostępności pojazdów ją obsługujących (tabor niskopodłogowy). Dotyczą one całości infrastruktury</w:t>
      </w:r>
      <w:r w:rsidR="001812A0">
        <w:t>, z której korzystają pasażerowie komunikacji miejskiej</w:t>
      </w:r>
      <w:r w:rsidRPr="006B3531">
        <w:t xml:space="preserve"> – nie tylko węzłów.</w:t>
      </w:r>
    </w:p>
    <w:p w14:paraId="5D4DCDC5" w14:textId="4F4A89EF" w:rsidR="00981793" w:rsidRDefault="00981793" w:rsidP="00981793">
      <w:pPr>
        <w:pStyle w:val="Akapitzlist"/>
        <w:numPr>
          <w:ilvl w:val="0"/>
          <w:numId w:val="52"/>
        </w:numPr>
      </w:pPr>
      <w:r>
        <w:t xml:space="preserve">W analizie kosztów i korzyści dla Parkingów </w:t>
      </w:r>
      <w:r w:rsidRPr="00981793">
        <w:rPr>
          <w:i/>
        </w:rPr>
        <w:t xml:space="preserve">Park &amp; </w:t>
      </w:r>
      <w:proofErr w:type="spellStart"/>
      <w:r w:rsidRPr="00981793">
        <w:rPr>
          <w:i/>
        </w:rPr>
        <w:t>Ride</w:t>
      </w:r>
      <w:proofErr w:type="spellEnd"/>
      <w:r>
        <w:t xml:space="preserve"> zgodnie z Niebieską Księgą uwzględnia się średni koszt zużycia samochodu w przeliczeniu na kilometr, podczas gdy faktycznie oszczędnością kierowców jest wyłącznie koszt krańcowy, gdyż przesiadając się jedynie na części odcinka podróży nie można zrezygnować z posiadania samochodu i ponoszenia kosztów stałych.</w:t>
      </w:r>
    </w:p>
    <w:p w14:paraId="5F501ACE" w14:textId="326AB008" w:rsidR="00981793" w:rsidRPr="006B3531" w:rsidRDefault="00981793" w:rsidP="00981793">
      <w:pPr>
        <w:pStyle w:val="Akapitzlist"/>
        <w:numPr>
          <w:ilvl w:val="0"/>
          <w:numId w:val="52"/>
        </w:numPr>
      </w:pPr>
      <w:r w:rsidRPr="006B3531">
        <w:t xml:space="preserve">W </w:t>
      </w:r>
      <w:r w:rsidR="001812A0">
        <w:t xml:space="preserve">AKK </w:t>
      </w:r>
      <w:r w:rsidRPr="006B3531">
        <w:t xml:space="preserve">dla miejskich parkingów </w:t>
      </w:r>
      <w:r w:rsidRPr="00981793">
        <w:rPr>
          <w:i/>
        </w:rPr>
        <w:t xml:space="preserve">Park &amp; </w:t>
      </w:r>
      <w:proofErr w:type="spellStart"/>
      <w:r w:rsidRPr="00981793">
        <w:rPr>
          <w:i/>
        </w:rPr>
        <w:t>Ride</w:t>
      </w:r>
      <w:proofErr w:type="spellEnd"/>
      <w:r w:rsidRPr="006B3531">
        <w:t xml:space="preserve"> korzyści prywatne dla kierowców (oszczędności zużycia samochodów) </w:t>
      </w:r>
      <w:r w:rsidR="001812A0">
        <w:t xml:space="preserve">dominują </w:t>
      </w:r>
      <w:r w:rsidRPr="006B3531">
        <w:t>nad korzyściami dla ogółu społeczeństwa miejskiego (hałas, wypadki, zanieczyszczenia itp.). W szczególności niski jest wskaźnik kosztów do korzyści w przypadku parkingów wielopoziomowych, umieszczonych względnie blisko centrów rdzeni aglomeracji</w:t>
      </w:r>
    </w:p>
    <w:p w14:paraId="610C3116" w14:textId="2862B013" w:rsidR="00981793" w:rsidRDefault="00981793" w:rsidP="00981793">
      <w:pPr>
        <w:pStyle w:val="Akapitzlist"/>
        <w:numPr>
          <w:ilvl w:val="0"/>
          <w:numId w:val="52"/>
        </w:numPr>
      </w:pPr>
      <w:r w:rsidRPr="006B3531">
        <w:t xml:space="preserve">Organizatorom transportu brakuje narzędzi do zarządzania sytuacjami awaryjnymi. Służby dyspozytorskie i nadzoru ruchu zajmują się reakcją na bieżące zdarzenia, jednak nie wykonuje się analizy zdarzeń wstecz, czasu i skutków ich trwania. Brak też automatycznych narzędzi powiadamiania pasażerów o awariach - ponad 20% respondentów panelu CAWI oceniło dostępność informacji </w:t>
      </w:r>
      <w:r>
        <w:t xml:space="preserve">w miastach </w:t>
      </w:r>
      <w:r w:rsidRPr="006B3531">
        <w:t>o awariach jako złą lub bardzo złą</w:t>
      </w:r>
      <w:r>
        <w:t>. Często w sytuacjach awaryjnych tablice informacji pasażerskiej na przystankach są wręcz wygaszane i nie przekazują żadnej informacji.</w:t>
      </w:r>
    </w:p>
    <w:p w14:paraId="46C5875D" w14:textId="01FE0497" w:rsidR="00981793" w:rsidRDefault="00981793" w:rsidP="00981793">
      <w:pPr>
        <w:pStyle w:val="Akapitzlist"/>
        <w:numPr>
          <w:ilvl w:val="0"/>
          <w:numId w:val="52"/>
        </w:numPr>
      </w:pPr>
      <w:r>
        <w:t>Inwestycje infrastrukturalne w transport miejski napotykają na szereg utrudnień związanych z procedowaniem kolejnych etapów ich przygotowania. Często inwestycje łączy się z rozwojem infrastruktury drogowej, by móc szybciej przystąpić do ich realizacji.</w:t>
      </w:r>
    </w:p>
    <w:p w14:paraId="72EE592E" w14:textId="3FA9F414" w:rsidR="00D56D62" w:rsidRDefault="00D56D62" w:rsidP="00D56D62">
      <w:pPr>
        <w:pStyle w:val="Podtytu"/>
      </w:pPr>
      <w:r>
        <w:t>wnioski dla systemu ewaluacji</w:t>
      </w:r>
    </w:p>
    <w:p w14:paraId="54066101" w14:textId="07732C67" w:rsidR="00981793" w:rsidRDefault="00981793" w:rsidP="00981793">
      <w:pPr>
        <w:pStyle w:val="Akapitzlist"/>
        <w:numPr>
          <w:ilvl w:val="0"/>
          <w:numId w:val="53"/>
        </w:numPr>
      </w:pPr>
      <w:r>
        <w:t>Projekty POIiŚ i POPW w transporcie miejskim tematycznie nie różnią się od siebie (a jedynie lokalizacyjnie) i badanie ich wpływu łącznie rozszerzyłoby możliwość wnioskowania. Działanie 6.1</w:t>
      </w:r>
      <w:r w:rsidR="00964902">
        <w:t>.</w:t>
      </w:r>
      <w:r>
        <w:t xml:space="preserve"> POIiŚ jest tożsame z działaniem 2.1. POPW w zrównoważony transport miejski, a podstawowymi celami tego działania jest również skrócenie czasu podróży komunikacją miejską, upłynnienie ruchu, integracja różnych form transportu i dostosowanie do potrzeb osób niepełnosprawnych.</w:t>
      </w:r>
    </w:p>
    <w:p w14:paraId="5EB1ABE1" w14:textId="794B8037" w:rsidR="00981793" w:rsidRDefault="00981793" w:rsidP="00981793">
      <w:pPr>
        <w:pStyle w:val="Akapitzlist"/>
        <w:numPr>
          <w:ilvl w:val="0"/>
          <w:numId w:val="53"/>
        </w:numPr>
      </w:pPr>
      <w:r w:rsidRPr="005E05F8">
        <w:lastRenderedPageBreak/>
        <w:t>Zbiory</w:t>
      </w:r>
      <w:r>
        <w:t xml:space="preserve"> gmin wchodzących w skład miejskich obszarów funkcjonalnych są unikatowe, z czego wynika trudność w wyszukiwaniu i utrwalaniu kompletu danych dla tych obszarów. Częstokroć wiążę się to z wyszukiwaniem informacji o wszystkich gminach z osobna, proces ten jest długotrwały. Przy wzroście zadań realizowanych na terenie obszarów funkcjonalnych baza danych będzie wymagała powiększania. </w:t>
      </w:r>
    </w:p>
    <w:p w14:paraId="79AE3272" w14:textId="11821183" w:rsidR="00981793" w:rsidRDefault="00981793" w:rsidP="00981793">
      <w:pPr>
        <w:pStyle w:val="Akapitzlist"/>
        <w:numPr>
          <w:ilvl w:val="0"/>
          <w:numId w:val="53"/>
        </w:numPr>
      </w:pPr>
      <w:r>
        <w:t xml:space="preserve">Pilotaż wykazał, że Analiza Kosztów i Korzyści </w:t>
      </w:r>
      <w:r w:rsidRPr="00981793">
        <w:rPr>
          <w:i/>
          <w:iCs/>
        </w:rPr>
        <w:t xml:space="preserve">ex post </w:t>
      </w:r>
      <w:r>
        <w:t>dla projektów WOF wymaga zastosowania modelowania ruchu – nie może być wykonana poprzez zwykłe podstawienie do modeli finansowych rzeczywistych wartości liczby pasażerów, czy czasów przejazdu dla inwestycji, gdyż parametry te (np. w przeciwieństwie do inwestycji kolejowych) nie są parametrami wejściowymi modeli AKK. Parametry wejściowe AKK pochodzą bowiem z modeli ruchu i dotyczą łącznej liczby godzin spędzanych przez pasażerów danego podsystemu przed i po inwestycji.</w:t>
      </w:r>
    </w:p>
    <w:p w14:paraId="22C95E8E" w14:textId="4558C5EF" w:rsidR="00981793" w:rsidRDefault="00981793" w:rsidP="00981793">
      <w:pPr>
        <w:pStyle w:val="Akapitzlist"/>
        <w:numPr>
          <w:ilvl w:val="0"/>
          <w:numId w:val="53"/>
        </w:numPr>
      </w:pPr>
      <w:r>
        <w:t>W większości projektów WOF zaobserwowano zwiększenie nakładów inwestycyjnych względem pierwotnych prognoz – w 3 na 6 projektów przekroczyło ono 20%. Jakkolwiek w żadnym przypadku nie doprowadziło to do obniżenia wskaźników efektywności projektu poniżej wartości krytycznych, to jednak proces ten wymaga dodatkowego poznania oraz – w zależności od jego skali – wprowadzenia mechanizmów zaradczych.</w:t>
      </w:r>
    </w:p>
    <w:p w14:paraId="2D8394D5" w14:textId="42D0ACB4" w:rsidR="00790555" w:rsidRDefault="00F82F37" w:rsidP="00790555">
      <w:pPr>
        <w:pStyle w:val="Nagwek2"/>
      </w:pPr>
      <w:bookmarkStart w:id="211" w:name="_Toc27125353"/>
      <w:r>
        <w:t>R</w:t>
      </w:r>
      <w:r w:rsidR="00D56D62">
        <w:t>ekomendacje</w:t>
      </w:r>
      <w:r w:rsidR="00710427">
        <w:t xml:space="preserve"> dla ewaluacji </w:t>
      </w:r>
      <w:r>
        <w:t>VI OP POIiŚ</w:t>
      </w:r>
      <w:bookmarkEnd w:id="211"/>
    </w:p>
    <w:p w14:paraId="51354742" w14:textId="6B85E98F" w:rsidR="00981793" w:rsidRPr="008A02E8" w:rsidRDefault="008A02E8" w:rsidP="008A02E8">
      <w:pPr>
        <w:rPr>
          <w:b/>
        </w:rPr>
      </w:pPr>
      <w:r>
        <w:rPr>
          <w:b/>
        </w:rPr>
        <w:t xml:space="preserve">1. </w:t>
      </w:r>
      <w:r w:rsidR="00981793" w:rsidRPr="008A02E8">
        <w:rPr>
          <w:b/>
        </w:rPr>
        <w:t>Badanie sieciowe wpływu inwestycji na liczbę pasażerów, zamiast liniowego tylko w ciągu danej inwestycji</w:t>
      </w:r>
    </w:p>
    <w:p w14:paraId="03FB86A6" w14:textId="77777777" w:rsidR="00981793" w:rsidRPr="00903109" w:rsidRDefault="00981793" w:rsidP="00981793">
      <w:pPr>
        <w:rPr>
          <w:u w:val="single"/>
        </w:rPr>
      </w:pPr>
      <w:r w:rsidRPr="00903109">
        <w:rPr>
          <w:u w:val="single"/>
        </w:rPr>
        <w:t>Wniosek:</w:t>
      </w:r>
    </w:p>
    <w:p w14:paraId="63692F59" w14:textId="77777777" w:rsidR="00981793" w:rsidRPr="00903109" w:rsidRDefault="00981793" w:rsidP="00981793">
      <w:r w:rsidRPr="00903109">
        <w:t>Inwestycje usprawniające transport publiczny oddziałują nie tylko na korytarz poddawany interwencji, ale na ruch w całej sieci, w tym podział użytkowników między transport publiczny i</w:t>
      </w:r>
      <w:r>
        <w:t> </w:t>
      </w:r>
      <w:r w:rsidRPr="00903109">
        <w:t>indywidualny. Wzrost liczby pasażerów na korytarzu inwestycyjnym może przyczynić się do wzrostów na korytarzach komplementarnych, np. dowozowych; ale też na odpływ pasażerów w</w:t>
      </w:r>
      <w:r>
        <w:t> </w:t>
      </w:r>
      <w:r w:rsidRPr="00903109">
        <w:t>alternatywnych relacjach. Istotna jest globalna zmiana zachowań komunikacyjnych mieszkańców danego obszaru, mierzona zmianą liczby pasażerów, sumaryczną zmianą czasu lub długości podróży wykonywanych przez pasażerów w sieci. Ponadto wyznaczanie liczby użytkowników dla produktów projektu powoduje duże trudności metodyczne, a i tak może być mylne i nieużyteczne, gdyż jeden pasażer może być liczony wielokrotnie (np. dla projektu infrastrukturalnego i taborowego). Liczba pasażerów może zależeć też np. od przydziału taboru będącego przedmiotem projektu do konkretnych zadań - w szczególności np. do linii krótszych, zamiast do linii dłuższych (podmiejskich).</w:t>
      </w:r>
    </w:p>
    <w:p w14:paraId="554A4724" w14:textId="77777777" w:rsidR="00981793" w:rsidRPr="00903109" w:rsidRDefault="00981793" w:rsidP="00981793">
      <w:pPr>
        <w:rPr>
          <w:u w:val="single"/>
        </w:rPr>
      </w:pPr>
      <w:r w:rsidRPr="00903109">
        <w:rPr>
          <w:u w:val="single"/>
        </w:rPr>
        <w:t>Rekomendacja:</w:t>
      </w:r>
    </w:p>
    <w:p w14:paraId="1D9819CE" w14:textId="77777777" w:rsidR="00981793" w:rsidRPr="00903109" w:rsidRDefault="00981793" w:rsidP="00981793">
      <w:r w:rsidRPr="00903109">
        <w:t xml:space="preserve">Weryfikacja wpływu inwestycji (np. na liczbę pasażerów) powinna polegać nie na badaniu zmian dotyczących </w:t>
      </w:r>
      <w:r w:rsidRPr="00101AF0">
        <w:rPr>
          <w:i/>
        </w:rPr>
        <w:t>stricte</w:t>
      </w:r>
      <w:r w:rsidRPr="00903109">
        <w:t xml:space="preserve"> rozważanej inwestycji liniowej bądź punktowej, a na badaniu zmian sieciowych – wyznaczenie efektu netto przy pomocy metody SPSM lub modelu ruchu.</w:t>
      </w:r>
    </w:p>
    <w:p w14:paraId="6F22B2A0" w14:textId="79210068" w:rsidR="00981793" w:rsidRPr="008A02E8" w:rsidRDefault="008A02E8" w:rsidP="008A02E8">
      <w:pPr>
        <w:rPr>
          <w:b/>
        </w:rPr>
      </w:pPr>
      <w:r>
        <w:rPr>
          <w:b/>
        </w:rPr>
        <w:t xml:space="preserve">2. </w:t>
      </w:r>
      <w:r w:rsidR="00981793" w:rsidRPr="008A02E8">
        <w:rPr>
          <w:b/>
        </w:rPr>
        <w:t>Kontynuacja badania SPSM + CAWI</w:t>
      </w:r>
    </w:p>
    <w:p w14:paraId="212B8635" w14:textId="77777777" w:rsidR="00981793" w:rsidRPr="006B3531" w:rsidRDefault="00981793" w:rsidP="00981793">
      <w:pPr>
        <w:rPr>
          <w:u w:val="single"/>
        </w:rPr>
      </w:pPr>
      <w:bookmarkStart w:id="212" w:name="_Hlk25248870"/>
      <w:r w:rsidRPr="006B3531">
        <w:rPr>
          <w:u w:val="single"/>
        </w:rPr>
        <w:t>Wniosek:</w:t>
      </w:r>
    </w:p>
    <w:p w14:paraId="1DC87041" w14:textId="54013108" w:rsidR="00981793" w:rsidRPr="006B3531" w:rsidRDefault="00981793" w:rsidP="00981793">
      <w:r w:rsidRPr="006B3531">
        <w:t xml:space="preserve">Na podstawie uzupełnionej bazy danych udało się zoptymalizować próbę miast dla analizy efektu netto metodą kontrfaktyczną </w:t>
      </w:r>
      <w:proofErr w:type="spellStart"/>
      <w:r w:rsidRPr="006B3531">
        <w:rPr>
          <w:i/>
          <w:iCs/>
        </w:rPr>
        <w:t>Stratified</w:t>
      </w:r>
      <w:proofErr w:type="spellEnd"/>
      <w:r w:rsidRPr="006B3531">
        <w:rPr>
          <w:i/>
          <w:iCs/>
        </w:rPr>
        <w:t xml:space="preserve"> </w:t>
      </w:r>
      <w:proofErr w:type="spellStart"/>
      <w:r w:rsidRPr="006B3531">
        <w:rPr>
          <w:i/>
          <w:iCs/>
        </w:rPr>
        <w:t>Propensity</w:t>
      </w:r>
      <w:proofErr w:type="spellEnd"/>
      <w:r w:rsidRPr="006B3531">
        <w:rPr>
          <w:i/>
          <w:iCs/>
        </w:rPr>
        <w:t xml:space="preserve"> </w:t>
      </w:r>
      <w:proofErr w:type="spellStart"/>
      <w:r w:rsidRPr="006B3531">
        <w:rPr>
          <w:i/>
          <w:iCs/>
        </w:rPr>
        <w:t>Score</w:t>
      </w:r>
      <w:proofErr w:type="spellEnd"/>
      <w:r w:rsidRPr="006B3531">
        <w:rPr>
          <w:i/>
          <w:iCs/>
        </w:rPr>
        <w:t xml:space="preserve"> </w:t>
      </w:r>
      <w:proofErr w:type="spellStart"/>
      <w:r w:rsidRPr="006B3531">
        <w:rPr>
          <w:i/>
          <w:iCs/>
        </w:rPr>
        <w:t>Matching</w:t>
      </w:r>
      <w:proofErr w:type="spellEnd"/>
      <w:r w:rsidRPr="006B3531">
        <w:rPr>
          <w:i/>
          <w:iCs/>
        </w:rPr>
        <w:t xml:space="preserve"> </w:t>
      </w:r>
      <w:r w:rsidRPr="006B3531">
        <w:t>(SPSM)</w:t>
      </w:r>
      <w:r>
        <w:t xml:space="preserve">. Planowano również </w:t>
      </w:r>
      <w:r>
        <w:lastRenderedPageBreak/>
        <w:t xml:space="preserve">zebrać dodatkowe zmienne dla oszacowania efektu netto za pomocą panelu CAWI, jednak nie było to </w:t>
      </w:r>
      <w:r w:rsidR="008628F4">
        <w:t xml:space="preserve">w pełni </w:t>
      </w:r>
      <w:r>
        <w:t>możliwe ze względu na brak ankietowanych w niektórych miastach.</w:t>
      </w:r>
    </w:p>
    <w:p w14:paraId="2D872EA7" w14:textId="77777777" w:rsidR="00981793" w:rsidRDefault="00981793" w:rsidP="00981793">
      <w:pPr>
        <w:rPr>
          <w:u w:val="single"/>
        </w:rPr>
      </w:pPr>
      <w:r w:rsidRPr="006B3531">
        <w:rPr>
          <w:u w:val="single"/>
        </w:rPr>
        <w:t>Rekomendacja:</w:t>
      </w:r>
    </w:p>
    <w:p w14:paraId="3615899F" w14:textId="77777777" w:rsidR="00981793" w:rsidRPr="006B3531" w:rsidRDefault="00981793" w:rsidP="00981793">
      <w:bookmarkStart w:id="213" w:name="_Hlk25240978"/>
      <w:r w:rsidRPr="006B3531">
        <w:t xml:space="preserve">W ramach badania </w:t>
      </w:r>
      <w:r w:rsidRPr="00307E9E">
        <w:rPr>
          <w:i/>
        </w:rPr>
        <w:t>ex</w:t>
      </w:r>
      <w:r>
        <w:rPr>
          <w:i/>
        </w:rPr>
        <w:t xml:space="preserve"> </w:t>
      </w:r>
      <w:r w:rsidRPr="00307E9E">
        <w:rPr>
          <w:i/>
        </w:rPr>
        <w:t>post</w:t>
      </w:r>
      <w:r w:rsidRPr="006B3531">
        <w:t xml:space="preserve"> należy wykonać analizę SPSM</w:t>
      </w:r>
      <w:r>
        <w:t xml:space="preserve"> dla zoptymalizowanej próby miast.</w:t>
      </w:r>
      <w:r w:rsidRPr="006B3531">
        <w:t xml:space="preserve"> </w:t>
      </w:r>
      <w:r w:rsidRPr="00F17E60">
        <w:t>Biorąc jednak pod uwagę ograniczenia zaistniałe w trakcie przeprowadzania panelu CAWI, tj. brak ankietowanych dla poszczególnych miast, proponuje się odrębne oszacowanie efektu netto dla zmiennych pochodzących z panelu CAWI</w:t>
      </w:r>
      <w:r>
        <w:t xml:space="preserve">, </w:t>
      </w:r>
      <w:r w:rsidRPr="006B3531">
        <w:t>powtórzonego po interwencji</w:t>
      </w:r>
      <w:r>
        <w:t xml:space="preserve">, przeprowadzonego w październiku planowanego roku badania </w:t>
      </w:r>
      <w:r w:rsidRPr="00101AF0">
        <w:rPr>
          <w:i/>
        </w:rPr>
        <w:t>ex</w:t>
      </w:r>
      <w:r>
        <w:rPr>
          <w:i/>
        </w:rPr>
        <w:t xml:space="preserve"> </w:t>
      </w:r>
      <w:r w:rsidRPr="00101AF0">
        <w:rPr>
          <w:i/>
        </w:rPr>
        <w:t>post</w:t>
      </w:r>
      <w:r w:rsidRPr="006B3531">
        <w:t>.</w:t>
      </w:r>
    </w:p>
    <w:bookmarkEnd w:id="212"/>
    <w:bookmarkEnd w:id="213"/>
    <w:p w14:paraId="734D6124" w14:textId="700B2658" w:rsidR="00981793" w:rsidRPr="008A02E8" w:rsidRDefault="00981793" w:rsidP="008A02E8">
      <w:pPr>
        <w:pStyle w:val="Akapitzlist"/>
        <w:numPr>
          <w:ilvl w:val="0"/>
          <w:numId w:val="4"/>
        </w:numPr>
        <w:rPr>
          <w:b/>
        </w:rPr>
      </w:pPr>
      <w:r w:rsidRPr="008A02E8">
        <w:rPr>
          <w:b/>
        </w:rPr>
        <w:t>Kontynuacja wykorzystania danych Google</w:t>
      </w:r>
    </w:p>
    <w:p w14:paraId="7A948DBF" w14:textId="77777777" w:rsidR="00981793" w:rsidRDefault="00981793" w:rsidP="00981793">
      <w:pPr>
        <w:rPr>
          <w:u w:val="single"/>
        </w:rPr>
      </w:pPr>
      <w:r w:rsidRPr="006B3531">
        <w:rPr>
          <w:u w:val="single"/>
        </w:rPr>
        <w:t>Wniosek:</w:t>
      </w:r>
    </w:p>
    <w:p w14:paraId="300ED957" w14:textId="77777777" w:rsidR="00981793" w:rsidRDefault="00981793" w:rsidP="00981793">
      <w:r w:rsidRPr="006B3531">
        <w:t xml:space="preserve">W ramach niniejszego badania zebrano komplet danych dotyczących prędkości podróży samochodem w wybranych relacjach przy wykorzystaniu </w:t>
      </w:r>
      <w:r w:rsidRPr="006B3531">
        <w:rPr>
          <w:i/>
          <w:iCs/>
        </w:rPr>
        <w:t xml:space="preserve">big data </w:t>
      </w:r>
      <w:r w:rsidRPr="006B3531">
        <w:t xml:space="preserve">(Google </w:t>
      </w:r>
      <w:proofErr w:type="spellStart"/>
      <w:r w:rsidRPr="006B3531">
        <w:t>Maps</w:t>
      </w:r>
      <w:proofErr w:type="spellEnd"/>
      <w:r w:rsidRPr="006B3531">
        <w:t>). Pomiar miał miejsce w październiku jako miesiącu referencyjnym.</w:t>
      </w:r>
    </w:p>
    <w:p w14:paraId="44B4A94F" w14:textId="77777777" w:rsidR="00981793" w:rsidRPr="00B06E38" w:rsidRDefault="00981793" w:rsidP="00981793">
      <w:pPr>
        <w:rPr>
          <w:u w:val="single"/>
        </w:rPr>
      </w:pPr>
      <w:r w:rsidRPr="00B06E38">
        <w:rPr>
          <w:u w:val="single"/>
        </w:rPr>
        <w:t>Rekomendacja:</w:t>
      </w:r>
    </w:p>
    <w:p w14:paraId="61D01935" w14:textId="77777777" w:rsidR="00981793" w:rsidRPr="006B3531" w:rsidRDefault="00981793" w:rsidP="00981793">
      <w:bookmarkStart w:id="214" w:name="_Hlk25240973"/>
      <w:r w:rsidRPr="006B3531">
        <w:t xml:space="preserve">W ramach badania </w:t>
      </w:r>
      <w:r w:rsidRPr="00307E9E">
        <w:rPr>
          <w:i/>
        </w:rPr>
        <w:t>ex</w:t>
      </w:r>
      <w:r>
        <w:rPr>
          <w:i/>
        </w:rPr>
        <w:t xml:space="preserve"> </w:t>
      </w:r>
      <w:r w:rsidRPr="00307E9E">
        <w:rPr>
          <w:i/>
        </w:rPr>
        <w:t>post</w:t>
      </w:r>
      <w:r w:rsidRPr="006B3531">
        <w:t xml:space="preserve"> należy powtórzyć zebranie danych </w:t>
      </w:r>
      <w:r w:rsidRPr="006B3531">
        <w:rPr>
          <w:i/>
          <w:iCs/>
        </w:rPr>
        <w:t xml:space="preserve">big data </w:t>
      </w:r>
      <w:r w:rsidRPr="006B3531">
        <w:t>do obliczenia prędkości podróży samochodem.</w:t>
      </w:r>
      <w:r>
        <w:t xml:space="preserve"> </w:t>
      </w:r>
      <w:r w:rsidRPr="006B3531">
        <w:t xml:space="preserve">Badanie należy przeprowadzić w październiku celem zachowania spójności z niniejszym badaniem. </w:t>
      </w:r>
    </w:p>
    <w:bookmarkEnd w:id="214"/>
    <w:p w14:paraId="0763FA79" w14:textId="0A34D1C1" w:rsidR="00981793" w:rsidRPr="008A02E8" w:rsidRDefault="00981793" w:rsidP="008A02E8">
      <w:pPr>
        <w:pStyle w:val="Akapitzlist"/>
        <w:numPr>
          <w:ilvl w:val="0"/>
          <w:numId w:val="4"/>
        </w:numPr>
        <w:rPr>
          <w:b/>
        </w:rPr>
      </w:pPr>
      <w:r w:rsidRPr="008A02E8">
        <w:rPr>
          <w:b/>
        </w:rPr>
        <w:t>Kontynuacja badania PSM z wykorzystaniem danych rozkładowych</w:t>
      </w:r>
    </w:p>
    <w:p w14:paraId="218C9CDF" w14:textId="77777777" w:rsidR="00981793" w:rsidRPr="00B06E38" w:rsidRDefault="00981793" w:rsidP="00981793">
      <w:pPr>
        <w:rPr>
          <w:u w:val="single"/>
        </w:rPr>
      </w:pPr>
      <w:r w:rsidRPr="00B06E38">
        <w:rPr>
          <w:u w:val="single"/>
        </w:rPr>
        <w:t>Wniosek:</w:t>
      </w:r>
    </w:p>
    <w:p w14:paraId="2A6AD13C" w14:textId="77777777" w:rsidR="00981793" w:rsidRPr="00B06E38" w:rsidRDefault="00981793" w:rsidP="00981793">
      <w:r w:rsidRPr="00B06E38">
        <w:t xml:space="preserve">Udało się przeprowadzić parowanie odcinków sieci komunikacyjnej metodą kontrfaktyczną </w:t>
      </w:r>
      <w:proofErr w:type="spellStart"/>
      <w:r w:rsidRPr="00B06E38">
        <w:rPr>
          <w:i/>
          <w:iCs/>
        </w:rPr>
        <w:t>Propensity</w:t>
      </w:r>
      <w:proofErr w:type="spellEnd"/>
      <w:r w:rsidRPr="00B06E38">
        <w:rPr>
          <w:i/>
          <w:iCs/>
        </w:rPr>
        <w:t xml:space="preserve"> </w:t>
      </w:r>
      <w:proofErr w:type="spellStart"/>
      <w:r w:rsidRPr="00B06E38">
        <w:rPr>
          <w:i/>
          <w:iCs/>
        </w:rPr>
        <w:t>Score</w:t>
      </w:r>
      <w:proofErr w:type="spellEnd"/>
      <w:r w:rsidRPr="00B06E38">
        <w:rPr>
          <w:i/>
          <w:iCs/>
        </w:rPr>
        <w:t xml:space="preserve"> </w:t>
      </w:r>
      <w:proofErr w:type="spellStart"/>
      <w:r w:rsidRPr="00B06E38">
        <w:rPr>
          <w:i/>
          <w:iCs/>
        </w:rPr>
        <w:t>Matching</w:t>
      </w:r>
      <w:proofErr w:type="spellEnd"/>
      <w:r>
        <w:rPr>
          <w:i/>
          <w:iCs/>
        </w:rPr>
        <w:t xml:space="preserve"> </w:t>
      </w:r>
      <w:r w:rsidRPr="00B06E38">
        <w:t>(PSM) dla 10 wybranych inwestycji infrastrukturalnych</w:t>
      </w:r>
      <w:r w:rsidRPr="00B06E38">
        <w:rPr>
          <w:i/>
          <w:iCs/>
        </w:rPr>
        <w:t xml:space="preserve"> </w:t>
      </w:r>
      <w:r w:rsidRPr="00B06E38">
        <w:t xml:space="preserve">w ramach VI osi POIiŚ 2014-2020. Barierą dla pełnego oszacowania efektu netto w badaniu </w:t>
      </w:r>
      <w:r w:rsidRPr="00B06E38">
        <w:rPr>
          <w:i/>
          <w:iCs/>
        </w:rPr>
        <w:t>ex post</w:t>
      </w:r>
      <w:r w:rsidRPr="00B06E38">
        <w:t xml:space="preserve"> jest jednak brak danych dotyczących rzeczywistej prędkości podróży w transporcie publicznym od wszystkich miast, w których znajdują się te odcinki oraz odcinki kontrfaktyczne. </w:t>
      </w:r>
    </w:p>
    <w:p w14:paraId="5EE9A371" w14:textId="77777777" w:rsidR="00981793" w:rsidRPr="00B06E38" w:rsidRDefault="00981793" w:rsidP="00981793">
      <w:pPr>
        <w:rPr>
          <w:u w:val="single"/>
        </w:rPr>
      </w:pPr>
      <w:r w:rsidRPr="00B06E38">
        <w:rPr>
          <w:u w:val="single"/>
        </w:rPr>
        <w:t>Rekomendacja:</w:t>
      </w:r>
    </w:p>
    <w:p w14:paraId="44300C2E" w14:textId="77777777" w:rsidR="00981793" w:rsidRDefault="00981793" w:rsidP="00981793">
      <w:bookmarkStart w:id="215" w:name="_Hlk25240968"/>
      <w:r w:rsidRPr="00B06E38">
        <w:t>Rekomenduje się oszacowanie efektu netto dla inwestycji infrastrukturalnych w ramach POIiŚ 2014-2020 za pomocą danych rozkładowych oraz – w miarę możliwości – za pomocą danych rzeczywistych, w zależności od ich jakości.</w:t>
      </w:r>
    </w:p>
    <w:bookmarkEnd w:id="215"/>
    <w:p w14:paraId="02500A4B" w14:textId="3A42068B" w:rsidR="00981793" w:rsidRPr="008A02E8" w:rsidRDefault="00981793" w:rsidP="008A02E8">
      <w:pPr>
        <w:pStyle w:val="Akapitzlist"/>
        <w:numPr>
          <w:ilvl w:val="0"/>
          <w:numId w:val="4"/>
        </w:numPr>
        <w:rPr>
          <w:b/>
          <w:bCs/>
        </w:rPr>
      </w:pPr>
      <w:r w:rsidRPr="008A02E8">
        <w:rPr>
          <w:b/>
          <w:bCs/>
        </w:rPr>
        <w:t>Weryfikacja AKK dla WOF przy użyciu modelu ruchu w przypadku znacznego nieosiągnięcia wskaźników rezultatu</w:t>
      </w:r>
    </w:p>
    <w:p w14:paraId="53A7A0F5" w14:textId="77777777" w:rsidR="00981793" w:rsidRPr="00B06E38" w:rsidRDefault="00981793" w:rsidP="00981793">
      <w:pPr>
        <w:rPr>
          <w:bCs/>
          <w:u w:val="single"/>
        </w:rPr>
      </w:pPr>
      <w:r w:rsidRPr="00B06E38">
        <w:rPr>
          <w:bCs/>
          <w:u w:val="single"/>
        </w:rPr>
        <w:t>Wniosek:</w:t>
      </w:r>
    </w:p>
    <w:p w14:paraId="60D6BC4F" w14:textId="77777777" w:rsidR="00981793" w:rsidRDefault="00981793" w:rsidP="00981793">
      <w:bookmarkStart w:id="216" w:name="_Hlk26200370"/>
      <w:r>
        <w:t>P</w:t>
      </w:r>
      <w:r w:rsidRPr="00EF2D73">
        <w:t xml:space="preserve">rzeprowadzona AKK </w:t>
      </w:r>
      <w:r w:rsidRPr="00A32051">
        <w:rPr>
          <w:i/>
        </w:rPr>
        <w:t>ex post</w:t>
      </w:r>
      <w:r w:rsidRPr="00EF2D73">
        <w:t xml:space="preserve"> była oparta na proporcjonalnym skorygowaniu w AKK </w:t>
      </w:r>
      <w:r w:rsidRPr="00EF2D73">
        <w:rPr>
          <w:i/>
        </w:rPr>
        <w:t xml:space="preserve">ex </w:t>
      </w:r>
      <w:proofErr w:type="spellStart"/>
      <w:r w:rsidRPr="00EF2D73">
        <w:rPr>
          <w:i/>
        </w:rPr>
        <w:t>ante</w:t>
      </w:r>
      <w:proofErr w:type="spellEnd"/>
      <w:r w:rsidRPr="00EF2D73">
        <w:t xml:space="preserve"> dwóch kluczowych zmiennych: korzyści ekonomicznych i nakładów finansowych</w:t>
      </w:r>
      <w:r>
        <w:t xml:space="preserve">. Pełna weryfikacja AKK dla projektów w ramach WOF wymaga przeprowadzenia modelowania ruchu, gdyż wejściowymi wskaźnikami dla każdego projektu są dane o charakterze </w:t>
      </w:r>
      <w:proofErr w:type="spellStart"/>
      <w:r>
        <w:t>ogólnosieciowym</w:t>
      </w:r>
      <w:proofErr w:type="spellEnd"/>
      <w:r>
        <w:t>, wynikające z ogólnych przejść pasażerów pomiędzy różnymi środkami transportu, a nie dane o liczbie użytkowników i czasach przejazdu w ramach konkretnej inwestycji. Jednak w przypadku braku projektów, które w znaczny sposób nie osiągnęły oczekiwanych rezultatów, takie modelowanie jest zbędne.</w:t>
      </w:r>
    </w:p>
    <w:p w14:paraId="2903035C" w14:textId="77777777" w:rsidR="00981793" w:rsidRPr="00B06E38" w:rsidRDefault="00981793" w:rsidP="00981793">
      <w:pPr>
        <w:rPr>
          <w:bCs/>
          <w:u w:val="single"/>
        </w:rPr>
      </w:pPr>
      <w:r w:rsidRPr="00B06E38">
        <w:rPr>
          <w:bCs/>
          <w:u w:val="single"/>
        </w:rPr>
        <w:lastRenderedPageBreak/>
        <w:t>Rekomendacja:</w:t>
      </w:r>
    </w:p>
    <w:p w14:paraId="73A4A008" w14:textId="77777777" w:rsidR="00981793" w:rsidRDefault="00981793" w:rsidP="00981793">
      <w:bookmarkStart w:id="217" w:name="_Hlk25240961"/>
      <w:r>
        <w:t xml:space="preserve">W przypadku uzasadnionych wątpliwości, co do efektywności projektów w ramach WOF, w tym znacznego nieosiągnięcia wskaźników monitoringu przez przynajmniej jeden z projektów, konieczne jest rozszerzenie metodyki badania </w:t>
      </w:r>
      <w:r>
        <w:rPr>
          <w:i/>
          <w:iCs/>
        </w:rPr>
        <w:t xml:space="preserve">ex post </w:t>
      </w:r>
      <w:r>
        <w:t>o modelowanie ruchu i na tej podstawie powtórzenie pełnej AKK. W tym przypadku możliwe jest względnie łatwe wykorzystanie modelu również dla pozostałych projektów.</w:t>
      </w:r>
    </w:p>
    <w:bookmarkEnd w:id="216"/>
    <w:bookmarkEnd w:id="217"/>
    <w:p w14:paraId="0D9C5B47" w14:textId="05288478" w:rsidR="00981793" w:rsidRPr="008A02E8" w:rsidRDefault="00981793" w:rsidP="008A02E8">
      <w:pPr>
        <w:pStyle w:val="Akapitzlist"/>
        <w:numPr>
          <w:ilvl w:val="0"/>
          <w:numId w:val="4"/>
        </w:numPr>
        <w:rPr>
          <w:b/>
        </w:rPr>
      </w:pPr>
      <w:r w:rsidRPr="008A02E8">
        <w:rPr>
          <w:b/>
        </w:rPr>
        <w:t>Brak kompleksowych danych o mobilności</w:t>
      </w:r>
    </w:p>
    <w:p w14:paraId="42667CBF" w14:textId="77777777" w:rsidR="00981793" w:rsidRPr="00B06E38" w:rsidRDefault="00981793" w:rsidP="00981793">
      <w:pPr>
        <w:rPr>
          <w:u w:val="single"/>
        </w:rPr>
      </w:pPr>
      <w:r w:rsidRPr="00B06E38">
        <w:rPr>
          <w:u w:val="single"/>
        </w:rPr>
        <w:t xml:space="preserve">Wniosek: </w:t>
      </w:r>
    </w:p>
    <w:p w14:paraId="70CC8FF0" w14:textId="77777777" w:rsidR="00981793" w:rsidRDefault="00981793" w:rsidP="00981793">
      <w:r w:rsidRPr="00B06E38">
        <w:t>Proces ponow</w:t>
      </w:r>
      <w:r>
        <w:t>io</w:t>
      </w:r>
      <w:r w:rsidRPr="00B06E38">
        <w:t xml:space="preserve">nych zapytań ankietowych do miast </w:t>
      </w:r>
      <w:r>
        <w:t xml:space="preserve">z badania pilotażowego </w:t>
      </w:r>
      <w:r w:rsidRPr="00B06E38">
        <w:t xml:space="preserve">pozwolił na uzupełnienie kluczowych braków danych (zmiennych objaśnianych i objaśniających dla metody SPSM). Wciąż jednak niski jest zwrot w zakresie danych m.in. o polityce parkingowej czy ruchu pieszym oraz dla wskaźników dotyczących bezpieczeństwa i płynności ruchu (np. czas likwidacji zdarzeń czy liczba </w:t>
      </w:r>
      <w:r>
        <w:t xml:space="preserve">fotoradarów i </w:t>
      </w:r>
      <w:r w:rsidRPr="00B06E38">
        <w:t>„odcinków pomiaru prędkości”).</w:t>
      </w:r>
    </w:p>
    <w:p w14:paraId="72BAE13F" w14:textId="77777777" w:rsidR="00981793" w:rsidRPr="00B06E38" w:rsidRDefault="00981793" w:rsidP="00981793">
      <w:pPr>
        <w:rPr>
          <w:u w:val="single"/>
        </w:rPr>
      </w:pPr>
      <w:r w:rsidRPr="00B06E38">
        <w:rPr>
          <w:u w:val="single"/>
        </w:rPr>
        <w:t>Rekomendacja:</w:t>
      </w:r>
    </w:p>
    <w:p w14:paraId="06601FDB" w14:textId="77777777" w:rsidR="00981793" w:rsidRPr="00B06E38" w:rsidRDefault="00981793" w:rsidP="00981793">
      <w:bookmarkStart w:id="218" w:name="_Hlk25240956"/>
      <w:r w:rsidRPr="00B06E38">
        <w:t xml:space="preserve">W ramach badania </w:t>
      </w:r>
      <w:r w:rsidRPr="00B06E38">
        <w:rPr>
          <w:i/>
          <w:iCs/>
        </w:rPr>
        <w:t xml:space="preserve">ex post </w:t>
      </w:r>
      <w:r w:rsidRPr="00B06E38">
        <w:t xml:space="preserve">konieczne będzie bazowanie wyłącznie na ogólnodostępnych danych </w:t>
      </w:r>
      <w:proofErr w:type="spellStart"/>
      <w:r w:rsidRPr="00B06E38">
        <w:t>SEWiK</w:t>
      </w:r>
      <w:proofErr w:type="spellEnd"/>
      <w:r w:rsidRPr="00B06E38">
        <w:t xml:space="preserve"> oraz GITD w odniesieniu do bezpieczeństwa ruchu drogowego.</w:t>
      </w:r>
    </w:p>
    <w:p w14:paraId="30B2D2AD" w14:textId="77777777" w:rsidR="00981793" w:rsidRPr="00B06E38" w:rsidRDefault="00981793" w:rsidP="00981793">
      <w:r w:rsidRPr="00B06E38">
        <w:t>Rekomenduje się przeprowadzanie zapytań do miast o wartości wejściowe wskaźników bezpieczeństwa i płynności ruchu przy okazji kolejnych naborów.</w:t>
      </w:r>
    </w:p>
    <w:p w14:paraId="67DB5B85" w14:textId="5EB71973" w:rsidR="00D56D62" w:rsidRDefault="00AB1ECC" w:rsidP="00D56D62">
      <w:pPr>
        <w:pStyle w:val="Nagwek2"/>
      </w:pPr>
      <w:bookmarkStart w:id="219" w:name="_Toc27125354"/>
      <w:bookmarkEnd w:id="218"/>
      <w:r>
        <w:t xml:space="preserve">Rekomendacje </w:t>
      </w:r>
      <w:r w:rsidR="0028672F">
        <w:t>systemowe</w:t>
      </w:r>
      <w:bookmarkEnd w:id="219"/>
    </w:p>
    <w:p w14:paraId="510DA4A3" w14:textId="7C46B51D" w:rsidR="00981793" w:rsidRPr="006B3531" w:rsidRDefault="00553BC2" w:rsidP="00553BC2">
      <w:r>
        <w:rPr>
          <w:b/>
          <w:bCs/>
        </w:rPr>
        <w:t xml:space="preserve">1. </w:t>
      </w:r>
      <w:r w:rsidR="00981793" w:rsidRPr="00553BC2">
        <w:rPr>
          <w:b/>
          <w:bCs/>
        </w:rPr>
        <w:t>Większa kompleksowość interwencji</w:t>
      </w:r>
    </w:p>
    <w:p w14:paraId="1371EB04" w14:textId="77777777" w:rsidR="00981793" w:rsidRPr="006B3531" w:rsidRDefault="00981793" w:rsidP="00981793">
      <w:pPr>
        <w:rPr>
          <w:u w:val="single"/>
        </w:rPr>
      </w:pPr>
      <w:r w:rsidRPr="006B3531">
        <w:rPr>
          <w:u w:val="single"/>
        </w:rPr>
        <w:t>Wniosek:</w:t>
      </w:r>
    </w:p>
    <w:p w14:paraId="1451BE37" w14:textId="77777777" w:rsidR="00981793" w:rsidRDefault="00981793" w:rsidP="00981793">
      <w:r w:rsidRPr="001D2242">
        <w:t xml:space="preserve">W celu znacznego zwiększenia liczby użytkowników transportu publicznego w miastach, inwestycje </w:t>
      </w:r>
      <w:r>
        <w:t xml:space="preserve">w transport publiczny </w:t>
      </w:r>
      <w:r w:rsidRPr="001D2242">
        <w:t>nie powinny się skupiać wyłącznie na infrastrukturze i taborze, a obejmować także inne elementy składające się na całościową ofertę dla klienta</w:t>
      </w:r>
      <w:r>
        <w:t xml:space="preserve"> </w:t>
      </w:r>
      <w:r w:rsidRPr="006B3531">
        <w:t>(wysoka przepustowość i zasięg, dobra informacja w razie zakłóceń).</w:t>
      </w:r>
      <w:r w:rsidRPr="003B47EF">
        <w:t xml:space="preserve"> </w:t>
      </w:r>
      <w:r>
        <w:t xml:space="preserve">Inwestycje </w:t>
      </w:r>
      <w:r w:rsidRPr="003B47EF">
        <w:t xml:space="preserve">wiążą się </w:t>
      </w:r>
      <w:r>
        <w:t xml:space="preserve">dziś </w:t>
      </w:r>
      <w:r w:rsidRPr="003B47EF">
        <w:t>ze wzrostem kosztu eksploatacji systemu transportowego – funkcjonowanie bardziej skomplikowanych rozwiązań technicznych i systemowych</w:t>
      </w:r>
      <w:r>
        <w:t>.</w:t>
      </w:r>
    </w:p>
    <w:p w14:paraId="1EFAFB94" w14:textId="77777777" w:rsidR="00981793" w:rsidRPr="006B3531" w:rsidRDefault="00981793" w:rsidP="00981793">
      <w:pPr>
        <w:rPr>
          <w:u w:val="single"/>
        </w:rPr>
      </w:pPr>
      <w:r w:rsidRPr="006B3531">
        <w:rPr>
          <w:u w:val="single"/>
        </w:rPr>
        <w:t>Rekomendacja:</w:t>
      </w:r>
    </w:p>
    <w:p w14:paraId="1D922E11" w14:textId="77777777" w:rsidR="00981793" w:rsidRDefault="00981793" w:rsidP="00981793">
      <w:bookmarkStart w:id="220" w:name="_Hlk25240951"/>
      <w:r w:rsidRPr="006B3531">
        <w:t>Interwencja musi obejmować zwiększanie przepustowości</w:t>
      </w:r>
      <w:r>
        <w:t xml:space="preserve"> i zasięgu</w:t>
      </w:r>
      <w:r w:rsidRPr="006B3531">
        <w:t xml:space="preserve"> transportu publicznego</w:t>
      </w:r>
      <w:r>
        <w:t xml:space="preserve"> (a zatem zwłaszcza pracy eksploatacyjnej w godzinach szczytu)</w:t>
      </w:r>
      <w:r w:rsidRPr="006B3531">
        <w:t>, a nie dró</w:t>
      </w:r>
      <w:r>
        <w:t xml:space="preserve">g. </w:t>
      </w:r>
      <w:r w:rsidRPr="00C840AE">
        <w:t>Projekty drogowe i</w:t>
      </w:r>
      <w:r>
        <w:t> </w:t>
      </w:r>
      <w:r w:rsidRPr="00C840AE">
        <w:t>w</w:t>
      </w:r>
      <w:r>
        <w:t> </w:t>
      </w:r>
      <w:r w:rsidRPr="00C840AE">
        <w:t>transpor</w:t>
      </w:r>
      <w:r>
        <w:t>cie</w:t>
      </w:r>
      <w:r w:rsidRPr="00C840AE">
        <w:t xml:space="preserve"> publiczny</w:t>
      </w:r>
      <w:r>
        <w:t>m</w:t>
      </w:r>
      <w:r w:rsidRPr="00C840AE">
        <w:t xml:space="preserve"> w </w:t>
      </w:r>
      <w:r>
        <w:t xml:space="preserve">AKK </w:t>
      </w:r>
      <w:r w:rsidRPr="00C840AE">
        <w:t>powinny być wzajemnie widoczne, by rozbudowa dróg w</w:t>
      </w:r>
      <w:r>
        <w:t> </w:t>
      </w:r>
      <w:r w:rsidRPr="00C840AE">
        <w:t>mieście nie kanibalizowała inwestycji w transport publiczny, ale dopuszcz</w:t>
      </w:r>
      <w:r>
        <w:t>ała</w:t>
      </w:r>
      <w:r w:rsidRPr="00C840AE">
        <w:t xml:space="preserve"> np. budow</w:t>
      </w:r>
      <w:r>
        <w:t>ę</w:t>
      </w:r>
      <w:r w:rsidRPr="00C840AE">
        <w:t xml:space="preserve"> dróg obwodowych, które pozwol</w:t>
      </w:r>
      <w:r>
        <w:t>ą</w:t>
      </w:r>
      <w:r w:rsidRPr="00C840AE">
        <w:t xml:space="preserve"> na uspokojenie i ogranicz</w:t>
      </w:r>
      <w:r>
        <w:t>e</w:t>
      </w:r>
      <w:r w:rsidRPr="00C840AE">
        <w:t>nie ruchu w śródmieściu</w:t>
      </w:r>
      <w:r>
        <w:t xml:space="preserve"> oraz rozszerzenie priorytetów dla transportu publicznego</w:t>
      </w:r>
      <w:r w:rsidRPr="00C840AE">
        <w:t>.</w:t>
      </w:r>
      <w:r>
        <w:t xml:space="preserve"> To z kolei wymaga </w:t>
      </w:r>
      <w:r w:rsidRPr="006B3531">
        <w:t>zmiany założeń AKK</w:t>
      </w:r>
      <w:r>
        <w:t xml:space="preserve">, tak by projekty drogowe </w:t>
      </w:r>
      <w:r w:rsidRPr="001F56E8">
        <w:t>każdorazow</w:t>
      </w:r>
      <w:r>
        <w:t>o</w:t>
      </w:r>
      <w:r w:rsidRPr="001F56E8">
        <w:t xml:space="preserve"> uwzględni</w:t>
      </w:r>
      <w:r>
        <w:t>ały</w:t>
      </w:r>
      <w:r w:rsidRPr="001F56E8">
        <w:t xml:space="preserve"> przejęci</w:t>
      </w:r>
      <w:r>
        <w:t>e</w:t>
      </w:r>
      <w:r w:rsidRPr="001F56E8">
        <w:t xml:space="preserve"> pasażerów transportu publicznego przez transport indywidualny w przypadku rozbudowy drogi</w:t>
      </w:r>
      <w:r>
        <w:t xml:space="preserve">. </w:t>
      </w:r>
    </w:p>
    <w:p w14:paraId="0BFDF8BA" w14:textId="77777777" w:rsidR="00981793" w:rsidRDefault="00981793" w:rsidP="00981793">
      <w:r>
        <w:t>Rekomenduje się tworzenie planów zrównoważonej mobilności miejskiej (</w:t>
      </w:r>
      <w:r w:rsidRPr="006B3531">
        <w:t>SUMP</w:t>
      </w:r>
      <w:r>
        <w:t>)</w:t>
      </w:r>
      <w:r w:rsidRPr="006B3531">
        <w:t xml:space="preserve"> </w:t>
      </w:r>
      <w:r>
        <w:t xml:space="preserve">z przeniesieniem </w:t>
      </w:r>
      <w:r w:rsidRPr="006B3531">
        <w:t xml:space="preserve">AKK </w:t>
      </w:r>
      <w:r>
        <w:t xml:space="preserve">na poziom </w:t>
      </w:r>
      <w:proofErr w:type="spellStart"/>
      <w:r>
        <w:t>SUMPów</w:t>
      </w:r>
      <w:proofErr w:type="spellEnd"/>
      <w:r>
        <w:t xml:space="preserve"> dla ogółu podejmowanych interwencji (wraz z kompleksowym ich wdrażaniem), a nie dla pojedynczych projektów.</w:t>
      </w:r>
    </w:p>
    <w:p w14:paraId="293BB40A" w14:textId="77777777" w:rsidR="00981793" w:rsidRPr="006B3531" w:rsidRDefault="00981793" w:rsidP="00981793">
      <w:r w:rsidRPr="006B3531">
        <w:lastRenderedPageBreak/>
        <w:t>Inwestycje powinny skupiać się na rozwiązaniach energooszczędnych, obniżających bieżący koszt eksploatacji systemu transportowego (ITS, napędy alternatywne w odpowiedniej skali).</w:t>
      </w:r>
    </w:p>
    <w:p w14:paraId="7276AD82" w14:textId="77777777" w:rsidR="00981793" w:rsidRDefault="00981793" w:rsidP="00981793">
      <w:r w:rsidRPr="006B3531">
        <w:t>Należy budować systemy informacji awaryjnej, które naprawdę działaj</w:t>
      </w:r>
      <w:r>
        <w:t>ą.</w:t>
      </w:r>
    </w:p>
    <w:bookmarkEnd w:id="220"/>
    <w:p w14:paraId="4DEB582D" w14:textId="6841F873" w:rsidR="00981793" w:rsidRPr="006B3531" w:rsidRDefault="00553BC2" w:rsidP="00981793">
      <w:r>
        <w:rPr>
          <w:b/>
          <w:bCs/>
        </w:rPr>
        <w:t xml:space="preserve">2. </w:t>
      </w:r>
      <w:r w:rsidR="00981793" w:rsidRPr="006B3531">
        <w:rPr>
          <w:b/>
          <w:bCs/>
        </w:rPr>
        <w:t>Większy nacisk na infrastrukturę –</w:t>
      </w:r>
      <w:r w:rsidR="00981793">
        <w:rPr>
          <w:b/>
          <w:bCs/>
        </w:rPr>
        <w:t xml:space="preserve"> </w:t>
      </w:r>
      <w:r w:rsidR="00981793" w:rsidRPr="006B3531">
        <w:rPr>
          <w:b/>
          <w:bCs/>
        </w:rPr>
        <w:t xml:space="preserve">nie tylko węzły, ale nie </w:t>
      </w:r>
      <w:r w:rsidR="00981793">
        <w:rPr>
          <w:b/>
          <w:bCs/>
        </w:rPr>
        <w:t xml:space="preserve">rozbudowa </w:t>
      </w:r>
      <w:r w:rsidR="00981793" w:rsidRPr="006B3531">
        <w:rPr>
          <w:b/>
          <w:bCs/>
        </w:rPr>
        <w:t>przepustowoś</w:t>
      </w:r>
      <w:r w:rsidR="00981793">
        <w:rPr>
          <w:b/>
          <w:bCs/>
        </w:rPr>
        <w:t>ci dróg</w:t>
      </w:r>
    </w:p>
    <w:p w14:paraId="58A28B3D" w14:textId="77777777" w:rsidR="00981793" w:rsidRPr="006B3531" w:rsidRDefault="00981793" w:rsidP="00981793">
      <w:pPr>
        <w:rPr>
          <w:u w:val="single"/>
        </w:rPr>
      </w:pPr>
      <w:r w:rsidRPr="006B3531">
        <w:rPr>
          <w:u w:val="single"/>
        </w:rPr>
        <w:t>Wniosek:</w:t>
      </w:r>
    </w:p>
    <w:p w14:paraId="6EC49BA4" w14:textId="77777777" w:rsidR="00981793" w:rsidRPr="006B3531" w:rsidRDefault="00981793" w:rsidP="00981793">
      <w:r w:rsidRPr="006B3531">
        <w:t>W studiach przypadku dla węzłów przesiadkowych zaobserwowano liczne bariery architektoniczne, wpływające na mobilność osób z niepełnosprawnością i z ograniczonymi możliwościami poruszania się. Bariery infrastrukturalne stają się zauważalne szczególnie</w:t>
      </w:r>
      <w:r>
        <w:t xml:space="preserve"> </w:t>
      </w:r>
      <w:r w:rsidRPr="006B3531">
        <w:t>w</w:t>
      </w:r>
      <w:r>
        <w:t> </w:t>
      </w:r>
      <w:r w:rsidRPr="006B3531">
        <w:t>kontekście wysokiej dostępności pojazdów ją obsługujących (tabor niskopodłogowy). Dotyczą one całości infrastruktury – nie tylko węzłów.</w:t>
      </w:r>
    </w:p>
    <w:p w14:paraId="0793E5C8" w14:textId="77777777" w:rsidR="00981793" w:rsidRPr="006B3531" w:rsidRDefault="00981793" w:rsidP="00981793">
      <w:pPr>
        <w:rPr>
          <w:u w:val="single"/>
        </w:rPr>
      </w:pPr>
      <w:r w:rsidRPr="006B3531">
        <w:rPr>
          <w:u w:val="single"/>
        </w:rPr>
        <w:t>Rekomendacja:</w:t>
      </w:r>
    </w:p>
    <w:p w14:paraId="4FE2DF3B" w14:textId="77777777" w:rsidR="00981793" w:rsidRPr="006B3531" w:rsidRDefault="00981793" w:rsidP="00981793">
      <w:bookmarkStart w:id="221" w:name="_Hlk25240945"/>
      <w:r w:rsidRPr="006B3531">
        <w:t>Uzasadnione jest utrzymanie przewagi inwestycji infrastrukturalnych nad taborowymi, ze względu na większe zapóźnienie w dostosowaniu tych elementów do obsługi wszystkich użytkowników transportu publicznego.</w:t>
      </w:r>
    </w:p>
    <w:p w14:paraId="4D9AAF67" w14:textId="77777777" w:rsidR="00981793" w:rsidRDefault="00981793" w:rsidP="00981793">
      <w:pPr>
        <w:rPr>
          <w:b/>
          <w:bCs/>
        </w:rPr>
      </w:pPr>
      <w:r w:rsidRPr="006B3531">
        <w:t>Inwestycje te powinny obejmować całość infrastruktury drogowej, skupiając się na jej funkcji dla pasażerów transportu publicznego i niezmotoryzowanych środków transportu.</w:t>
      </w:r>
      <w:bookmarkEnd w:id="221"/>
    </w:p>
    <w:p w14:paraId="4247DB82" w14:textId="0368DBA9" w:rsidR="00981793" w:rsidRPr="006B3531" w:rsidRDefault="00553BC2" w:rsidP="00981793">
      <w:r>
        <w:rPr>
          <w:b/>
          <w:bCs/>
        </w:rPr>
        <w:t xml:space="preserve">3. </w:t>
      </w:r>
      <w:r w:rsidR="00981793" w:rsidRPr="006B3531">
        <w:rPr>
          <w:b/>
          <w:bCs/>
        </w:rPr>
        <w:t xml:space="preserve">Zmiana podejścia do </w:t>
      </w:r>
      <w:r w:rsidR="00981793">
        <w:rPr>
          <w:b/>
          <w:bCs/>
        </w:rPr>
        <w:t xml:space="preserve">analizy kosztów i korzyści parkingów </w:t>
      </w:r>
      <w:r w:rsidR="00981793" w:rsidRPr="00821BA8">
        <w:rPr>
          <w:b/>
          <w:bCs/>
          <w:i/>
        </w:rPr>
        <w:t xml:space="preserve">Park &amp; </w:t>
      </w:r>
      <w:proofErr w:type="spellStart"/>
      <w:r w:rsidR="00981793" w:rsidRPr="00821BA8">
        <w:rPr>
          <w:b/>
          <w:bCs/>
          <w:i/>
        </w:rPr>
        <w:t>Ride</w:t>
      </w:r>
      <w:proofErr w:type="spellEnd"/>
    </w:p>
    <w:p w14:paraId="59BCE2F1" w14:textId="77777777" w:rsidR="00981793" w:rsidRPr="006B3531" w:rsidRDefault="00981793" w:rsidP="00981793">
      <w:pPr>
        <w:rPr>
          <w:u w:val="single"/>
        </w:rPr>
      </w:pPr>
      <w:r w:rsidRPr="006B3531">
        <w:rPr>
          <w:u w:val="single"/>
        </w:rPr>
        <w:t>Wniosek:</w:t>
      </w:r>
    </w:p>
    <w:p w14:paraId="3E5B13CA" w14:textId="77777777" w:rsidR="00981793" w:rsidRDefault="00981793" w:rsidP="00981793">
      <w:bookmarkStart w:id="222" w:name="_Hlk25240872"/>
      <w:r>
        <w:t xml:space="preserve">W analizie kosztów i korzyści dla Parkingów </w:t>
      </w:r>
      <w:r w:rsidRPr="00307E9E">
        <w:rPr>
          <w:i/>
        </w:rPr>
        <w:t xml:space="preserve">Park &amp; </w:t>
      </w:r>
      <w:proofErr w:type="spellStart"/>
      <w:r w:rsidRPr="00307E9E">
        <w:rPr>
          <w:i/>
        </w:rPr>
        <w:t>Ride</w:t>
      </w:r>
      <w:proofErr w:type="spellEnd"/>
      <w:r>
        <w:t xml:space="preserve"> zgodnie z Niebieską Księgą uwzględnia się średni koszt zużycia samochodu w przeliczeniu na kilometr, podczas gdy faktycznie oszczędnością kierowców jest wyłącznie koszt krańcowy, gdyż przesiadając się jedynie na części odcinka podróży nie można zrezygnować z posiadania samochodu i ponoszenia kosztów stałych.</w:t>
      </w:r>
    </w:p>
    <w:bookmarkEnd w:id="222"/>
    <w:p w14:paraId="4712F6DD" w14:textId="77777777" w:rsidR="00981793" w:rsidRPr="006B3531" w:rsidRDefault="00981793" w:rsidP="00981793">
      <w:pPr>
        <w:rPr>
          <w:u w:val="single"/>
        </w:rPr>
      </w:pPr>
      <w:r w:rsidRPr="006B3531">
        <w:rPr>
          <w:u w:val="single"/>
        </w:rPr>
        <w:t>Rekomendacja:</w:t>
      </w:r>
    </w:p>
    <w:p w14:paraId="3D9544E4" w14:textId="77777777" w:rsidR="00981793" w:rsidRDefault="00981793" w:rsidP="00981793">
      <w:bookmarkStart w:id="223" w:name="_Hlk25240931"/>
      <w:r>
        <w:t xml:space="preserve">Należy zmodyfikować zapisy Niebieskiej Księgi i w AKK w przypadku użytkowników systemów </w:t>
      </w:r>
      <w:r w:rsidRPr="00307E9E">
        <w:rPr>
          <w:i/>
        </w:rPr>
        <w:t xml:space="preserve">Park &amp; </w:t>
      </w:r>
      <w:proofErr w:type="spellStart"/>
      <w:r w:rsidRPr="00307E9E">
        <w:rPr>
          <w:i/>
        </w:rPr>
        <w:t>Ride</w:t>
      </w:r>
      <w:proofErr w:type="spellEnd"/>
      <w:r>
        <w:t xml:space="preserve"> uwzględniać wyłącznie krańcowy koszt zużycia samochodu w przeliczeniu na kilometr.</w:t>
      </w:r>
    </w:p>
    <w:p w14:paraId="054ED250" w14:textId="133685F8" w:rsidR="00492C4A" w:rsidRDefault="00553BC2" w:rsidP="00981793">
      <w:pPr>
        <w:rPr>
          <w:b/>
          <w:bCs/>
        </w:rPr>
      </w:pPr>
      <w:r>
        <w:rPr>
          <w:b/>
          <w:bCs/>
        </w:rPr>
        <w:t xml:space="preserve">4. </w:t>
      </w:r>
      <w:r w:rsidR="00492C4A">
        <w:rPr>
          <w:b/>
          <w:bCs/>
        </w:rPr>
        <w:t xml:space="preserve">Większy nacisk na efektywność parkingów </w:t>
      </w:r>
      <w:r w:rsidR="00492C4A" w:rsidRPr="00492C4A">
        <w:rPr>
          <w:b/>
          <w:bCs/>
          <w:i/>
        </w:rPr>
        <w:t xml:space="preserve">Park &amp; </w:t>
      </w:r>
      <w:proofErr w:type="spellStart"/>
      <w:r w:rsidR="00492C4A" w:rsidRPr="00492C4A">
        <w:rPr>
          <w:b/>
          <w:bCs/>
          <w:i/>
        </w:rPr>
        <w:t>Ride</w:t>
      </w:r>
      <w:proofErr w:type="spellEnd"/>
    </w:p>
    <w:p w14:paraId="3F47A926" w14:textId="77777777" w:rsidR="00981793" w:rsidRPr="006B3531" w:rsidRDefault="00981793" w:rsidP="00981793">
      <w:pPr>
        <w:rPr>
          <w:u w:val="single"/>
        </w:rPr>
      </w:pPr>
      <w:r w:rsidRPr="006B3531">
        <w:rPr>
          <w:u w:val="single"/>
        </w:rPr>
        <w:t>Wniosek:</w:t>
      </w:r>
    </w:p>
    <w:p w14:paraId="3B30DB97" w14:textId="176B950E" w:rsidR="00981793" w:rsidRDefault="00981793" w:rsidP="00981793">
      <w:bookmarkStart w:id="224" w:name="_Hlk25240868"/>
      <w:r w:rsidRPr="006B3531">
        <w:t xml:space="preserve">W analizie kosztów i korzyści dla miejskich parkingów </w:t>
      </w:r>
      <w:r w:rsidRPr="00307E9E">
        <w:rPr>
          <w:i/>
        </w:rPr>
        <w:t xml:space="preserve">Park &amp; </w:t>
      </w:r>
      <w:proofErr w:type="spellStart"/>
      <w:r w:rsidRPr="00307E9E">
        <w:rPr>
          <w:i/>
        </w:rPr>
        <w:t>Ride</w:t>
      </w:r>
      <w:proofErr w:type="spellEnd"/>
      <w:r w:rsidRPr="006B3531">
        <w:t xml:space="preserve"> zgodnie z Niebieską Księgą korzyści prywatne dla kierowców (oszczędności zużycia samochodów) dominują nad korzyściami dla ogółu społeczeństwa miejskiego (hałas, wypadki, zanieczyszczenia itp.). W szczególności niski jest wskaźnik kosztów do korzyści w przypadku parkingów wielopoziomowych, umieszczonych względnie blisko centrów rdzeni aglomeracji</w:t>
      </w:r>
    </w:p>
    <w:bookmarkEnd w:id="224"/>
    <w:p w14:paraId="5C64FFF4" w14:textId="77777777" w:rsidR="00981793" w:rsidRPr="006B3531" w:rsidRDefault="00981793" w:rsidP="00981793">
      <w:pPr>
        <w:rPr>
          <w:u w:val="single"/>
        </w:rPr>
      </w:pPr>
      <w:r w:rsidRPr="006B3531">
        <w:rPr>
          <w:u w:val="single"/>
        </w:rPr>
        <w:t>Rekomendacja:</w:t>
      </w:r>
    </w:p>
    <w:p w14:paraId="41925A79" w14:textId="7FD3D650" w:rsidR="00492C4A" w:rsidRDefault="00303AA8" w:rsidP="00981793">
      <w:bookmarkStart w:id="225" w:name="_Hlk25240939"/>
      <w:r>
        <w:t xml:space="preserve">W celu zwiększenia efektywności parkingów </w:t>
      </w:r>
      <w:r w:rsidRPr="00303AA8">
        <w:rPr>
          <w:i/>
        </w:rPr>
        <w:t xml:space="preserve">Park &amp; </w:t>
      </w:r>
      <w:proofErr w:type="spellStart"/>
      <w:r w:rsidRPr="00303AA8">
        <w:rPr>
          <w:i/>
        </w:rPr>
        <w:t>Ride</w:t>
      </w:r>
      <w:proofErr w:type="spellEnd"/>
      <w:r>
        <w:t xml:space="preserve"> rekomenduje się dwa kierunki ich budowy:</w:t>
      </w:r>
    </w:p>
    <w:p w14:paraId="7CD1B50B" w14:textId="77DE8BD6" w:rsidR="00303AA8" w:rsidRDefault="00303AA8" w:rsidP="00303AA8">
      <w:pPr>
        <w:pStyle w:val="Akapitzlist"/>
        <w:numPr>
          <w:ilvl w:val="0"/>
          <w:numId w:val="54"/>
        </w:numPr>
      </w:pPr>
      <w:r>
        <w:lastRenderedPageBreak/>
        <w:t>sieć rozproszonych parkingów jednopoziomowych na obszarach funkcjonalnych miast, na których kierowcy możliwie najdalej od centrum przesiadają się do zintegrowanego transportu publicznego o dobrej ofercie przewozowej np. linii kolei miejskiej,</w:t>
      </w:r>
    </w:p>
    <w:p w14:paraId="1DAE9B51" w14:textId="635FBE11" w:rsidR="00303AA8" w:rsidRDefault="00303AA8" w:rsidP="00303AA8">
      <w:pPr>
        <w:pStyle w:val="Akapitzlist"/>
        <w:numPr>
          <w:ilvl w:val="0"/>
          <w:numId w:val="54"/>
        </w:numPr>
      </w:pPr>
      <w:r>
        <w:t xml:space="preserve">sieć parkingów buforowych </w:t>
      </w:r>
      <w:r w:rsidR="00D6643B">
        <w:t xml:space="preserve">wielopoziomowych </w:t>
      </w:r>
      <w:r>
        <w:t xml:space="preserve">na obszarze miejskim pod warunkiem uspokojenia i ograniczenia ruchu </w:t>
      </w:r>
      <w:r w:rsidR="00D6643B">
        <w:t xml:space="preserve">indywidualnego </w:t>
      </w:r>
      <w:r>
        <w:t xml:space="preserve">w śródmieściu na rzecz </w:t>
      </w:r>
      <w:r w:rsidR="00D6643B">
        <w:t xml:space="preserve">ruchu pieszego oraz </w:t>
      </w:r>
      <w:r>
        <w:t>priorytetów dla transportu publicznego. W </w:t>
      </w:r>
      <w:r w:rsidRPr="00303AA8">
        <w:t xml:space="preserve">celu internalizacji znacznych korzyści, jakie wynikają z oszczędności podróży samochodem wskutek przesiadania </w:t>
      </w:r>
      <w:r w:rsidR="00D6643B">
        <w:t xml:space="preserve">się </w:t>
      </w:r>
      <w:r w:rsidRPr="00303AA8">
        <w:t>na parking</w:t>
      </w:r>
      <w:r>
        <w:t xml:space="preserve">ach, rekomenduje się </w:t>
      </w:r>
      <w:r w:rsidR="00D6643B" w:rsidRPr="00D6643B">
        <w:rPr>
          <w:b/>
        </w:rPr>
        <w:t>eksperymentalne</w:t>
      </w:r>
      <w:r w:rsidR="00D6643B">
        <w:t xml:space="preserve"> </w:t>
      </w:r>
      <w:r>
        <w:t xml:space="preserve">wdrożenie opłat za korzystanie z </w:t>
      </w:r>
      <w:r w:rsidRPr="00303AA8">
        <w:rPr>
          <w:i/>
        </w:rPr>
        <w:t xml:space="preserve">Park &amp; </w:t>
      </w:r>
      <w:proofErr w:type="spellStart"/>
      <w:r w:rsidRPr="00303AA8">
        <w:rPr>
          <w:i/>
        </w:rPr>
        <w:t>Ride</w:t>
      </w:r>
      <w:proofErr w:type="spellEnd"/>
      <w:r>
        <w:t xml:space="preserve">. Opłaty nie powinny „odstraszać” potencjalnych użytkowników, lecz dostarczać środków na rozwój transportu publicznego i eliminować nadmierną redystrybucję korzyści w kierunku wąskiej grupy odbywających podróże multimodalne. </w:t>
      </w:r>
    </w:p>
    <w:p w14:paraId="2F5DCDD9" w14:textId="77777777" w:rsidR="00981793" w:rsidRPr="00841DCD" w:rsidRDefault="00981793" w:rsidP="00981793">
      <w:pPr>
        <w:rPr>
          <w:color w:val="000000" w:themeColor="text1"/>
        </w:rPr>
      </w:pPr>
      <w:r w:rsidRPr="00841DCD">
        <w:rPr>
          <w:color w:val="000000" w:themeColor="text1"/>
        </w:rPr>
        <w:t xml:space="preserve">Dodatkowo w przypadku parkingów wielopoziomowych będących częściami węzłów przesiadkowych należy wykonywać AKK w studium wykonalności dla możliwie porównywalnych wariantów z parkingiem </w:t>
      </w:r>
      <w:r w:rsidRPr="00841DCD">
        <w:rPr>
          <w:i/>
          <w:color w:val="000000" w:themeColor="text1"/>
        </w:rPr>
        <w:t xml:space="preserve">Park &amp; </w:t>
      </w:r>
      <w:proofErr w:type="spellStart"/>
      <w:r w:rsidRPr="00841DCD">
        <w:rPr>
          <w:i/>
          <w:color w:val="000000" w:themeColor="text1"/>
        </w:rPr>
        <w:t>Ride</w:t>
      </w:r>
      <w:proofErr w:type="spellEnd"/>
      <w:r w:rsidRPr="00841DCD">
        <w:rPr>
          <w:color w:val="000000" w:themeColor="text1"/>
        </w:rPr>
        <w:t xml:space="preserve"> oraz bez takiego parkingu.</w:t>
      </w:r>
    </w:p>
    <w:bookmarkEnd w:id="223"/>
    <w:bookmarkEnd w:id="225"/>
    <w:p w14:paraId="174A790D" w14:textId="3FB20169" w:rsidR="00981793" w:rsidRPr="006B3531" w:rsidRDefault="00553BC2" w:rsidP="00981793">
      <w:r>
        <w:rPr>
          <w:b/>
          <w:bCs/>
        </w:rPr>
        <w:t xml:space="preserve">5. </w:t>
      </w:r>
      <w:r w:rsidR="00981793" w:rsidRPr="006B3531">
        <w:rPr>
          <w:b/>
          <w:bCs/>
        </w:rPr>
        <w:t xml:space="preserve">Większy nacisk na </w:t>
      </w:r>
      <w:r w:rsidR="00981793">
        <w:rPr>
          <w:b/>
          <w:bCs/>
        </w:rPr>
        <w:t xml:space="preserve">zarządzanie </w:t>
      </w:r>
      <w:r w:rsidR="00981793" w:rsidRPr="006B3531">
        <w:rPr>
          <w:b/>
          <w:bCs/>
        </w:rPr>
        <w:t>sytuacj</w:t>
      </w:r>
      <w:r w:rsidR="00981793">
        <w:rPr>
          <w:b/>
          <w:bCs/>
        </w:rPr>
        <w:t>ami</w:t>
      </w:r>
      <w:r w:rsidR="00981793" w:rsidRPr="006B3531">
        <w:rPr>
          <w:b/>
          <w:bCs/>
        </w:rPr>
        <w:t xml:space="preserve"> awaryjn</w:t>
      </w:r>
      <w:r w:rsidR="00981793">
        <w:rPr>
          <w:b/>
          <w:bCs/>
        </w:rPr>
        <w:t>ymi</w:t>
      </w:r>
    </w:p>
    <w:p w14:paraId="1F12ACF5" w14:textId="77777777" w:rsidR="00981793" w:rsidRPr="006B3531" w:rsidRDefault="00981793" w:rsidP="00981793">
      <w:pPr>
        <w:rPr>
          <w:u w:val="single"/>
        </w:rPr>
      </w:pPr>
      <w:r w:rsidRPr="006B3531">
        <w:rPr>
          <w:u w:val="single"/>
        </w:rPr>
        <w:t>Wniosek:</w:t>
      </w:r>
    </w:p>
    <w:p w14:paraId="2A82068D" w14:textId="77777777" w:rsidR="00981793" w:rsidRPr="006B3531" w:rsidRDefault="00981793" w:rsidP="00981793">
      <w:bookmarkStart w:id="226" w:name="_Hlk25240877"/>
      <w:r w:rsidRPr="006B3531">
        <w:t xml:space="preserve">Organizatorom transportu brakuje narzędzi do zarządzania sytuacjami awaryjnymi. Służby dyspozytorskie i nadzoru ruchu zajmują się reakcją na bieżące zdarzenia, jednak nie wykonuje się analizy zdarzeń wstecz, czasu i skutków ich trwania. Brak też automatycznych narzędzi powiadamiania pasażerów o awariach - ponad 20% respondentów panelu CAWI oceniło dostępność informacji </w:t>
      </w:r>
      <w:r>
        <w:t xml:space="preserve">w miastach </w:t>
      </w:r>
      <w:r w:rsidRPr="006B3531">
        <w:t>o awariach jako złą lub bardzo złą</w:t>
      </w:r>
      <w:r>
        <w:t>. Często w sytuacjach awaryjnych tablice informacji pasażerskiej na przystankach są wręcz wygaszane i nie przekazują żadnej informacji.</w:t>
      </w:r>
    </w:p>
    <w:bookmarkEnd w:id="226"/>
    <w:p w14:paraId="59421701" w14:textId="77777777" w:rsidR="00981793" w:rsidRPr="006B3531" w:rsidRDefault="00981793" w:rsidP="00981793">
      <w:pPr>
        <w:rPr>
          <w:u w:val="single"/>
        </w:rPr>
      </w:pPr>
      <w:r w:rsidRPr="006B3531">
        <w:rPr>
          <w:u w:val="single"/>
        </w:rPr>
        <w:t>Rekomendacja:</w:t>
      </w:r>
    </w:p>
    <w:p w14:paraId="57795BA7" w14:textId="77777777" w:rsidR="00981793" w:rsidRPr="006B3531" w:rsidRDefault="00981793" w:rsidP="00981793">
      <w:bookmarkStart w:id="227" w:name="_Hlk25240927"/>
      <w:r w:rsidRPr="006B3531">
        <w:t>Organizatorzy powinni zarządzać jakością obsługi sytuacji awaryjnych, przy wsparciu rozwiązań ITS (np. hurtownie danych, bazy analityczne</w:t>
      </w:r>
      <w:r>
        <w:t>, otwarte dane dla deweloperów aplikacji</w:t>
      </w:r>
      <w:r w:rsidRPr="006B3531">
        <w:t>). Wdrażane rozwiązania powinny zapewniać możliwość awaryjnego powiadamiania pasażerów o awariach i</w:t>
      </w:r>
      <w:r>
        <w:t> </w:t>
      </w:r>
      <w:r w:rsidRPr="006B3531">
        <w:t xml:space="preserve">zmianach tras, z możliwością generowania predefiniowanych komunikatów, również za pomocą powiadomień </w:t>
      </w:r>
      <w:proofErr w:type="spellStart"/>
      <w:r w:rsidRPr="008B4CB1">
        <w:rPr>
          <w:i/>
        </w:rPr>
        <w:t>push</w:t>
      </w:r>
      <w:proofErr w:type="spellEnd"/>
      <w:r w:rsidRPr="006B3531">
        <w:t>.</w:t>
      </w:r>
    </w:p>
    <w:bookmarkEnd w:id="227"/>
    <w:p w14:paraId="65BDEAC9" w14:textId="44D31674" w:rsidR="00981793" w:rsidRPr="0005411F" w:rsidRDefault="00553BC2" w:rsidP="00981793">
      <w:pPr>
        <w:rPr>
          <w:b/>
        </w:rPr>
      </w:pPr>
      <w:r>
        <w:rPr>
          <w:b/>
        </w:rPr>
        <w:t xml:space="preserve">6. </w:t>
      </w:r>
      <w:r w:rsidR="00981793" w:rsidRPr="0005411F">
        <w:rPr>
          <w:b/>
        </w:rPr>
        <w:t>Te same procedury inwestycyjne dla wszystkich gałęzi transportu</w:t>
      </w:r>
    </w:p>
    <w:p w14:paraId="41E5080C" w14:textId="77777777" w:rsidR="00981793" w:rsidRPr="0005411F" w:rsidRDefault="00981793" w:rsidP="00981793">
      <w:pPr>
        <w:rPr>
          <w:u w:val="single"/>
        </w:rPr>
      </w:pPr>
      <w:r w:rsidRPr="0005411F">
        <w:rPr>
          <w:u w:val="single"/>
        </w:rPr>
        <w:t>Wniosek:</w:t>
      </w:r>
    </w:p>
    <w:p w14:paraId="0A7284D6" w14:textId="661F0CFB" w:rsidR="00981793" w:rsidRDefault="00981793" w:rsidP="00981793">
      <w:bookmarkStart w:id="228" w:name="_Hlk25240881"/>
      <w:r>
        <w:t>Inwestycje infrastrukturalne w transport miejski napotykają na szereg utrudnień związanych z procedowaniem kolejnych etapów ich przygotowania. Często inwestycje łączy się z rozwojem infrastruktury drogowej, by móc szybciej przystąpić do ich realizacji.</w:t>
      </w:r>
    </w:p>
    <w:bookmarkEnd w:id="228"/>
    <w:p w14:paraId="665EBC5D" w14:textId="77777777" w:rsidR="00981793" w:rsidRPr="0005411F" w:rsidRDefault="00981793" w:rsidP="00981793">
      <w:pPr>
        <w:rPr>
          <w:u w:val="single"/>
        </w:rPr>
      </w:pPr>
      <w:r w:rsidRPr="0005411F">
        <w:rPr>
          <w:u w:val="single"/>
        </w:rPr>
        <w:t>Rekomendacja:</w:t>
      </w:r>
    </w:p>
    <w:p w14:paraId="5B6D2595" w14:textId="114D0ADD" w:rsidR="00981793" w:rsidRDefault="00981793" w:rsidP="00981793">
      <w:bookmarkStart w:id="229" w:name="_Hlk25240923"/>
      <w:r>
        <w:t>Te same procedury inwestycyjne powinny być stosowane dla infrastruktury dowolnej gałęzi transportu – by móc realizować w odosobnieniu inwestycje tramwajowe, drogowe, rowerowe, a nawet piesze na tych samych zasadach, a nie z korzyścią jednej procedury względem innych.</w:t>
      </w:r>
    </w:p>
    <w:p w14:paraId="53A6782E" w14:textId="77777777" w:rsidR="00AB1ECC" w:rsidRDefault="00AB1ECC" w:rsidP="00981793"/>
    <w:p w14:paraId="15405478" w14:textId="779AE61E" w:rsidR="00D52583" w:rsidRDefault="00D52583" w:rsidP="00AB1ECC">
      <w:pPr>
        <w:pStyle w:val="Nagwek2"/>
      </w:pPr>
      <w:bookmarkStart w:id="230" w:name="_Toc27125355"/>
      <w:bookmarkEnd w:id="229"/>
      <w:r>
        <w:lastRenderedPageBreak/>
        <w:t>Rekomendacje dla systemu ewaluacji</w:t>
      </w:r>
      <w:bookmarkEnd w:id="230"/>
    </w:p>
    <w:p w14:paraId="364B88BF" w14:textId="1044B1FF" w:rsidR="00D56D62" w:rsidRPr="0005411F" w:rsidRDefault="00553BC2" w:rsidP="00D56D62">
      <w:pPr>
        <w:rPr>
          <w:b/>
        </w:rPr>
      </w:pPr>
      <w:r>
        <w:rPr>
          <w:b/>
        </w:rPr>
        <w:t xml:space="preserve">1. </w:t>
      </w:r>
      <w:r w:rsidR="00D56D62">
        <w:rPr>
          <w:b/>
        </w:rPr>
        <w:t>Ocena zbiorcza wpływu POIiŚ i POPW w transporcie miejskim</w:t>
      </w:r>
    </w:p>
    <w:p w14:paraId="0AC9DF35" w14:textId="77777777" w:rsidR="00D56D62" w:rsidRPr="0005411F" w:rsidRDefault="00D56D62" w:rsidP="00D56D62">
      <w:pPr>
        <w:rPr>
          <w:u w:val="single"/>
        </w:rPr>
      </w:pPr>
      <w:r w:rsidRPr="0005411F">
        <w:rPr>
          <w:u w:val="single"/>
        </w:rPr>
        <w:t>Wniosek:</w:t>
      </w:r>
    </w:p>
    <w:p w14:paraId="7D84A33B" w14:textId="77777777" w:rsidR="00D56D62" w:rsidRDefault="00D56D62" w:rsidP="00D56D62">
      <w:r>
        <w:t>Projekty POIiŚ i POPW w transporcie miejskim tematycznie nie różnią się od siebie (a jedynie lokalizacyjnie) i badanie ich wpływu łącznie rozszerzyłoby możliwość wnioskowania. Działanie 6.1 POIiŚ jest tożsame z działaniem 2.1. POPW w zrównoważony transport miejski, a podstawowymi celami tego działania jest również skrócenie czasu podróży komunikacją miejską, upłynnienie ruchu, integracja różnych form transportu i dostosowanie do potrzeb osób niepełnosprawnych.</w:t>
      </w:r>
    </w:p>
    <w:p w14:paraId="64770A5D" w14:textId="77777777" w:rsidR="00D56D62" w:rsidRPr="0005411F" w:rsidRDefault="00D56D62" w:rsidP="00D56D62">
      <w:pPr>
        <w:rPr>
          <w:u w:val="single"/>
        </w:rPr>
      </w:pPr>
      <w:r w:rsidRPr="0005411F">
        <w:rPr>
          <w:u w:val="single"/>
        </w:rPr>
        <w:t>Rekomendacja:</w:t>
      </w:r>
    </w:p>
    <w:p w14:paraId="45D57C68" w14:textId="77777777" w:rsidR="00D56D62" w:rsidRDefault="00D56D62" w:rsidP="00D56D62">
      <w:pPr>
        <w:rPr>
          <w:rFonts w:eastAsia="Times New Roman" w:cs="Times New Roman"/>
          <w:szCs w:val="24"/>
          <w:lang w:eastAsia="pl-PL"/>
        </w:rPr>
      </w:pPr>
      <w:r>
        <w:rPr>
          <w:rFonts w:eastAsia="Times New Roman" w:cs="Times New Roman"/>
          <w:szCs w:val="24"/>
          <w:lang w:eastAsia="pl-PL"/>
        </w:rPr>
        <w:t>Kompleksowość oceny projektów inwestycyjnych w transport miejski w ramach jednego projektu ewaluacyjnego, przy występowaniu tych samych wskaźników rezultatu i produktu.</w:t>
      </w:r>
    </w:p>
    <w:p w14:paraId="2A128DD4" w14:textId="78103E76" w:rsidR="00D56D62" w:rsidRDefault="00553BC2" w:rsidP="00D56D62">
      <w:pPr>
        <w:rPr>
          <w:b/>
          <w:color w:val="000000" w:themeColor="text1"/>
          <w:szCs w:val="20"/>
        </w:rPr>
      </w:pPr>
      <w:r>
        <w:rPr>
          <w:b/>
          <w:color w:val="000000" w:themeColor="text1"/>
          <w:szCs w:val="20"/>
        </w:rPr>
        <w:t xml:space="preserve">2. </w:t>
      </w:r>
      <w:r w:rsidR="00D56D62">
        <w:rPr>
          <w:b/>
          <w:color w:val="000000" w:themeColor="text1"/>
          <w:szCs w:val="20"/>
        </w:rPr>
        <w:t>Gromadzenie d</w:t>
      </w:r>
      <w:r w:rsidR="00D56D62" w:rsidRPr="004F6D88">
        <w:rPr>
          <w:b/>
          <w:color w:val="000000" w:themeColor="text1"/>
          <w:szCs w:val="20"/>
        </w:rPr>
        <w:t>an</w:t>
      </w:r>
      <w:r w:rsidR="00D56D62">
        <w:rPr>
          <w:b/>
          <w:color w:val="000000" w:themeColor="text1"/>
          <w:szCs w:val="20"/>
        </w:rPr>
        <w:t>ych</w:t>
      </w:r>
      <w:r w:rsidR="00D56D62" w:rsidRPr="004F6D88">
        <w:rPr>
          <w:b/>
          <w:color w:val="000000" w:themeColor="text1"/>
          <w:szCs w:val="20"/>
        </w:rPr>
        <w:t xml:space="preserve"> statystyczn</w:t>
      </w:r>
      <w:r w:rsidR="00D56D62">
        <w:rPr>
          <w:b/>
          <w:color w:val="000000" w:themeColor="text1"/>
          <w:szCs w:val="20"/>
        </w:rPr>
        <w:t>ych</w:t>
      </w:r>
      <w:r w:rsidR="00D56D62" w:rsidRPr="004F6D88">
        <w:rPr>
          <w:b/>
          <w:color w:val="000000" w:themeColor="text1"/>
          <w:szCs w:val="20"/>
        </w:rPr>
        <w:t xml:space="preserve"> dla obszarów funkcjonalnych</w:t>
      </w:r>
    </w:p>
    <w:p w14:paraId="24D7D502" w14:textId="77777777" w:rsidR="00D56D62" w:rsidRPr="0005411F" w:rsidRDefault="00D56D62" w:rsidP="00D56D62">
      <w:pPr>
        <w:rPr>
          <w:u w:val="single"/>
        </w:rPr>
      </w:pPr>
      <w:r w:rsidRPr="0005411F">
        <w:rPr>
          <w:u w:val="single"/>
        </w:rPr>
        <w:t>Wniosek:</w:t>
      </w:r>
    </w:p>
    <w:p w14:paraId="07138326" w14:textId="77777777" w:rsidR="00D56D62" w:rsidRPr="005E05F8" w:rsidRDefault="00D56D62" w:rsidP="00D56D62">
      <w:r w:rsidRPr="005E05F8">
        <w:t>Zbiory</w:t>
      </w:r>
      <w:r>
        <w:t xml:space="preserve"> gmin wchodzących w skład miejskich obszarów funkcjonalnych są unikatowe, z czego wynika trudność w wyszukiwaniu i utrwalaniu kompletu danych dla tych obszarów. Częstokroć wiążę się to z wyszukiwaniem informacji o wszystkich gminach z osobna, proces ten jest długotrwały. Przy wzroście zadań realizowanych na terenie obszarów funkcjonalnych baza danych będzie wymagała powiększania. </w:t>
      </w:r>
    </w:p>
    <w:p w14:paraId="129AFEFB" w14:textId="77777777" w:rsidR="00D56D62" w:rsidRPr="0005411F" w:rsidRDefault="00D56D62" w:rsidP="00D56D62">
      <w:pPr>
        <w:rPr>
          <w:u w:val="single"/>
        </w:rPr>
      </w:pPr>
      <w:r w:rsidRPr="0005411F">
        <w:rPr>
          <w:u w:val="single"/>
        </w:rPr>
        <w:t>Rekomendacja:</w:t>
      </w:r>
    </w:p>
    <w:p w14:paraId="5F34A32C" w14:textId="77777777" w:rsidR="00D56D62" w:rsidRDefault="00D56D62" w:rsidP="00D56D62">
      <w:pPr>
        <w:rPr>
          <w:color w:val="000000" w:themeColor="text1"/>
        </w:rPr>
      </w:pPr>
      <w:r>
        <w:rPr>
          <w:color w:val="000000" w:themeColor="text1"/>
        </w:rPr>
        <w:t xml:space="preserve">Podział terytorialny dla danych dostępnych np. w Banku Danych Lokalnych, oprócz poziomu województw, powiatów i gmin, powinien zawierać też poziom miejskich obszarów funkcjonalnych. </w:t>
      </w:r>
    </w:p>
    <w:p w14:paraId="0164AD79" w14:textId="37F3614D" w:rsidR="00D56D62" w:rsidRPr="00384E11" w:rsidRDefault="00553BC2" w:rsidP="00D56D62">
      <w:pPr>
        <w:rPr>
          <w:b/>
        </w:rPr>
      </w:pPr>
      <w:r>
        <w:rPr>
          <w:b/>
        </w:rPr>
        <w:t xml:space="preserve">3. </w:t>
      </w:r>
      <w:r w:rsidR="00D56D62">
        <w:rPr>
          <w:b/>
        </w:rPr>
        <w:t xml:space="preserve">Selektywne wykorzystywania AKK </w:t>
      </w:r>
      <w:r w:rsidR="00D56D62">
        <w:rPr>
          <w:b/>
          <w:i/>
          <w:iCs/>
        </w:rPr>
        <w:t xml:space="preserve">ex post </w:t>
      </w:r>
      <w:r w:rsidR="00D56D62">
        <w:rPr>
          <w:b/>
        </w:rPr>
        <w:t>wraz z modelowaniem ruchu</w:t>
      </w:r>
      <w:r w:rsidR="00D56D62">
        <w:rPr>
          <w:b/>
          <w:i/>
          <w:iCs/>
        </w:rPr>
        <w:t xml:space="preserve"> </w:t>
      </w:r>
      <w:r w:rsidR="00D56D62">
        <w:rPr>
          <w:b/>
        </w:rPr>
        <w:t>w ewaluacji</w:t>
      </w:r>
    </w:p>
    <w:p w14:paraId="0E5FB04F" w14:textId="77777777" w:rsidR="00D56D62" w:rsidRPr="0005411F" w:rsidRDefault="00D56D62" w:rsidP="00D56D62">
      <w:pPr>
        <w:rPr>
          <w:u w:val="single"/>
        </w:rPr>
      </w:pPr>
      <w:r w:rsidRPr="0005411F">
        <w:rPr>
          <w:u w:val="single"/>
        </w:rPr>
        <w:t>Wniosek:</w:t>
      </w:r>
    </w:p>
    <w:p w14:paraId="07FB86C5" w14:textId="77777777" w:rsidR="00D56D62" w:rsidRPr="00384E11" w:rsidRDefault="00D56D62" w:rsidP="00D56D62">
      <w:r>
        <w:t xml:space="preserve">Pilotaż wykazał, że Analiza Kosztów i Korzyści </w:t>
      </w:r>
      <w:r>
        <w:rPr>
          <w:i/>
          <w:iCs/>
        </w:rPr>
        <w:t xml:space="preserve">ex post </w:t>
      </w:r>
      <w:r>
        <w:t>dla projektów WOF wymaga zastosowania modelowania ruchu – nie może być wykonana poprzez zwykłe podstawienie do modeli finansowych rzeczywistych wartości liczby pasażerów, czy czasów przejazdu dla inwestycji, gdyż parametry te (np. w przeciwieństwie do inwestycji kolejowych) nie są parametrami wejściowymi modeli AKK. Parametry wejściowe AKK pochodzą bowiem z modeli ruchu i dotyczą łącznej liczby godzin spędzanych przez pasażerów danego podsystemu przed i po inwestycji.</w:t>
      </w:r>
    </w:p>
    <w:p w14:paraId="576DD7CB" w14:textId="77777777" w:rsidR="00D56D62" w:rsidRPr="0005411F" w:rsidRDefault="00D56D62" w:rsidP="00D56D62">
      <w:pPr>
        <w:rPr>
          <w:u w:val="single"/>
        </w:rPr>
      </w:pPr>
      <w:r w:rsidRPr="0005411F">
        <w:rPr>
          <w:u w:val="single"/>
        </w:rPr>
        <w:t>Rekomendacja:</w:t>
      </w:r>
    </w:p>
    <w:p w14:paraId="2BFC6CFD" w14:textId="77777777" w:rsidR="00D56D62" w:rsidRDefault="00D56D62" w:rsidP="00D56D62">
      <w:pPr>
        <w:rPr>
          <w:rFonts w:eastAsia="Times New Roman" w:cs="Times New Roman"/>
          <w:szCs w:val="24"/>
          <w:lang w:eastAsia="pl-PL"/>
        </w:rPr>
      </w:pPr>
      <w:r>
        <w:rPr>
          <w:rFonts w:eastAsia="Times New Roman" w:cs="Times New Roman"/>
          <w:szCs w:val="24"/>
          <w:lang w:eastAsia="pl-PL"/>
        </w:rPr>
        <w:t xml:space="preserve">Pełna AKK </w:t>
      </w:r>
      <w:r w:rsidRPr="00CF5571">
        <w:rPr>
          <w:rFonts w:eastAsia="Times New Roman" w:cs="Times New Roman"/>
          <w:i/>
          <w:szCs w:val="24"/>
          <w:lang w:eastAsia="pl-PL"/>
        </w:rPr>
        <w:t>ex post</w:t>
      </w:r>
      <w:r>
        <w:rPr>
          <w:rFonts w:eastAsia="Times New Roman" w:cs="Times New Roman"/>
          <w:szCs w:val="24"/>
          <w:lang w:eastAsia="pl-PL"/>
        </w:rPr>
        <w:t xml:space="preserve"> powinna być stosowana wyłącznie w przypadku uzasadnionych wątpliwości, dotyczących osiągnięcia zakładanych wskaźników (znacznie niższych od zakładanych: liczby pasażerów lub czasu przejazdu). Wymaga to rozszerzenia metodyki ewaluacji o modelowanie ruchu, co powoduje znaczne koszty i wciąż wiąże się z niedokładnością modelowania, aczkolwiek jest możliwe ze względu na dobrą jakość Warszawskiego Modelowania Ruchu. W pozostałych przypadkach należy przyjąć, że osiągnięcie zakładanych wskaźników liczby pasażerów i czasu przejazdu oznacza osiągnięcie zakładanych wskaźników efektywności ekonomicznej.</w:t>
      </w:r>
    </w:p>
    <w:p w14:paraId="0DEDE6CD" w14:textId="7632B025" w:rsidR="00D56D62" w:rsidRPr="0005411F" w:rsidRDefault="00553BC2" w:rsidP="00D56D62">
      <w:pPr>
        <w:rPr>
          <w:b/>
        </w:rPr>
      </w:pPr>
      <w:r>
        <w:rPr>
          <w:b/>
        </w:rPr>
        <w:lastRenderedPageBreak/>
        <w:t xml:space="preserve">4. </w:t>
      </w:r>
      <w:r w:rsidR="00D56D62">
        <w:rPr>
          <w:b/>
        </w:rPr>
        <w:t>Dodatkowe badanie poziomu rzeczywistych nakładów na realizację projektów i ich wpływu na wyniki AKK</w:t>
      </w:r>
    </w:p>
    <w:p w14:paraId="7ABC057C" w14:textId="77777777" w:rsidR="00D56D62" w:rsidRPr="0005411F" w:rsidRDefault="00D56D62" w:rsidP="00D56D62">
      <w:pPr>
        <w:rPr>
          <w:u w:val="single"/>
        </w:rPr>
      </w:pPr>
      <w:r w:rsidRPr="0005411F">
        <w:rPr>
          <w:u w:val="single"/>
        </w:rPr>
        <w:t>Wniosek:</w:t>
      </w:r>
    </w:p>
    <w:p w14:paraId="1A2B5D09" w14:textId="77777777" w:rsidR="00D56D62" w:rsidRDefault="00D56D62" w:rsidP="00D56D62">
      <w:r>
        <w:t>W większości projektów WOF zaobserwowano zwiększenie nakładów inwestycyjnych względem pierwotnych prognoz – w 3 na 6 projektów przekroczyło ono 20%. Jakkolwiek w żadnym przypadku nie doprowadziło to do obniżenia wskaźników efektywności projektu poniżej wartości krytycznych, to jednak proces ten wymaga dodatkowego poznania oraz – w zależności od jego skali – wprowadzenia mechanizmów zaradczych.</w:t>
      </w:r>
    </w:p>
    <w:p w14:paraId="0C9CE6D5" w14:textId="77777777" w:rsidR="00D56D62" w:rsidRPr="0005411F" w:rsidRDefault="00D56D62" w:rsidP="00D56D62">
      <w:pPr>
        <w:rPr>
          <w:u w:val="single"/>
        </w:rPr>
      </w:pPr>
      <w:r w:rsidRPr="0005411F">
        <w:rPr>
          <w:u w:val="single"/>
        </w:rPr>
        <w:t>Rekomendacja:</w:t>
      </w:r>
    </w:p>
    <w:p w14:paraId="7A503492" w14:textId="77777777" w:rsidR="00D56D62" w:rsidRPr="001E304C" w:rsidRDefault="00D56D62" w:rsidP="00D56D62">
      <w:pPr>
        <w:rPr>
          <w:rFonts w:eastAsia="Times New Roman" w:cs="Times New Roman"/>
          <w:szCs w:val="24"/>
          <w:lang w:eastAsia="pl-PL"/>
        </w:rPr>
      </w:pPr>
      <w:r>
        <w:rPr>
          <w:rFonts w:eastAsia="Times New Roman" w:cs="Times New Roman"/>
          <w:szCs w:val="24"/>
          <w:lang w:eastAsia="pl-PL"/>
        </w:rPr>
        <w:t>Należy przeprowadzić kompleksowe badanie stosunku rzeczywistych nakładów na realizację projektów infrastrukturalnych i taborowych w transporcie do planowanych w AKK oraz jego wpływu na faktyczną efektywność projektów. W razie wystąpienia – znanych również w innych krajach – systematycznych zniekształceń (</w:t>
      </w:r>
      <w:proofErr w:type="spellStart"/>
      <w:r>
        <w:rPr>
          <w:rFonts w:eastAsia="Times New Roman" w:cs="Times New Roman"/>
          <w:i/>
          <w:iCs/>
          <w:szCs w:val="24"/>
          <w:lang w:eastAsia="pl-PL"/>
        </w:rPr>
        <w:t>optimism</w:t>
      </w:r>
      <w:proofErr w:type="spellEnd"/>
      <w:r>
        <w:rPr>
          <w:rFonts w:eastAsia="Times New Roman" w:cs="Times New Roman"/>
          <w:i/>
          <w:iCs/>
          <w:szCs w:val="24"/>
          <w:lang w:eastAsia="pl-PL"/>
        </w:rPr>
        <w:t xml:space="preserve"> </w:t>
      </w:r>
      <w:proofErr w:type="spellStart"/>
      <w:r>
        <w:rPr>
          <w:rFonts w:eastAsia="Times New Roman" w:cs="Times New Roman"/>
          <w:i/>
          <w:iCs/>
          <w:szCs w:val="24"/>
          <w:lang w:eastAsia="pl-PL"/>
        </w:rPr>
        <w:t>bias</w:t>
      </w:r>
      <w:proofErr w:type="spellEnd"/>
      <w:r>
        <w:rPr>
          <w:rFonts w:eastAsia="Times New Roman" w:cs="Times New Roman"/>
          <w:szCs w:val="24"/>
          <w:lang w:eastAsia="pl-PL"/>
        </w:rPr>
        <w:t>), należy wprowadzić do systemu oceny projektów odpowiednie wskaźniki korygujące.</w:t>
      </w:r>
    </w:p>
    <w:p w14:paraId="78B4AB42" w14:textId="5B17123F" w:rsidR="00D56D62" w:rsidRDefault="00D56D62" w:rsidP="008A6B3B">
      <w:pPr>
        <w:sectPr w:rsidR="00D56D62" w:rsidSect="0063376C">
          <w:pgSz w:w="11906" w:h="16838"/>
          <w:pgMar w:top="1418" w:right="1134" w:bottom="1418" w:left="1134" w:header="709" w:footer="709" w:gutter="567"/>
          <w:cols w:space="708"/>
          <w:docGrid w:linePitch="360"/>
        </w:sectPr>
      </w:pPr>
    </w:p>
    <w:p w14:paraId="47189F90" w14:textId="29C52163" w:rsidR="002B4C15" w:rsidRDefault="002B4C15" w:rsidP="00A10F9C">
      <w:pPr>
        <w:pStyle w:val="Nagwek2"/>
      </w:pPr>
      <w:bookmarkStart w:id="231" w:name="_Ref24032079"/>
      <w:bookmarkStart w:id="232" w:name="_Toc27125356"/>
      <w:r>
        <w:lastRenderedPageBreak/>
        <w:t>Metodyka odpowiedzi na pytania badawcze</w:t>
      </w:r>
      <w:r w:rsidR="0004509A">
        <w:t xml:space="preserve"> </w:t>
      </w:r>
      <w:r w:rsidR="0004509A" w:rsidRPr="00307E9E">
        <w:rPr>
          <w:i/>
        </w:rPr>
        <w:t>ex</w:t>
      </w:r>
      <w:r w:rsidR="00760E00">
        <w:rPr>
          <w:i/>
        </w:rPr>
        <w:t xml:space="preserve"> </w:t>
      </w:r>
      <w:r w:rsidR="0004509A" w:rsidRPr="00307E9E">
        <w:rPr>
          <w:i/>
        </w:rPr>
        <w:t>post</w:t>
      </w:r>
      <w:bookmarkEnd w:id="231"/>
      <w:bookmarkEnd w:id="232"/>
    </w:p>
    <w:p w14:paraId="5ABBA227" w14:textId="3E8D652D" w:rsidR="00E91B7A" w:rsidRDefault="00E91B7A" w:rsidP="00E91B7A">
      <w:pPr>
        <w:pStyle w:val="Legenda"/>
      </w:pPr>
      <w:bookmarkStart w:id="233" w:name="_Toc27125378"/>
      <w:r>
        <w:t xml:space="preserve">Tabela </w:t>
      </w:r>
      <w:r w:rsidR="003C20BE">
        <w:rPr>
          <w:noProof/>
        </w:rPr>
        <w:fldChar w:fldCharType="begin"/>
      </w:r>
      <w:r w:rsidR="003C20BE">
        <w:rPr>
          <w:noProof/>
        </w:rPr>
        <w:instrText xml:space="preserve"> SEQ Tabela \* ARABIC </w:instrText>
      </w:r>
      <w:r w:rsidR="003C20BE">
        <w:rPr>
          <w:noProof/>
        </w:rPr>
        <w:fldChar w:fldCharType="separate"/>
      </w:r>
      <w:r w:rsidR="00C93FD7">
        <w:rPr>
          <w:noProof/>
        </w:rPr>
        <w:t>20</w:t>
      </w:r>
      <w:r w:rsidR="003C20BE">
        <w:rPr>
          <w:noProof/>
        </w:rPr>
        <w:fldChar w:fldCharType="end"/>
      </w:r>
      <w:r>
        <w:t>. Metodyka odpowiedzi na pytania badawcze na podstawie wskaźników ze wskazaniem źródła danych.</w:t>
      </w:r>
      <w:bookmarkEnd w:id="233"/>
    </w:p>
    <w:tbl>
      <w:tblPr>
        <w:tblStyle w:val="WolanskiCorpTabela5"/>
        <w:tblW w:w="4938" w:type="pct"/>
        <w:tblLook w:val="0420" w:firstRow="1" w:lastRow="0" w:firstColumn="0" w:lastColumn="0" w:noHBand="0" w:noVBand="1"/>
      </w:tblPr>
      <w:tblGrid>
        <w:gridCol w:w="5954"/>
        <w:gridCol w:w="3969"/>
        <w:gridCol w:w="1842"/>
        <w:gridCol w:w="2063"/>
      </w:tblGrid>
      <w:tr w:rsidR="00E91B7A" w:rsidRPr="00E91B7A" w14:paraId="67412302" w14:textId="77777777" w:rsidTr="00F462AD">
        <w:trPr>
          <w:cnfStyle w:val="100000000000" w:firstRow="1" w:lastRow="0" w:firstColumn="0" w:lastColumn="0" w:oddVBand="0" w:evenVBand="0" w:oddHBand="0" w:evenHBand="0" w:firstRowFirstColumn="0" w:firstRowLastColumn="0" w:lastRowFirstColumn="0" w:lastRowLastColumn="0"/>
        </w:trPr>
        <w:tc>
          <w:tcPr>
            <w:tcW w:w="2153" w:type="pct"/>
          </w:tcPr>
          <w:p w14:paraId="792A51EC" w14:textId="77777777" w:rsidR="00E91B7A" w:rsidRPr="00310D6A" w:rsidRDefault="00E91B7A" w:rsidP="00E91B7A">
            <w:pPr>
              <w:jc w:val="left"/>
              <w:rPr>
                <w:rFonts w:eastAsia="Lora" w:cs="Times New Roman"/>
                <w:color w:val="000000"/>
                <w:sz w:val="18"/>
                <w:szCs w:val="18"/>
              </w:rPr>
            </w:pPr>
            <w:r w:rsidRPr="00310D6A">
              <w:rPr>
                <w:rFonts w:eastAsia="Lora" w:cs="Times New Roman"/>
                <w:color w:val="000000"/>
                <w:sz w:val="18"/>
                <w:szCs w:val="18"/>
              </w:rPr>
              <w:t>PYTANIE BADAWCZE</w:t>
            </w:r>
          </w:p>
        </w:tc>
        <w:tc>
          <w:tcPr>
            <w:tcW w:w="1435" w:type="pct"/>
          </w:tcPr>
          <w:p w14:paraId="6795BF52" w14:textId="77777777" w:rsidR="00E91B7A" w:rsidRPr="00310D6A" w:rsidRDefault="00E91B7A" w:rsidP="00E91B7A">
            <w:pPr>
              <w:jc w:val="left"/>
              <w:rPr>
                <w:rFonts w:eastAsia="Lora" w:cs="Times New Roman"/>
                <w:color w:val="000000"/>
                <w:sz w:val="18"/>
                <w:szCs w:val="18"/>
              </w:rPr>
            </w:pPr>
            <w:r w:rsidRPr="00310D6A">
              <w:rPr>
                <w:rFonts w:eastAsia="Lora" w:cs="Times New Roman"/>
                <w:color w:val="000000"/>
                <w:sz w:val="18"/>
                <w:szCs w:val="18"/>
              </w:rPr>
              <w:t>WSKAŹNIK</w:t>
            </w:r>
          </w:p>
        </w:tc>
        <w:tc>
          <w:tcPr>
            <w:tcW w:w="666" w:type="pct"/>
          </w:tcPr>
          <w:p w14:paraId="76D99EE7" w14:textId="77777777" w:rsidR="00E91B7A" w:rsidRPr="00310D6A" w:rsidRDefault="00E91B7A" w:rsidP="00E91B7A">
            <w:pPr>
              <w:jc w:val="left"/>
              <w:rPr>
                <w:rFonts w:eastAsia="Lora" w:cs="Times New Roman"/>
                <w:color w:val="000000"/>
                <w:sz w:val="18"/>
                <w:szCs w:val="18"/>
              </w:rPr>
            </w:pPr>
            <w:r w:rsidRPr="00310D6A">
              <w:rPr>
                <w:rFonts w:eastAsia="Lora" w:cs="Times New Roman"/>
                <w:color w:val="000000"/>
                <w:sz w:val="18"/>
                <w:szCs w:val="18"/>
              </w:rPr>
              <w:t>ŹRÓDŁO</w:t>
            </w:r>
          </w:p>
        </w:tc>
        <w:tc>
          <w:tcPr>
            <w:tcW w:w="746" w:type="pct"/>
          </w:tcPr>
          <w:p w14:paraId="15B1F643" w14:textId="77777777" w:rsidR="00E91B7A" w:rsidRPr="00310D6A" w:rsidRDefault="00E91B7A" w:rsidP="00E91B7A">
            <w:pPr>
              <w:jc w:val="left"/>
              <w:rPr>
                <w:rFonts w:eastAsia="Lora" w:cs="Times New Roman"/>
                <w:color w:val="000000"/>
                <w:sz w:val="18"/>
                <w:szCs w:val="18"/>
              </w:rPr>
            </w:pPr>
            <w:r w:rsidRPr="00310D6A">
              <w:rPr>
                <w:rFonts w:eastAsia="Lora" w:cs="Times New Roman"/>
                <w:color w:val="000000"/>
                <w:sz w:val="18"/>
                <w:szCs w:val="18"/>
              </w:rPr>
              <w:t>METODA</w:t>
            </w:r>
          </w:p>
        </w:tc>
      </w:tr>
      <w:tr w:rsidR="00E91B7A" w:rsidRPr="00E91B7A" w14:paraId="41A88DE3" w14:textId="77777777" w:rsidTr="00F462AD">
        <w:trPr>
          <w:cnfStyle w:val="000000100000" w:firstRow="0" w:lastRow="0" w:firstColumn="0" w:lastColumn="0" w:oddVBand="0" w:evenVBand="0" w:oddHBand="1" w:evenHBand="0" w:firstRowFirstColumn="0" w:firstRowLastColumn="0" w:lastRowFirstColumn="0" w:lastRowLastColumn="0"/>
          <w:trHeight w:val="543"/>
        </w:trPr>
        <w:tc>
          <w:tcPr>
            <w:tcW w:w="2153" w:type="pct"/>
          </w:tcPr>
          <w:p w14:paraId="48E8E62F"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1. Czy i w jaki sposób rozwój miejskiego transportu publicznego (poprzez realizację projektów POIiŚ) wpływa na jego dostępność? </w:t>
            </w:r>
          </w:p>
        </w:tc>
        <w:tc>
          <w:tcPr>
            <w:tcW w:w="1435" w:type="pct"/>
          </w:tcPr>
          <w:p w14:paraId="29D3667A"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Praca eksploatacyjna w transporcie miejskim i ogółem</w:t>
            </w:r>
          </w:p>
          <w:p w14:paraId="2E0F2226"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Łączna długość linii komunikacyjnych</w:t>
            </w:r>
          </w:p>
          <w:p w14:paraId="159DDEC1"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Praca eksploatacyjna w przeliczeniu na łączną długość linii komunikacyjnych</w:t>
            </w:r>
          </w:p>
          <w:p w14:paraId="64774882"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Opinia pasażerów na temat dostępności transportu miejskiego</w:t>
            </w:r>
          </w:p>
        </w:tc>
        <w:tc>
          <w:tcPr>
            <w:tcW w:w="666" w:type="pct"/>
            <w:vAlign w:val="top"/>
          </w:tcPr>
          <w:p w14:paraId="4F259E7C" w14:textId="77777777" w:rsidR="00E91B7A" w:rsidRPr="009C3BAF" w:rsidRDefault="00E91B7A" w:rsidP="00E91B7A">
            <w:pPr>
              <w:spacing w:before="80" w:after="80"/>
              <w:jc w:val="left"/>
              <w:rPr>
                <w:rFonts w:ascii="Lora" w:eastAsia="Lora" w:hAnsi="Lora" w:cs="Times New Roman"/>
                <w:color w:val="000000"/>
                <w:sz w:val="18"/>
                <w:szCs w:val="18"/>
              </w:rPr>
            </w:pPr>
          </w:p>
          <w:p w14:paraId="713DCD2A"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6AF4C774" w14:textId="77777777" w:rsidR="00E91B7A" w:rsidRPr="009C3BAF" w:rsidRDefault="00E91B7A" w:rsidP="00E91B7A">
            <w:pPr>
              <w:spacing w:before="80" w:after="80"/>
              <w:jc w:val="left"/>
              <w:rPr>
                <w:rFonts w:ascii="Lora" w:eastAsia="Lora" w:hAnsi="Lora" w:cs="Times New Roman"/>
                <w:color w:val="000000"/>
                <w:sz w:val="18"/>
                <w:szCs w:val="18"/>
              </w:rPr>
            </w:pPr>
          </w:p>
          <w:p w14:paraId="4B94AF71" w14:textId="77777777" w:rsidR="00E91B7A" w:rsidRPr="009C3BAF" w:rsidRDefault="00E91B7A" w:rsidP="00E91B7A">
            <w:pPr>
              <w:spacing w:before="80" w:after="80"/>
              <w:jc w:val="left"/>
              <w:rPr>
                <w:rFonts w:ascii="Lora" w:eastAsia="Lora" w:hAnsi="Lora" w:cs="Times New Roman"/>
                <w:color w:val="000000"/>
                <w:sz w:val="18"/>
                <w:szCs w:val="18"/>
              </w:rPr>
            </w:pPr>
          </w:p>
          <w:p w14:paraId="221B5719"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50469C12" w14:textId="77777777" w:rsidR="00E91B7A" w:rsidRPr="009C3BAF" w:rsidRDefault="00E91B7A" w:rsidP="00E91B7A">
            <w:pPr>
              <w:spacing w:before="80" w:after="80"/>
              <w:jc w:val="left"/>
              <w:rPr>
                <w:rFonts w:ascii="Lora" w:eastAsia="Lora" w:hAnsi="Lora" w:cs="Times New Roman"/>
                <w:color w:val="000000"/>
                <w:sz w:val="18"/>
                <w:szCs w:val="18"/>
              </w:rPr>
            </w:pPr>
          </w:p>
          <w:p w14:paraId="2D624B3B" w14:textId="3FDE3A54"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0CE3BC25" w14:textId="77777777" w:rsidR="00E91B7A" w:rsidRPr="009C3BAF" w:rsidRDefault="00E91B7A" w:rsidP="00E91B7A">
            <w:pPr>
              <w:spacing w:before="80" w:after="80"/>
              <w:jc w:val="left"/>
              <w:rPr>
                <w:rFonts w:ascii="Lora" w:eastAsia="Lora" w:hAnsi="Lora" w:cs="Times New Roman"/>
                <w:color w:val="000000"/>
                <w:sz w:val="18"/>
                <w:szCs w:val="18"/>
              </w:rPr>
            </w:pPr>
          </w:p>
          <w:p w14:paraId="0DE913C8" w14:textId="01B1D96B"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Przeprowadzenie panelu CAWI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tc>
      </w:tr>
      <w:tr w:rsidR="00E91B7A" w:rsidRPr="00E91B7A" w14:paraId="09EC8F38" w14:textId="77777777" w:rsidTr="00F462AD">
        <w:trPr>
          <w:trHeight w:val="80"/>
        </w:trPr>
        <w:tc>
          <w:tcPr>
            <w:tcW w:w="2153" w:type="pct"/>
          </w:tcPr>
          <w:p w14:paraId="7A581A13" w14:textId="5876272C" w:rsidR="00E91B7A" w:rsidRPr="009C3BAF" w:rsidRDefault="00E91B7A" w:rsidP="00E91B7A">
            <w:pPr>
              <w:spacing w:before="80" w:after="80" w:line="267" w:lineRule="auto"/>
              <w:ind w:right="48"/>
              <w:jc w:val="left"/>
              <w:rPr>
                <w:rFonts w:ascii="Lora" w:eastAsia="Lora" w:hAnsi="Lora" w:cs="Times New Roman"/>
                <w:color w:val="000000"/>
                <w:sz w:val="18"/>
                <w:szCs w:val="18"/>
              </w:rPr>
            </w:pPr>
            <w:r w:rsidRPr="009C3BAF">
              <w:rPr>
                <w:rFonts w:ascii="Lora" w:eastAsia="Lora" w:hAnsi="Lora" w:cs="Times New Roman"/>
                <w:color w:val="000000"/>
                <w:sz w:val="18"/>
                <w:szCs w:val="18"/>
              </w:rPr>
              <w:t>2. Czy i jak projekty POIiŚ wpływają na mobilność obywateli (w</w:t>
            </w:r>
            <w:r w:rsidR="00F63752">
              <w:rPr>
                <w:rFonts w:ascii="Lora" w:eastAsia="Lora" w:hAnsi="Lora" w:cs="Times New Roman"/>
                <w:color w:val="000000"/>
                <w:sz w:val="18"/>
                <w:szCs w:val="18"/>
              </w:rPr>
              <w:t> </w:t>
            </w:r>
            <w:r w:rsidRPr="009C3BAF">
              <w:rPr>
                <w:rFonts w:ascii="Lora" w:eastAsia="Lora" w:hAnsi="Lora" w:cs="Times New Roman"/>
                <w:color w:val="000000"/>
                <w:sz w:val="18"/>
                <w:szCs w:val="18"/>
              </w:rPr>
              <w:t xml:space="preserve">szczególności na zmianę zasięgu rynków pracy oraz stymulowanie mobilności zawodowej na obszarach peryferyjnych)? </w:t>
            </w:r>
          </w:p>
        </w:tc>
        <w:tc>
          <w:tcPr>
            <w:tcW w:w="1435" w:type="pct"/>
          </w:tcPr>
          <w:p w14:paraId="3A05B484" w14:textId="77777777" w:rsidR="007F1122"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Liczba </w:t>
            </w:r>
            <w:r w:rsidR="007F1122">
              <w:rPr>
                <w:rFonts w:ascii="Lora" w:eastAsia="Lora" w:hAnsi="Lora" w:cs="Times New Roman"/>
                <w:color w:val="000000"/>
                <w:sz w:val="18"/>
                <w:szCs w:val="18"/>
              </w:rPr>
              <w:t>przewiezionych pasażerów</w:t>
            </w:r>
          </w:p>
          <w:p w14:paraId="4792BD25" w14:textId="08BEC0BE"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Przychody ze sprzedaży biletów okresowych </w:t>
            </w:r>
          </w:p>
          <w:p w14:paraId="3C897245" w14:textId="7FF1A325" w:rsidR="007F1122" w:rsidRDefault="007F1122" w:rsidP="007F1122">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 xml:space="preserve">Stopa bezrobocia </w:t>
            </w:r>
            <w:r w:rsidR="00E91B7A" w:rsidRPr="009C3BAF">
              <w:rPr>
                <w:rFonts w:ascii="Lora" w:eastAsia="Lora" w:hAnsi="Lora" w:cs="Times New Roman"/>
                <w:color w:val="000000"/>
                <w:sz w:val="18"/>
                <w:szCs w:val="18"/>
              </w:rPr>
              <w:t>rejestrowan</w:t>
            </w:r>
            <w:r>
              <w:rPr>
                <w:rFonts w:ascii="Lora" w:eastAsia="Lora" w:hAnsi="Lora" w:cs="Times New Roman"/>
                <w:color w:val="000000"/>
                <w:sz w:val="18"/>
                <w:szCs w:val="18"/>
              </w:rPr>
              <w:t>ego</w:t>
            </w:r>
          </w:p>
          <w:p w14:paraId="37E541EC" w14:textId="5363F3B6" w:rsidR="00E91B7A" w:rsidRPr="009C3BAF" w:rsidRDefault="00E91B7A" w:rsidP="007F1122">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Opinia pasażerów na temat dostępności transportu miejskiego</w:t>
            </w:r>
          </w:p>
        </w:tc>
        <w:tc>
          <w:tcPr>
            <w:tcW w:w="666" w:type="pct"/>
          </w:tcPr>
          <w:p w14:paraId="45834BF2"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3FBE1306"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BDL GUS</w:t>
            </w:r>
          </w:p>
          <w:p w14:paraId="0EECF884" w14:textId="77777777" w:rsidR="007F1122" w:rsidRPr="009C3BAF" w:rsidRDefault="007F1122" w:rsidP="00E91B7A">
            <w:pPr>
              <w:spacing w:before="80" w:after="80"/>
              <w:jc w:val="left"/>
              <w:rPr>
                <w:rFonts w:ascii="Lora" w:eastAsia="Lora" w:hAnsi="Lora" w:cs="Times New Roman"/>
                <w:color w:val="000000"/>
                <w:sz w:val="18"/>
                <w:szCs w:val="18"/>
              </w:rPr>
            </w:pPr>
          </w:p>
          <w:p w14:paraId="0748F70F"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0B4342C5" w14:textId="5F63589B"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3B28B0EB" w14:textId="77777777" w:rsidR="00423746" w:rsidRPr="009C3BAF" w:rsidRDefault="00423746" w:rsidP="00423746">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Oszacowanie efektu netto (SPSM)</w:t>
            </w:r>
          </w:p>
          <w:p w14:paraId="153AC036" w14:textId="428706C8"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Przeprowadzenie panelu CAWI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tc>
      </w:tr>
      <w:tr w:rsidR="00E91B7A" w:rsidRPr="00E91B7A" w14:paraId="73C6BA13" w14:textId="77777777" w:rsidTr="00F462AD">
        <w:trPr>
          <w:cnfStyle w:val="000000100000" w:firstRow="0" w:lastRow="0" w:firstColumn="0" w:lastColumn="0" w:oddVBand="0" w:evenVBand="0" w:oddHBand="1" w:evenHBand="0" w:firstRowFirstColumn="0" w:firstRowLastColumn="0" w:lastRowFirstColumn="0" w:lastRowLastColumn="0"/>
          <w:trHeight w:val="80"/>
        </w:trPr>
        <w:tc>
          <w:tcPr>
            <w:tcW w:w="2153" w:type="pct"/>
          </w:tcPr>
          <w:p w14:paraId="533F0247" w14:textId="77777777" w:rsidR="00E91B7A" w:rsidRPr="009C3BAF" w:rsidRDefault="00E91B7A" w:rsidP="00E91B7A">
            <w:pPr>
              <w:spacing w:before="80" w:after="80" w:line="267" w:lineRule="auto"/>
              <w:ind w:right="48"/>
              <w:jc w:val="left"/>
              <w:rPr>
                <w:rFonts w:ascii="Lora" w:eastAsia="Lora" w:hAnsi="Lora" w:cs="Times New Roman"/>
                <w:color w:val="000000"/>
                <w:sz w:val="18"/>
                <w:szCs w:val="18"/>
              </w:rPr>
            </w:pPr>
            <w:r w:rsidRPr="009C3BAF">
              <w:rPr>
                <w:rFonts w:ascii="Lora" w:eastAsia="Lora" w:hAnsi="Lora" w:cs="Times New Roman"/>
                <w:color w:val="000000"/>
                <w:sz w:val="18"/>
                <w:szCs w:val="18"/>
              </w:rPr>
              <w:t>3. W jakim stopniu inwestycje z VI osi priorytetowej POIiŚ 2014-2020 wpływają na mobilność osób z niepełnosprawnością i z ograniczonymi możliwościami poruszania się?</w:t>
            </w:r>
          </w:p>
        </w:tc>
        <w:tc>
          <w:tcPr>
            <w:tcW w:w="1435" w:type="pct"/>
          </w:tcPr>
          <w:p w14:paraId="33473AB5" w14:textId="28ACBF1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Ocena jakościowa węzłów przesiadkowych, w tym dokumentacja fotograficzna barier architektonicznych </w:t>
            </w:r>
          </w:p>
        </w:tc>
        <w:tc>
          <w:tcPr>
            <w:tcW w:w="666" w:type="pct"/>
          </w:tcPr>
          <w:p w14:paraId="4EA3EE38" w14:textId="7C192059"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Studia przypadku</w:t>
            </w:r>
          </w:p>
        </w:tc>
        <w:tc>
          <w:tcPr>
            <w:tcW w:w="746" w:type="pct"/>
          </w:tcPr>
          <w:p w14:paraId="01F6CA97" w14:textId="5EAAB5C0"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Wizja lokalna węzłów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r w:rsidRPr="009C3BAF">
              <w:rPr>
                <w:rFonts w:ascii="Lora" w:eastAsia="Lora" w:hAnsi="Lora" w:cs="Times New Roman"/>
                <w:color w:val="000000"/>
                <w:sz w:val="18"/>
                <w:szCs w:val="18"/>
              </w:rPr>
              <w:t xml:space="preserve"> i ocena wielokryterialna</w:t>
            </w:r>
          </w:p>
        </w:tc>
      </w:tr>
      <w:tr w:rsidR="00E91B7A" w:rsidRPr="00E91B7A" w14:paraId="18C8BD79" w14:textId="77777777" w:rsidTr="00F462AD">
        <w:trPr>
          <w:trHeight w:val="80"/>
        </w:trPr>
        <w:tc>
          <w:tcPr>
            <w:tcW w:w="2153" w:type="pct"/>
          </w:tcPr>
          <w:p w14:paraId="29DD6617" w14:textId="77777777" w:rsidR="00E91B7A" w:rsidRPr="009C3BAF" w:rsidRDefault="00E91B7A" w:rsidP="00E91B7A">
            <w:pPr>
              <w:spacing w:before="80" w:after="80" w:line="263" w:lineRule="auto"/>
              <w:ind w:right="369"/>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4. Czy użytkownicy publicznego transportu miejskiego oszczędzają czas na dojazdach do celu podróży (w tym czas na dotarcie do przystanku, czas na przesiadkę dzięki zintegrowaniu rozkładów i wybudowaniu węzłów przesiadkowych, czas jazdy i czas na dojście do celu podróży)? </w:t>
            </w:r>
          </w:p>
        </w:tc>
        <w:tc>
          <w:tcPr>
            <w:tcW w:w="1435" w:type="pct"/>
          </w:tcPr>
          <w:p w14:paraId="2DD74FF0" w14:textId="77777777" w:rsidR="00E91B7A" w:rsidRPr="009C3BAF" w:rsidRDefault="00E91B7A" w:rsidP="00E91B7A">
            <w:pPr>
              <w:spacing w:before="80" w:after="80"/>
              <w:jc w:val="left"/>
              <w:rPr>
                <w:sz w:val="18"/>
                <w:szCs w:val="18"/>
              </w:rPr>
            </w:pPr>
            <w:r w:rsidRPr="009C3BAF">
              <w:rPr>
                <w:sz w:val="18"/>
                <w:szCs w:val="18"/>
              </w:rPr>
              <w:t>Średni sumaryczny czas podróży we wzorcowych relacjach</w:t>
            </w:r>
          </w:p>
          <w:p w14:paraId="0B795EA0" w14:textId="77777777" w:rsidR="00E91B7A" w:rsidRDefault="00E91B7A" w:rsidP="00E91B7A">
            <w:pPr>
              <w:spacing w:before="80" w:after="80"/>
              <w:jc w:val="left"/>
              <w:rPr>
                <w:sz w:val="18"/>
                <w:szCs w:val="18"/>
              </w:rPr>
            </w:pPr>
            <w:r w:rsidRPr="009C3BAF">
              <w:rPr>
                <w:sz w:val="18"/>
                <w:szCs w:val="18"/>
              </w:rPr>
              <w:t>Średnia odległość międzyprzystankowa</w:t>
            </w:r>
          </w:p>
          <w:p w14:paraId="2DA23C3A" w14:textId="3A847B64" w:rsidR="00F63752" w:rsidRPr="009C3BAF" w:rsidRDefault="00AC2E8B" w:rsidP="00E91B7A">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ENPV i EIRR (</w:t>
            </w:r>
            <w:r w:rsidRPr="00AC2E8B">
              <w:rPr>
                <w:rFonts w:ascii="Lora" w:eastAsia="Lora" w:hAnsi="Lora" w:cs="Times New Roman"/>
                <w:i/>
                <w:color w:val="000000"/>
                <w:sz w:val="18"/>
                <w:szCs w:val="18"/>
              </w:rPr>
              <w:t>ex post</w:t>
            </w:r>
            <w:r>
              <w:rPr>
                <w:rFonts w:ascii="Lora" w:eastAsia="Lora" w:hAnsi="Lora" w:cs="Times New Roman"/>
                <w:i/>
                <w:color w:val="000000"/>
                <w:sz w:val="18"/>
                <w:szCs w:val="18"/>
              </w:rPr>
              <w:t>)</w:t>
            </w:r>
            <w:r>
              <w:rPr>
                <w:rFonts w:ascii="Lora" w:eastAsia="Lora" w:hAnsi="Lora" w:cs="Times New Roman"/>
                <w:color w:val="000000"/>
                <w:sz w:val="18"/>
                <w:szCs w:val="18"/>
              </w:rPr>
              <w:t xml:space="preserve"> </w:t>
            </w:r>
            <w:r w:rsidR="00F63752" w:rsidRPr="009C3BAF">
              <w:rPr>
                <w:rFonts w:ascii="Lora" w:eastAsia="Lora" w:hAnsi="Lora" w:cs="Times New Roman"/>
                <w:color w:val="000000"/>
                <w:sz w:val="18"/>
                <w:szCs w:val="18"/>
              </w:rPr>
              <w:t>dla projektów WOF</w:t>
            </w:r>
          </w:p>
        </w:tc>
        <w:tc>
          <w:tcPr>
            <w:tcW w:w="666" w:type="pct"/>
          </w:tcPr>
          <w:p w14:paraId="0F5768DB" w14:textId="13C18385"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Badanie </w:t>
            </w:r>
            <w:r w:rsidR="00AE21D2" w:rsidRPr="00AE21D2">
              <w:rPr>
                <w:rFonts w:ascii="Lora" w:eastAsia="Lora" w:hAnsi="Lora" w:cs="Times New Roman"/>
                <w:i/>
                <w:color w:val="000000"/>
                <w:sz w:val="18"/>
                <w:szCs w:val="18"/>
              </w:rPr>
              <w:t>b</w:t>
            </w:r>
            <w:r w:rsidRPr="00AE21D2">
              <w:rPr>
                <w:rFonts w:ascii="Lora" w:eastAsia="Lora" w:hAnsi="Lora" w:cs="Times New Roman"/>
                <w:i/>
                <w:color w:val="000000"/>
                <w:sz w:val="18"/>
                <w:szCs w:val="18"/>
              </w:rPr>
              <w:t>ig</w:t>
            </w:r>
            <w:r w:rsidR="00AE21D2" w:rsidRPr="00AE21D2">
              <w:rPr>
                <w:rFonts w:ascii="Lora" w:eastAsia="Lora" w:hAnsi="Lora" w:cs="Times New Roman"/>
                <w:i/>
                <w:color w:val="000000"/>
                <w:sz w:val="18"/>
                <w:szCs w:val="18"/>
              </w:rPr>
              <w:t xml:space="preserve"> d</w:t>
            </w:r>
            <w:r w:rsidRPr="00AE21D2">
              <w:rPr>
                <w:rFonts w:ascii="Lora" w:eastAsia="Lora" w:hAnsi="Lora" w:cs="Times New Roman"/>
                <w:i/>
                <w:color w:val="000000"/>
                <w:sz w:val="18"/>
                <w:szCs w:val="18"/>
              </w:rPr>
              <w:t>ata</w:t>
            </w:r>
          </w:p>
          <w:p w14:paraId="1C9E1E50" w14:textId="77777777" w:rsidR="00E91B7A"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Studia przypadku</w:t>
            </w:r>
          </w:p>
          <w:p w14:paraId="78FDA73E" w14:textId="77777777" w:rsidR="00F63752" w:rsidRDefault="00F63752" w:rsidP="00F63752">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Monitoring projektów POIiŚ</w:t>
            </w:r>
          </w:p>
          <w:p w14:paraId="43ED3591" w14:textId="360600F7" w:rsidR="00F63752" w:rsidRPr="009C3BAF" w:rsidRDefault="00F63752" w:rsidP="00F63752">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W razie potrzeby – Warszawski Model Ruchu</w:t>
            </w:r>
          </w:p>
        </w:tc>
        <w:tc>
          <w:tcPr>
            <w:tcW w:w="746" w:type="pct"/>
          </w:tcPr>
          <w:p w14:paraId="3BF7B962" w14:textId="77777777" w:rsidR="00E91B7A"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1240017D" w14:textId="38FB88F1" w:rsidR="00F63752" w:rsidRDefault="00F63752" w:rsidP="00F63752">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AKK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p w14:paraId="7E2CD3DD" w14:textId="3C85CE49" w:rsidR="00F63752" w:rsidRPr="009C3BAF" w:rsidRDefault="00F63752" w:rsidP="00F63752">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W razie potrzeby – modelowanie ruchu</w:t>
            </w:r>
          </w:p>
        </w:tc>
      </w:tr>
      <w:tr w:rsidR="00E91B7A" w:rsidRPr="00E91B7A" w14:paraId="757A9EBC" w14:textId="77777777" w:rsidTr="00F462AD">
        <w:trPr>
          <w:cnfStyle w:val="000000100000" w:firstRow="0" w:lastRow="0" w:firstColumn="0" w:lastColumn="0" w:oddVBand="0" w:evenVBand="0" w:oddHBand="1" w:evenHBand="0" w:firstRowFirstColumn="0" w:firstRowLastColumn="0" w:lastRowFirstColumn="0" w:lastRowLastColumn="0"/>
          <w:trHeight w:val="80"/>
        </w:trPr>
        <w:tc>
          <w:tcPr>
            <w:tcW w:w="2153" w:type="pct"/>
          </w:tcPr>
          <w:p w14:paraId="68198BEB" w14:textId="77777777" w:rsidR="00E91B7A" w:rsidRPr="009C3BAF" w:rsidRDefault="00E91B7A" w:rsidP="00E91B7A">
            <w:pPr>
              <w:spacing w:before="80" w:after="80" w:line="263" w:lineRule="auto"/>
              <w:ind w:right="369"/>
              <w:jc w:val="left"/>
              <w:rPr>
                <w:rFonts w:ascii="Lora" w:eastAsia="Lora" w:hAnsi="Lora" w:cs="Times New Roman"/>
                <w:color w:val="000000"/>
                <w:sz w:val="18"/>
                <w:szCs w:val="18"/>
              </w:rPr>
            </w:pPr>
            <w:r w:rsidRPr="009C3BAF">
              <w:rPr>
                <w:rFonts w:ascii="Lora" w:eastAsia="Lora" w:hAnsi="Lora" w:cs="Times New Roman"/>
                <w:color w:val="000000"/>
                <w:sz w:val="18"/>
                <w:szCs w:val="18"/>
              </w:rPr>
              <w:lastRenderedPageBreak/>
              <w:t xml:space="preserve">5. Czy w wyniku realizacji projektów POIiŚ prowadzona jest efektywna polityka możliwości zmiany środka transportu z indywidualnego na zbiorowy w drodze do centrum miasta (parkingi </w:t>
            </w:r>
            <w:r w:rsidRPr="00307E9E">
              <w:rPr>
                <w:rFonts w:ascii="Lora" w:eastAsia="Lora" w:hAnsi="Lora" w:cs="Times New Roman"/>
                <w:i/>
                <w:color w:val="000000"/>
                <w:sz w:val="18"/>
                <w:szCs w:val="18"/>
              </w:rPr>
              <w:t>P&amp;R</w:t>
            </w:r>
            <w:r w:rsidRPr="009C3BAF">
              <w:rPr>
                <w:rFonts w:ascii="Lora" w:eastAsia="Lora" w:hAnsi="Lora" w:cs="Times New Roman"/>
                <w:color w:val="000000"/>
                <w:sz w:val="18"/>
                <w:szCs w:val="18"/>
              </w:rPr>
              <w:t xml:space="preserve"> na przedmieściach i w obszarach funkcjonalnych)? </w:t>
            </w:r>
          </w:p>
        </w:tc>
        <w:tc>
          <w:tcPr>
            <w:tcW w:w="1435" w:type="pct"/>
          </w:tcPr>
          <w:p w14:paraId="34C76ABC" w14:textId="67FA73F2" w:rsidR="00E91B7A" w:rsidRPr="009C3BAF" w:rsidRDefault="00E91B7A" w:rsidP="00E91B7A">
            <w:pPr>
              <w:jc w:val="left"/>
              <w:rPr>
                <w:sz w:val="18"/>
                <w:szCs w:val="18"/>
              </w:rPr>
            </w:pPr>
            <w:r w:rsidRPr="009C3BAF">
              <w:rPr>
                <w:sz w:val="18"/>
                <w:szCs w:val="18"/>
              </w:rPr>
              <w:t xml:space="preserve">Wskaźnik unikniętego przebiegu samochodem do kosztu budowy parkingu </w:t>
            </w:r>
            <w:r w:rsidRPr="00307E9E">
              <w:rPr>
                <w:i/>
                <w:sz w:val="18"/>
                <w:szCs w:val="18"/>
              </w:rPr>
              <w:t>Park</w:t>
            </w:r>
            <w:r w:rsidR="00AC0A56" w:rsidRPr="00307E9E">
              <w:rPr>
                <w:i/>
                <w:sz w:val="18"/>
                <w:szCs w:val="18"/>
              </w:rPr>
              <w:t xml:space="preserve"> &amp; </w:t>
            </w:r>
            <w:proofErr w:type="spellStart"/>
            <w:r w:rsidR="00AC0A56" w:rsidRPr="00307E9E">
              <w:rPr>
                <w:i/>
                <w:sz w:val="18"/>
                <w:szCs w:val="18"/>
              </w:rPr>
              <w:t>Ride</w:t>
            </w:r>
            <w:proofErr w:type="spellEnd"/>
          </w:p>
          <w:p w14:paraId="3719A2B8" w14:textId="3D7DE183" w:rsidR="00E91B7A" w:rsidRPr="009C3BAF" w:rsidRDefault="00E91B7A" w:rsidP="00E91B7A">
            <w:pPr>
              <w:spacing w:before="80" w:after="80"/>
              <w:jc w:val="left"/>
              <w:rPr>
                <w:rFonts w:ascii="Lora" w:eastAsia="Lora" w:hAnsi="Lora" w:cs="Times New Roman"/>
                <w:color w:val="000000"/>
                <w:sz w:val="18"/>
                <w:szCs w:val="18"/>
              </w:rPr>
            </w:pPr>
            <w:r w:rsidRPr="009C3BAF">
              <w:rPr>
                <w:sz w:val="18"/>
                <w:szCs w:val="18"/>
              </w:rPr>
              <w:t>Średni czas przejścia pomiędzy przystankami</w:t>
            </w:r>
          </w:p>
        </w:tc>
        <w:tc>
          <w:tcPr>
            <w:tcW w:w="666" w:type="pct"/>
          </w:tcPr>
          <w:p w14:paraId="4B9C2510" w14:textId="3D8E3879"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Analiza AKK</w:t>
            </w:r>
          </w:p>
          <w:p w14:paraId="14194291" w14:textId="77777777" w:rsidR="00E91B7A" w:rsidRPr="009C3BAF" w:rsidRDefault="00E91B7A" w:rsidP="00E91B7A">
            <w:pPr>
              <w:spacing w:before="80" w:after="80"/>
              <w:jc w:val="left"/>
              <w:rPr>
                <w:rFonts w:ascii="Lora" w:eastAsia="Lora" w:hAnsi="Lora" w:cs="Times New Roman"/>
                <w:color w:val="000000"/>
                <w:sz w:val="18"/>
                <w:szCs w:val="18"/>
              </w:rPr>
            </w:pPr>
          </w:p>
          <w:p w14:paraId="6D843958" w14:textId="7ED850AE"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Studia przypadku</w:t>
            </w:r>
          </w:p>
        </w:tc>
        <w:tc>
          <w:tcPr>
            <w:tcW w:w="746" w:type="pct"/>
          </w:tcPr>
          <w:p w14:paraId="0498D045" w14:textId="2B180B06"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tc>
      </w:tr>
      <w:tr w:rsidR="00E91B7A" w:rsidRPr="00E91B7A" w14:paraId="4A12C8BF" w14:textId="77777777" w:rsidTr="00F462AD">
        <w:trPr>
          <w:trHeight w:val="80"/>
        </w:trPr>
        <w:tc>
          <w:tcPr>
            <w:tcW w:w="2153" w:type="pct"/>
          </w:tcPr>
          <w:p w14:paraId="7C2890EC"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6. Czy w wyniku realizacji projektów POIiŚ poprawi/poprawiła się jakość i komfort podróży (np. możliwość planowania podróży, informacja dla podróżnych, dostępność i standard podróży wynikających z jakości taboru)? </w:t>
            </w:r>
          </w:p>
        </w:tc>
        <w:tc>
          <w:tcPr>
            <w:tcW w:w="1435" w:type="pct"/>
          </w:tcPr>
          <w:p w14:paraId="5956B7EA" w14:textId="29A1DF3C" w:rsidR="00E91B7A" w:rsidRPr="009C3BAF" w:rsidRDefault="00E91B7A" w:rsidP="00E91B7A">
            <w:pPr>
              <w:jc w:val="left"/>
              <w:rPr>
                <w:sz w:val="18"/>
                <w:szCs w:val="18"/>
              </w:rPr>
            </w:pPr>
            <w:r w:rsidRPr="009C3BAF">
              <w:rPr>
                <w:sz w:val="18"/>
                <w:szCs w:val="18"/>
              </w:rPr>
              <w:t xml:space="preserve">Udział pojazdów niskopodłogowych w całości taboru komunikacji miejskiej </w:t>
            </w:r>
          </w:p>
          <w:p w14:paraId="6EDA81DE" w14:textId="26DDE4DE" w:rsidR="00E91B7A" w:rsidRPr="009C3BAF" w:rsidRDefault="00E91B7A" w:rsidP="00E91B7A">
            <w:pPr>
              <w:jc w:val="left"/>
              <w:rPr>
                <w:sz w:val="18"/>
                <w:szCs w:val="18"/>
              </w:rPr>
            </w:pPr>
            <w:r w:rsidRPr="009C3BAF">
              <w:rPr>
                <w:sz w:val="18"/>
                <w:szCs w:val="18"/>
              </w:rPr>
              <w:t xml:space="preserve">Średnia wieku taboru </w:t>
            </w:r>
          </w:p>
          <w:p w14:paraId="4FB51723" w14:textId="3D94EC1E" w:rsidR="00E91B7A" w:rsidRPr="009C3BAF" w:rsidRDefault="00E91B7A" w:rsidP="00E91B7A">
            <w:pPr>
              <w:jc w:val="left"/>
              <w:rPr>
                <w:sz w:val="18"/>
                <w:szCs w:val="18"/>
              </w:rPr>
            </w:pPr>
            <w:r w:rsidRPr="009C3BAF">
              <w:rPr>
                <w:sz w:val="18"/>
                <w:szCs w:val="18"/>
              </w:rPr>
              <w:t>Praca eksploatacyjna w przeliczeniu na mieszkańca oraz jednostkę powierzchni miasta</w:t>
            </w:r>
          </w:p>
          <w:p w14:paraId="3B4CAD0A" w14:textId="43EF08E7" w:rsidR="00E91B7A" w:rsidRPr="009C3BAF" w:rsidRDefault="00E91B7A" w:rsidP="00E91B7A">
            <w:pPr>
              <w:spacing w:before="80" w:after="80"/>
              <w:jc w:val="left"/>
              <w:rPr>
                <w:rFonts w:ascii="Lora" w:eastAsia="Lora" w:hAnsi="Lora" w:cs="Times New Roman"/>
                <w:color w:val="000000"/>
                <w:sz w:val="18"/>
                <w:szCs w:val="18"/>
              </w:rPr>
            </w:pPr>
            <w:r w:rsidRPr="009C3BAF">
              <w:rPr>
                <w:sz w:val="18"/>
                <w:szCs w:val="18"/>
              </w:rPr>
              <w:t>Ocena łatwości zakupu biletu</w:t>
            </w:r>
          </w:p>
        </w:tc>
        <w:tc>
          <w:tcPr>
            <w:tcW w:w="666" w:type="pct"/>
          </w:tcPr>
          <w:p w14:paraId="504DF423" w14:textId="77777777" w:rsidR="00E91B7A" w:rsidRPr="009C3BAF" w:rsidRDefault="00E91B7A" w:rsidP="00E91B7A">
            <w:pPr>
              <w:spacing w:before="80" w:after="80"/>
              <w:jc w:val="left"/>
              <w:rPr>
                <w:rFonts w:ascii="Lora" w:eastAsia="Lora" w:hAnsi="Lora" w:cs="Times New Roman"/>
                <w:color w:val="000000"/>
                <w:sz w:val="18"/>
                <w:szCs w:val="18"/>
              </w:rPr>
            </w:pPr>
          </w:p>
          <w:p w14:paraId="677C4E8A" w14:textId="0C95CA96"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64C35BEA" w14:textId="744790FF" w:rsidR="00E91B7A" w:rsidRDefault="00E91B7A" w:rsidP="00E91B7A">
            <w:pPr>
              <w:spacing w:before="80" w:after="80"/>
              <w:jc w:val="left"/>
              <w:rPr>
                <w:rFonts w:ascii="Lora" w:eastAsia="Lora" w:hAnsi="Lora" w:cs="Times New Roman"/>
                <w:color w:val="000000"/>
                <w:sz w:val="18"/>
                <w:szCs w:val="18"/>
              </w:rPr>
            </w:pPr>
          </w:p>
          <w:p w14:paraId="7892759A" w14:textId="77777777" w:rsidR="00F63752" w:rsidRPr="009C3BAF" w:rsidRDefault="00F63752" w:rsidP="00E91B7A">
            <w:pPr>
              <w:spacing w:before="80" w:after="80"/>
              <w:jc w:val="left"/>
              <w:rPr>
                <w:rFonts w:ascii="Lora" w:eastAsia="Lora" w:hAnsi="Lora" w:cs="Times New Roman"/>
                <w:color w:val="000000"/>
                <w:sz w:val="18"/>
                <w:szCs w:val="18"/>
              </w:rPr>
            </w:pPr>
          </w:p>
          <w:p w14:paraId="319B32F2" w14:textId="77777777" w:rsidR="00E91B7A" w:rsidRPr="009C3BAF" w:rsidRDefault="00E91B7A" w:rsidP="00E91B7A">
            <w:pPr>
              <w:spacing w:before="80" w:after="80"/>
              <w:jc w:val="left"/>
              <w:rPr>
                <w:rFonts w:ascii="Lora" w:eastAsia="Lora" w:hAnsi="Lora" w:cs="Times New Roman"/>
                <w:color w:val="000000"/>
                <w:sz w:val="18"/>
                <w:szCs w:val="18"/>
              </w:rPr>
            </w:pPr>
          </w:p>
          <w:p w14:paraId="0797237D" w14:textId="5ECC3E99"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023AE1FB" w14:textId="77777777" w:rsidR="00E91B7A" w:rsidRPr="009C3BAF" w:rsidRDefault="00E91B7A" w:rsidP="00E91B7A">
            <w:pPr>
              <w:spacing w:before="80" w:after="80"/>
              <w:jc w:val="left"/>
              <w:rPr>
                <w:rFonts w:ascii="Lora" w:eastAsia="Lora" w:hAnsi="Lora" w:cs="Times New Roman"/>
                <w:color w:val="000000"/>
                <w:sz w:val="18"/>
                <w:szCs w:val="18"/>
              </w:rPr>
            </w:pPr>
          </w:p>
          <w:p w14:paraId="10C4C0B8" w14:textId="68E93CFC"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46AEC43F" w14:textId="25B69599" w:rsidR="00E91B7A" w:rsidRDefault="00E91B7A" w:rsidP="00E91B7A">
            <w:pPr>
              <w:spacing w:before="80" w:after="80"/>
              <w:jc w:val="left"/>
              <w:rPr>
                <w:rFonts w:ascii="Lora" w:eastAsia="Lora" w:hAnsi="Lora" w:cs="Times New Roman"/>
                <w:color w:val="000000"/>
                <w:sz w:val="18"/>
                <w:szCs w:val="18"/>
              </w:rPr>
            </w:pPr>
          </w:p>
          <w:p w14:paraId="6895E3C6" w14:textId="77777777" w:rsidR="00F63752" w:rsidRPr="009C3BAF" w:rsidRDefault="00F63752" w:rsidP="00E91B7A">
            <w:pPr>
              <w:spacing w:before="80" w:after="80"/>
              <w:jc w:val="left"/>
              <w:rPr>
                <w:rFonts w:ascii="Lora" w:eastAsia="Lora" w:hAnsi="Lora" w:cs="Times New Roman"/>
                <w:color w:val="000000"/>
                <w:sz w:val="18"/>
                <w:szCs w:val="18"/>
              </w:rPr>
            </w:pPr>
          </w:p>
          <w:p w14:paraId="4C39377E" w14:textId="26E8CE5C"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Przeprowadzenie panelu CAWI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tc>
      </w:tr>
      <w:tr w:rsidR="00E91B7A" w:rsidRPr="00E91B7A" w14:paraId="1B2B8FB7" w14:textId="77777777" w:rsidTr="00F462AD">
        <w:trPr>
          <w:cnfStyle w:val="000000100000" w:firstRow="0" w:lastRow="0" w:firstColumn="0" w:lastColumn="0" w:oddVBand="0" w:evenVBand="0" w:oddHBand="1" w:evenHBand="0" w:firstRowFirstColumn="0" w:firstRowLastColumn="0" w:lastRowFirstColumn="0" w:lastRowLastColumn="0"/>
          <w:trHeight w:val="381"/>
        </w:trPr>
        <w:tc>
          <w:tcPr>
            <w:tcW w:w="2153" w:type="pct"/>
          </w:tcPr>
          <w:p w14:paraId="4DAC1769"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7. Czy w wyniku realizacji projektów POIiŚ nastąpi/nastąpiło podniesienie poziomu bezpieczeństwa i wzrost atrakcyjności w obszarze transportu zbiorowego? W jaki sposób i w jakim stopniu wpłynęły one na funkcjonowanie transportu miejskiego?</w:t>
            </w:r>
          </w:p>
        </w:tc>
        <w:tc>
          <w:tcPr>
            <w:tcW w:w="1435" w:type="pct"/>
          </w:tcPr>
          <w:p w14:paraId="07402C77" w14:textId="4602E123" w:rsidR="00E91B7A" w:rsidRPr="009C3BAF" w:rsidRDefault="00E91B7A" w:rsidP="00E91B7A">
            <w:pPr>
              <w:jc w:val="left"/>
              <w:rPr>
                <w:sz w:val="18"/>
                <w:szCs w:val="18"/>
              </w:rPr>
            </w:pPr>
            <w:r w:rsidRPr="009C3BAF">
              <w:rPr>
                <w:sz w:val="18"/>
                <w:szCs w:val="18"/>
              </w:rPr>
              <w:t>Koszt regularnej podróży transportem zbiorowym (stanowiący sumę iloczynu czasu podróży i jednostkowych kosztów czasu oraz ceny biletu okresowego) a indywidualnym</w:t>
            </w:r>
          </w:p>
          <w:p w14:paraId="43F69650" w14:textId="0290E045" w:rsidR="00E91B7A" w:rsidRPr="009C3BAF" w:rsidRDefault="00E91B7A" w:rsidP="00E91B7A">
            <w:pPr>
              <w:jc w:val="left"/>
              <w:rPr>
                <w:sz w:val="18"/>
                <w:szCs w:val="18"/>
              </w:rPr>
            </w:pPr>
            <w:r w:rsidRPr="009C3BAF">
              <w:rPr>
                <w:sz w:val="18"/>
                <w:szCs w:val="18"/>
              </w:rPr>
              <w:t>Łączna liczba wypadków z udziałem pojazdów komunikacji miejskiej</w:t>
            </w:r>
          </w:p>
          <w:p w14:paraId="790A944A" w14:textId="10DF364E" w:rsidR="00E91B7A" w:rsidRPr="009C3BAF" w:rsidRDefault="00E91B7A" w:rsidP="00E91B7A">
            <w:pPr>
              <w:jc w:val="left"/>
              <w:rPr>
                <w:sz w:val="18"/>
                <w:szCs w:val="18"/>
              </w:rPr>
            </w:pPr>
            <w:r w:rsidRPr="009C3BAF">
              <w:rPr>
                <w:sz w:val="18"/>
                <w:szCs w:val="18"/>
              </w:rPr>
              <w:t xml:space="preserve">Praca eksploatacyjna wykonana przez środek transportu będący przedmiotem projektu </w:t>
            </w:r>
          </w:p>
          <w:p w14:paraId="5E0AF0AF" w14:textId="7AFFAE16" w:rsidR="00E91B7A" w:rsidRPr="009C3BAF" w:rsidRDefault="00E91B7A" w:rsidP="00E91B7A">
            <w:pPr>
              <w:spacing w:before="80" w:after="80"/>
              <w:jc w:val="left"/>
              <w:rPr>
                <w:rFonts w:ascii="Lora" w:eastAsia="Lora" w:hAnsi="Lora" w:cs="Times New Roman"/>
                <w:color w:val="000000"/>
                <w:sz w:val="18"/>
                <w:szCs w:val="18"/>
              </w:rPr>
            </w:pPr>
            <w:r w:rsidRPr="009C3BAF">
              <w:rPr>
                <w:sz w:val="18"/>
                <w:szCs w:val="18"/>
              </w:rPr>
              <w:t xml:space="preserve">Zmiany w </w:t>
            </w:r>
            <w:proofErr w:type="spellStart"/>
            <w:r w:rsidRPr="009C3BAF">
              <w:rPr>
                <w:i/>
                <w:sz w:val="18"/>
                <w:szCs w:val="18"/>
              </w:rPr>
              <w:t>modal</w:t>
            </w:r>
            <w:proofErr w:type="spellEnd"/>
            <w:r w:rsidRPr="009C3BAF">
              <w:rPr>
                <w:i/>
                <w:sz w:val="18"/>
                <w:szCs w:val="18"/>
              </w:rPr>
              <w:t xml:space="preserve"> </w:t>
            </w:r>
            <w:proofErr w:type="spellStart"/>
            <w:r w:rsidRPr="009C3BAF">
              <w:rPr>
                <w:i/>
                <w:sz w:val="18"/>
                <w:szCs w:val="18"/>
              </w:rPr>
              <w:t>split</w:t>
            </w:r>
            <w:proofErr w:type="spellEnd"/>
            <w:r w:rsidRPr="009C3BAF">
              <w:rPr>
                <w:sz w:val="18"/>
                <w:szCs w:val="18"/>
              </w:rPr>
              <w:t>: w zakresie podróży pieszych</w:t>
            </w:r>
            <w:r w:rsidR="001052D3">
              <w:rPr>
                <w:sz w:val="18"/>
                <w:szCs w:val="18"/>
              </w:rPr>
              <w:t xml:space="preserve">, </w:t>
            </w:r>
            <w:r w:rsidRPr="009C3BAF">
              <w:rPr>
                <w:sz w:val="18"/>
                <w:szCs w:val="18"/>
              </w:rPr>
              <w:t>transportem indywidualnym</w:t>
            </w:r>
            <w:r w:rsidR="00920939">
              <w:rPr>
                <w:sz w:val="18"/>
                <w:szCs w:val="18"/>
              </w:rPr>
              <w:t xml:space="preserve"> i zbiorowym</w:t>
            </w:r>
          </w:p>
        </w:tc>
        <w:tc>
          <w:tcPr>
            <w:tcW w:w="666" w:type="pct"/>
          </w:tcPr>
          <w:p w14:paraId="5FA7E495" w14:textId="75E2B2EC" w:rsidR="00E91B7A" w:rsidRPr="009C3BAF" w:rsidRDefault="00AE21D2" w:rsidP="00E91B7A">
            <w:pPr>
              <w:spacing w:before="80" w:after="80"/>
              <w:jc w:val="left"/>
              <w:rPr>
                <w:rFonts w:ascii="Lora" w:eastAsia="Lora" w:hAnsi="Lora" w:cs="Times New Roman"/>
                <w:color w:val="000000"/>
                <w:sz w:val="18"/>
                <w:szCs w:val="18"/>
              </w:rPr>
            </w:pPr>
            <w:r w:rsidRPr="00AE21D2">
              <w:rPr>
                <w:rFonts w:ascii="Lora" w:eastAsia="Lora" w:hAnsi="Lora" w:cs="Times New Roman"/>
                <w:color w:val="000000"/>
                <w:sz w:val="18"/>
                <w:szCs w:val="18"/>
              </w:rPr>
              <w:t xml:space="preserve">Badanie </w:t>
            </w:r>
            <w:r w:rsidRPr="00AE21D2">
              <w:rPr>
                <w:rFonts w:ascii="Lora" w:eastAsia="Lora" w:hAnsi="Lora" w:cs="Times New Roman"/>
                <w:i/>
                <w:color w:val="000000"/>
                <w:sz w:val="18"/>
                <w:szCs w:val="18"/>
              </w:rPr>
              <w:t>big data</w:t>
            </w:r>
            <w:r>
              <w:rPr>
                <w:rFonts w:ascii="Lora" w:eastAsia="Lora" w:hAnsi="Lora" w:cs="Times New Roman"/>
                <w:color w:val="000000"/>
                <w:sz w:val="18"/>
                <w:szCs w:val="18"/>
              </w:rPr>
              <w:t xml:space="preserve"> </w:t>
            </w:r>
            <w:r w:rsidR="00E91B7A" w:rsidRPr="009C3BAF">
              <w:rPr>
                <w:rFonts w:ascii="Lora" w:eastAsia="Lora" w:hAnsi="Lora" w:cs="Times New Roman"/>
                <w:color w:val="000000"/>
                <w:sz w:val="18"/>
                <w:szCs w:val="18"/>
              </w:rPr>
              <w:t>i ankietowe wśród miast, dane Jaspers</w:t>
            </w:r>
          </w:p>
          <w:p w14:paraId="64554BB1" w14:textId="77777777" w:rsidR="00E91B7A" w:rsidRPr="009C3BAF" w:rsidRDefault="00E91B7A" w:rsidP="00E91B7A">
            <w:pPr>
              <w:spacing w:before="80" w:after="80"/>
              <w:jc w:val="left"/>
              <w:rPr>
                <w:rFonts w:ascii="Lora" w:eastAsia="Lora" w:hAnsi="Lora" w:cs="Times New Roman"/>
                <w:color w:val="000000"/>
                <w:sz w:val="18"/>
                <w:szCs w:val="18"/>
              </w:rPr>
            </w:pPr>
          </w:p>
          <w:p w14:paraId="1C77CD4B" w14:textId="3745B1F3" w:rsidR="00E91B7A" w:rsidRPr="009C3BAF" w:rsidRDefault="00E91B7A" w:rsidP="00E91B7A">
            <w:pPr>
              <w:spacing w:before="80" w:after="80"/>
              <w:jc w:val="left"/>
              <w:rPr>
                <w:rFonts w:ascii="Lora" w:eastAsia="Lora" w:hAnsi="Lora" w:cs="Times New Roman"/>
                <w:color w:val="000000"/>
                <w:sz w:val="18"/>
                <w:szCs w:val="18"/>
              </w:rPr>
            </w:pPr>
            <w:proofErr w:type="spellStart"/>
            <w:r w:rsidRPr="009C3BAF">
              <w:rPr>
                <w:rFonts w:ascii="Lora" w:eastAsia="Lora" w:hAnsi="Lora" w:cs="Times New Roman"/>
                <w:color w:val="000000"/>
                <w:sz w:val="18"/>
                <w:szCs w:val="18"/>
              </w:rPr>
              <w:t>SEWiK</w:t>
            </w:r>
            <w:proofErr w:type="spellEnd"/>
          </w:p>
          <w:p w14:paraId="4028ACC6" w14:textId="52771DDB" w:rsidR="00E91B7A" w:rsidRPr="009C3BAF" w:rsidRDefault="00E91B7A" w:rsidP="00E91B7A">
            <w:pPr>
              <w:spacing w:before="80" w:after="80"/>
              <w:jc w:val="left"/>
              <w:rPr>
                <w:rFonts w:ascii="Lora" w:eastAsia="Lora" w:hAnsi="Lora" w:cs="Times New Roman"/>
                <w:color w:val="000000"/>
                <w:sz w:val="18"/>
                <w:szCs w:val="18"/>
              </w:rPr>
            </w:pPr>
          </w:p>
          <w:p w14:paraId="3EC14901" w14:textId="30E1E6B2"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w:t>
            </w:r>
          </w:p>
          <w:p w14:paraId="17D7F24C" w14:textId="4FC039E1" w:rsidR="00E91B7A" w:rsidRDefault="00E91B7A" w:rsidP="00E91B7A">
            <w:pPr>
              <w:spacing w:before="80" w:after="80"/>
              <w:jc w:val="left"/>
              <w:rPr>
                <w:rFonts w:ascii="Lora" w:eastAsia="Lora" w:hAnsi="Lora" w:cs="Times New Roman"/>
                <w:color w:val="000000"/>
                <w:sz w:val="18"/>
                <w:szCs w:val="18"/>
              </w:rPr>
            </w:pPr>
          </w:p>
          <w:p w14:paraId="1C7955F1" w14:textId="77777777" w:rsidR="00920939" w:rsidRPr="009C3BAF" w:rsidRDefault="00920939" w:rsidP="00E91B7A">
            <w:pPr>
              <w:spacing w:before="80" w:after="80"/>
              <w:jc w:val="left"/>
              <w:rPr>
                <w:rFonts w:ascii="Lora" w:eastAsia="Lora" w:hAnsi="Lora" w:cs="Times New Roman"/>
                <w:color w:val="000000"/>
                <w:sz w:val="18"/>
                <w:szCs w:val="18"/>
              </w:rPr>
            </w:pPr>
          </w:p>
          <w:p w14:paraId="64C045BC" w14:textId="11CF10B2"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6F2A41CD" w14:textId="24622B7F"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Ponowienie badania</w:t>
            </w:r>
            <w:r w:rsidR="00AE21D2">
              <w:rPr>
                <w:rFonts w:ascii="Lora" w:eastAsia="Lora" w:hAnsi="Lora" w:cs="Times New Roman"/>
                <w:color w:val="000000"/>
                <w:sz w:val="18"/>
                <w:szCs w:val="18"/>
              </w:rPr>
              <w:t xml:space="preserve"> </w:t>
            </w:r>
            <w:r w:rsidR="00AE21D2" w:rsidRPr="00AE21D2">
              <w:rPr>
                <w:rFonts w:ascii="Lora" w:eastAsia="Lora" w:hAnsi="Lora" w:cs="Times New Roman"/>
                <w:i/>
                <w:color w:val="000000"/>
                <w:sz w:val="18"/>
                <w:szCs w:val="18"/>
              </w:rPr>
              <w:t>big data</w:t>
            </w:r>
            <w:r w:rsidR="00AE21D2">
              <w:rPr>
                <w:rFonts w:ascii="Lora" w:eastAsia="Lora" w:hAnsi="Lora" w:cs="Times New Roman"/>
                <w:color w:val="000000"/>
                <w:sz w:val="18"/>
                <w:szCs w:val="18"/>
              </w:rPr>
              <w:t xml:space="preserve"> </w:t>
            </w:r>
            <w:r w:rsidRPr="009C3BAF">
              <w:rPr>
                <w:rFonts w:ascii="Lora" w:eastAsia="Lora" w:hAnsi="Lora" w:cs="Times New Roman"/>
                <w:color w:val="000000"/>
                <w:sz w:val="18"/>
                <w:szCs w:val="18"/>
              </w:rPr>
              <w:t>wskazanych relacji</w:t>
            </w:r>
          </w:p>
          <w:p w14:paraId="5AE9E7B1" w14:textId="77777777" w:rsidR="00E91B7A" w:rsidRPr="009C3BAF" w:rsidRDefault="00E91B7A" w:rsidP="00E91B7A">
            <w:pPr>
              <w:spacing w:before="80" w:after="80"/>
              <w:jc w:val="left"/>
              <w:rPr>
                <w:rFonts w:ascii="Lora" w:eastAsia="Lora" w:hAnsi="Lora" w:cs="Times New Roman"/>
                <w:color w:val="000000"/>
                <w:sz w:val="18"/>
                <w:szCs w:val="18"/>
              </w:rPr>
            </w:pPr>
          </w:p>
          <w:p w14:paraId="0B27297F" w14:textId="7DD180CF"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6947822D" w14:textId="073071D9" w:rsidR="00423746" w:rsidRPr="009C3BAF" w:rsidRDefault="00423746"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Oszacowanie efektu netto (SPSM)</w:t>
            </w:r>
          </w:p>
          <w:p w14:paraId="6ECA692F" w14:textId="77777777" w:rsidR="00E91B7A" w:rsidRPr="009C3BAF" w:rsidRDefault="00E91B7A" w:rsidP="00E91B7A">
            <w:pPr>
              <w:spacing w:before="80" w:after="80"/>
              <w:jc w:val="left"/>
              <w:rPr>
                <w:rFonts w:ascii="Lora" w:eastAsia="Lora" w:hAnsi="Lora" w:cs="Times New Roman"/>
                <w:color w:val="000000"/>
                <w:sz w:val="18"/>
                <w:szCs w:val="18"/>
              </w:rPr>
            </w:pPr>
          </w:p>
          <w:p w14:paraId="3F40272C" w14:textId="033B1A88"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Przeprowadzenie panelu CAWI </w:t>
            </w:r>
            <w:r w:rsidRPr="00634EE8">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634EE8">
              <w:rPr>
                <w:rFonts w:ascii="Lora" w:eastAsia="Lora" w:hAnsi="Lora" w:cs="Times New Roman"/>
                <w:i/>
                <w:color w:val="000000"/>
                <w:sz w:val="18"/>
                <w:szCs w:val="18"/>
              </w:rPr>
              <w:t>post</w:t>
            </w:r>
          </w:p>
        </w:tc>
      </w:tr>
      <w:tr w:rsidR="00E91B7A" w:rsidRPr="00E91B7A" w14:paraId="14F62F80" w14:textId="77777777" w:rsidTr="00F462AD">
        <w:trPr>
          <w:trHeight w:val="647"/>
        </w:trPr>
        <w:tc>
          <w:tcPr>
            <w:tcW w:w="2153" w:type="pct"/>
          </w:tcPr>
          <w:p w14:paraId="713512F4"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lastRenderedPageBreak/>
              <w:t>8. Jak inwestycje transportowe wpłyną/wpłynęły na zmianę poziomu bezpieczeństwa podróżnych podczas wykorzystywania poszczególnych środków transportu?</w:t>
            </w:r>
          </w:p>
        </w:tc>
        <w:tc>
          <w:tcPr>
            <w:tcW w:w="1435" w:type="pct"/>
          </w:tcPr>
          <w:p w14:paraId="22C9B6DF" w14:textId="4AC4DA62" w:rsidR="00E91B7A" w:rsidRPr="009C3BAF" w:rsidRDefault="00E91B7A" w:rsidP="00E91B7A">
            <w:pPr>
              <w:jc w:val="left"/>
              <w:rPr>
                <w:sz w:val="18"/>
                <w:szCs w:val="18"/>
              </w:rPr>
            </w:pPr>
            <w:r w:rsidRPr="009C3BAF">
              <w:rPr>
                <w:sz w:val="18"/>
                <w:szCs w:val="18"/>
              </w:rPr>
              <w:t>Łączna liczba wypadków z udziałem pojazdów komunikacji miejskiej</w:t>
            </w:r>
          </w:p>
          <w:p w14:paraId="2F7957D6" w14:textId="11A66D38" w:rsidR="00E91B7A" w:rsidRPr="009C3BAF" w:rsidRDefault="00E91B7A" w:rsidP="00E91B7A">
            <w:pPr>
              <w:jc w:val="left"/>
              <w:rPr>
                <w:sz w:val="18"/>
                <w:szCs w:val="18"/>
              </w:rPr>
            </w:pPr>
            <w:r w:rsidRPr="009C3BAF">
              <w:rPr>
                <w:sz w:val="18"/>
                <w:szCs w:val="18"/>
              </w:rPr>
              <w:t>Liczba ofiar śmiertelnych wypadków drogowych</w:t>
            </w:r>
          </w:p>
          <w:p w14:paraId="5D2B89E0" w14:textId="1AC26694" w:rsidR="00E91B7A" w:rsidRPr="009C3BAF" w:rsidRDefault="00E91B7A" w:rsidP="00E91B7A">
            <w:pPr>
              <w:jc w:val="left"/>
              <w:rPr>
                <w:sz w:val="18"/>
                <w:szCs w:val="18"/>
              </w:rPr>
            </w:pPr>
            <w:r w:rsidRPr="009C3BAF">
              <w:rPr>
                <w:sz w:val="18"/>
                <w:szCs w:val="18"/>
              </w:rPr>
              <w:t>Liczba rannych w wypadkach drogowych</w:t>
            </w:r>
          </w:p>
          <w:p w14:paraId="1C2512AE" w14:textId="302A869C" w:rsidR="00E91B7A" w:rsidRPr="009C3BAF" w:rsidRDefault="00E91B7A" w:rsidP="00E91B7A">
            <w:pPr>
              <w:spacing w:before="80" w:after="80"/>
              <w:jc w:val="left"/>
              <w:rPr>
                <w:rFonts w:ascii="Lora" w:eastAsia="Lora" w:hAnsi="Lora" w:cs="Times New Roman"/>
                <w:color w:val="000000"/>
                <w:sz w:val="18"/>
                <w:szCs w:val="18"/>
              </w:rPr>
            </w:pPr>
            <w:r w:rsidRPr="009C3BAF">
              <w:rPr>
                <w:sz w:val="18"/>
                <w:szCs w:val="18"/>
              </w:rPr>
              <w:t xml:space="preserve">Liczba </w:t>
            </w:r>
            <w:r w:rsidR="007F1122">
              <w:rPr>
                <w:sz w:val="18"/>
                <w:szCs w:val="18"/>
              </w:rPr>
              <w:t>zdarzeń</w:t>
            </w:r>
            <w:r w:rsidRPr="009C3BAF">
              <w:rPr>
                <w:sz w:val="18"/>
                <w:szCs w:val="18"/>
              </w:rPr>
              <w:t xml:space="preserve"> drogowych ogółem</w:t>
            </w:r>
          </w:p>
        </w:tc>
        <w:tc>
          <w:tcPr>
            <w:tcW w:w="666" w:type="pct"/>
          </w:tcPr>
          <w:p w14:paraId="554A5063" w14:textId="2149732B" w:rsidR="00E91B7A" w:rsidRPr="009C3BAF" w:rsidRDefault="00E91B7A" w:rsidP="00E91B7A">
            <w:pPr>
              <w:spacing w:before="80" w:after="80"/>
              <w:jc w:val="left"/>
              <w:rPr>
                <w:rFonts w:ascii="Lora" w:eastAsia="Lora" w:hAnsi="Lora" w:cs="Times New Roman"/>
                <w:color w:val="000000"/>
                <w:sz w:val="18"/>
                <w:szCs w:val="18"/>
              </w:rPr>
            </w:pPr>
            <w:proofErr w:type="spellStart"/>
            <w:r w:rsidRPr="009C3BAF">
              <w:rPr>
                <w:rFonts w:ascii="Lora" w:eastAsia="Lora" w:hAnsi="Lora" w:cs="Times New Roman"/>
                <w:color w:val="000000"/>
                <w:sz w:val="18"/>
                <w:szCs w:val="18"/>
              </w:rPr>
              <w:t>SEWiK</w:t>
            </w:r>
            <w:proofErr w:type="spellEnd"/>
          </w:p>
        </w:tc>
        <w:tc>
          <w:tcPr>
            <w:tcW w:w="746" w:type="pct"/>
          </w:tcPr>
          <w:p w14:paraId="4692443E"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1EFAC221" w14:textId="149ED414" w:rsidR="00423746" w:rsidRPr="009C3BAF" w:rsidRDefault="00423746"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Oszacowanie efektu netto (SPSM)</w:t>
            </w:r>
          </w:p>
        </w:tc>
      </w:tr>
      <w:tr w:rsidR="00E91B7A" w:rsidRPr="00E91B7A" w14:paraId="23B627E5" w14:textId="77777777" w:rsidTr="00F462AD">
        <w:trPr>
          <w:cnfStyle w:val="000000100000" w:firstRow="0" w:lastRow="0" w:firstColumn="0" w:lastColumn="0" w:oddVBand="0" w:evenVBand="0" w:oddHBand="1" w:evenHBand="0" w:firstRowFirstColumn="0" w:firstRowLastColumn="0" w:lastRowFirstColumn="0" w:lastRowLastColumn="0"/>
          <w:trHeight w:val="80"/>
        </w:trPr>
        <w:tc>
          <w:tcPr>
            <w:tcW w:w="2153" w:type="pct"/>
          </w:tcPr>
          <w:p w14:paraId="43890E3A"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9. Jak zmieni/zmieniła się jakość i liczba oferowanych usług transportowych wspartych dzięki inwestycjom w transport publiczny?</w:t>
            </w:r>
          </w:p>
        </w:tc>
        <w:tc>
          <w:tcPr>
            <w:tcW w:w="1435" w:type="pct"/>
          </w:tcPr>
          <w:p w14:paraId="7A085F9F" w14:textId="115EA8C2" w:rsidR="00E91B7A" w:rsidRPr="009C3BAF" w:rsidRDefault="00E91B7A" w:rsidP="00E91B7A">
            <w:pPr>
              <w:jc w:val="left"/>
              <w:rPr>
                <w:sz w:val="18"/>
                <w:szCs w:val="18"/>
              </w:rPr>
            </w:pPr>
            <w:r w:rsidRPr="009C3BAF">
              <w:rPr>
                <w:sz w:val="18"/>
                <w:szCs w:val="18"/>
              </w:rPr>
              <w:t>Praca eksploatacyjna w transporcie miejskim i ogółem</w:t>
            </w:r>
          </w:p>
          <w:p w14:paraId="2E494AAD" w14:textId="1B704C47" w:rsidR="00E91B7A" w:rsidRPr="009C3BAF" w:rsidRDefault="00E91B7A" w:rsidP="00E91B7A">
            <w:pPr>
              <w:jc w:val="left"/>
              <w:rPr>
                <w:sz w:val="18"/>
                <w:szCs w:val="18"/>
              </w:rPr>
            </w:pPr>
            <w:r w:rsidRPr="009C3BAF">
              <w:rPr>
                <w:sz w:val="18"/>
                <w:szCs w:val="18"/>
              </w:rPr>
              <w:t xml:space="preserve">Łączna długość linii komunikacyjnych </w:t>
            </w:r>
          </w:p>
          <w:p w14:paraId="4CC2A8B0" w14:textId="12531B1C" w:rsidR="00E91B7A" w:rsidRPr="009C3BAF" w:rsidRDefault="00E91B7A" w:rsidP="00E91B7A">
            <w:pPr>
              <w:jc w:val="left"/>
              <w:rPr>
                <w:sz w:val="18"/>
                <w:szCs w:val="18"/>
              </w:rPr>
            </w:pPr>
            <w:r w:rsidRPr="009C3BAF">
              <w:rPr>
                <w:sz w:val="18"/>
                <w:szCs w:val="18"/>
              </w:rPr>
              <w:t>Praca eksploatacyjna w przeliczeniu na łączną długość linii komunikacyjnych</w:t>
            </w:r>
          </w:p>
          <w:p w14:paraId="7BF3A0E8" w14:textId="5573361B" w:rsidR="00E91B7A" w:rsidRPr="009C3BAF" w:rsidRDefault="00E91B7A" w:rsidP="00E91B7A">
            <w:pPr>
              <w:spacing w:before="80" w:after="80"/>
              <w:jc w:val="left"/>
              <w:rPr>
                <w:rFonts w:ascii="Lora" w:eastAsia="Lora" w:hAnsi="Lora" w:cs="Times New Roman"/>
                <w:color w:val="000000"/>
                <w:sz w:val="18"/>
                <w:szCs w:val="18"/>
              </w:rPr>
            </w:pPr>
            <w:r w:rsidRPr="009C3BAF">
              <w:rPr>
                <w:sz w:val="18"/>
                <w:szCs w:val="18"/>
              </w:rPr>
              <w:t>Liczba pojazdów w ruchu</w:t>
            </w:r>
          </w:p>
        </w:tc>
        <w:tc>
          <w:tcPr>
            <w:tcW w:w="666" w:type="pct"/>
          </w:tcPr>
          <w:p w14:paraId="4C70DC51" w14:textId="2D39BF65"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tc>
        <w:tc>
          <w:tcPr>
            <w:tcW w:w="746" w:type="pct"/>
          </w:tcPr>
          <w:p w14:paraId="20C0E8F8" w14:textId="3754816F"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tc>
      </w:tr>
      <w:tr w:rsidR="00E91B7A" w:rsidRPr="00E91B7A" w14:paraId="10320F46" w14:textId="77777777" w:rsidTr="00F462AD">
        <w:trPr>
          <w:trHeight w:val="80"/>
        </w:trPr>
        <w:tc>
          <w:tcPr>
            <w:tcW w:w="2153" w:type="pct"/>
          </w:tcPr>
          <w:p w14:paraId="1E253FB4" w14:textId="77777777" w:rsidR="00E91B7A" w:rsidRPr="009C3BAF" w:rsidRDefault="00E91B7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10. Jakie inne zmiany zamierzone i niezamierzone (pozytywne i/lub negatywne) wystąpią/wystąpiły (np. na poziomie infrastruktury pasażera) wskutek interwencji transportowej?</w:t>
            </w:r>
          </w:p>
        </w:tc>
        <w:tc>
          <w:tcPr>
            <w:tcW w:w="1435" w:type="pct"/>
          </w:tcPr>
          <w:p w14:paraId="13FDB18F" w14:textId="77777777" w:rsidR="00E91B7A" w:rsidRPr="009C3BAF" w:rsidRDefault="00EF788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Wielokryterialna ocena węzłów przesiadkowych wraz z dokumentacją fotograficzną</w:t>
            </w:r>
          </w:p>
          <w:p w14:paraId="1609A91F" w14:textId="1E8E73AB" w:rsidR="00E759E3" w:rsidRPr="009C3BAF" w:rsidRDefault="00AC2E8B" w:rsidP="00E91B7A">
            <w:pPr>
              <w:spacing w:before="80" w:after="80"/>
              <w:jc w:val="left"/>
              <w:rPr>
                <w:rFonts w:ascii="Lora" w:eastAsia="Lora" w:hAnsi="Lora" w:cs="Times New Roman"/>
                <w:color w:val="000000"/>
                <w:sz w:val="18"/>
                <w:szCs w:val="18"/>
              </w:rPr>
            </w:pPr>
            <w:r w:rsidRPr="00AC2E8B">
              <w:rPr>
                <w:rFonts w:ascii="Lora" w:eastAsia="Lora" w:hAnsi="Lora" w:cs="Times New Roman"/>
                <w:color w:val="000000"/>
                <w:sz w:val="18"/>
                <w:szCs w:val="18"/>
              </w:rPr>
              <w:t>ENPV i EIRR (</w:t>
            </w:r>
            <w:r w:rsidRPr="00AC2E8B">
              <w:rPr>
                <w:rFonts w:ascii="Lora" w:eastAsia="Lora" w:hAnsi="Lora" w:cs="Times New Roman"/>
                <w:i/>
                <w:color w:val="000000"/>
                <w:sz w:val="18"/>
                <w:szCs w:val="18"/>
              </w:rPr>
              <w:t>ex post</w:t>
            </w:r>
            <w:r w:rsidRPr="00AC2E8B">
              <w:rPr>
                <w:rFonts w:ascii="Lora" w:eastAsia="Lora" w:hAnsi="Lora" w:cs="Times New Roman"/>
                <w:color w:val="000000"/>
                <w:sz w:val="18"/>
                <w:szCs w:val="18"/>
              </w:rPr>
              <w:t>) dla projektów WOF</w:t>
            </w:r>
          </w:p>
        </w:tc>
        <w:tc>
          <w:tcPr>
            <w:tcW w:w="666" w:type="pct"/>
          </w:tcPr>
          <w:p w14:paraId="57FB75C8" w14:textId="0E5D9335" w:rsidR="00E759E3" w:rsidRPr="009C3BAF" w:rsidRDefault="00EF788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Studia przypadku</w:t>
            </w:r>
          </w:p>
          <w:p w14:paraId="50BB10C6" w14:textId="77777777" w:rsidR="00E759E3" w:rsidRDefault="00E759E3"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Monitoring projektów POIiŚ</w:t>
            </w:r>
          </w:p>
          <w:p w14:paraId="0BA9BDBE" w14:textId="36D20A57" w:rsidR="00E34F0F" w:rsidRPr="009C3BAF" w:rsidRDefault="00E34F0F" w:rsidP="00E91B7A">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W razie potrzeby – Warszawski Model Ruchu</w:t>
            </w:r>
          </w:p>
        </w:tc>
        <w:tc>
          <w:tcPr>
            <w:tcW w:w="746" w:type="pct"/>
          </w:tcPr>
          <w:p w14:paraId="5B08B108" w14:textId="6DB960D2" w:rsidR="00E91B7A" w:rsidRPr="009C3BAF" w:rsidRDefault="00EF788A"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Wizja lokalna węzłów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r w:rsidRPr="009C3BAF">
              <w:rPr>
                <w:rFonts w:ascii="Lora" w:eastAsia="Lora" w:hAnsi="Lora" w:cs="Times New Roman"/>
                <w:color w:val="000000"/>
                <w:sz w:val="18"/>
                <w:szCs w:val="18"/>
              </w:rPr>
              <w:t xml:space="preserve"> i ocena wielokryterialna</w:t>
            </w:r>
          </w:p>
          <w:p w14:paraId="629D0E83" w14:textId="34C8FF70" w:rsidR="00E759E3" w:rsidRDefault="00E759E3" w:rsidP="00E91B7A">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AKK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p w14:paraId="09E0CD56" w14:textId="5BABE725" w:rsidR="00E34F0F" w:rsidRPr="009C3BAF" w:rsidRDefault="00E34F0F" w:rsidP="00E91B7A">
            <w:pPr>
              <w:spacing w:before="80" w:after="80"/>
              <w:jc w:val="left"/>
              <w:rPr>
                <w:rFonts w:ascii="Lora" w:eastAsia="Lora" w:hAnsi="Lora" w:cs="Times New Roman"/>
                <w:color w:val="000000"/>
                <w:sz w:val="18"/>
                <w:szCs w:val="18"/>
              </w:rPr>
            </w:pPr>
            <w:r>
              <w:rPr>
                <w:rFonts w:ascii="Lora" w:eastAsia="Lora" w:hAnsi="Lora" w:cs="Times New Roman"/>
                <w:color w:val="000000"/>
                <w:sz w:val="18"/>
                <w:szCs w:val="18"/>
              </w:rPr>
              <w:t>W razie potrzeby – modelowanie ruchu</w:t>
            </w:r>
          </w:p>
        </w:tc>
      </w:tr>
      <w:tr w:rsidR="00F462AD" w:rsidRPr="00E91B7A" w14:paraId="42307ACD" w14:textId="77777777" w:rsidTr="00F462AD">
        <w:trPr>
          <w:cnfStyle w:val="000000100000" w:firstRow="0" w:lastRow="0" w:firstColumn="0" w:lastColumn="0" w:oddVBand="0" w:evenVBand="0" w:oddHBand="1" w:evenHBand="0" w:firstRowFirstColumn="0" w:firstRowLastColumn="0" w:lastRowFirstColumn="0" w:lastRowLastColumn="0"/>
          <w:trHeight w:val="840"/>
        </w:trPr>
        <w:tc>
          <w:tcPr>
            <w:tcW w:w="2153" w:type="pct"/>
          </w:tcPr>
          <w:p w14:paraId="6B80984A"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11. Czy i jak projekty POIiŚ wpływają na możliwość planowania, organizowania i zarządzania transportem zbiorowym (planowanie i dynamiczna zmiana rozkładów jazdy, nadzór ruchu, dyspozytorskie zarządzanie sytuacją awaryjną)? Czy zmienił się czas likwidacji zdarzeń w sieci transportowej i przywracania ruchu?</w:t>
            </w:r>
          </w:p>
        </w:tc>
        <w:tc>
          <w:tcPr>
            <w:tcW w:w="1435" w:type="pct"/>
          </w:tcPr>
          <w:p w14:paraId="5605865C" w14:textId="77777777" w:rsidR="00F462AD" w:rsidRPr="00002FD4" w:rsidRDefault="00F462AD"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Czas likwidacji zdarzeń w sieci transportowej i przywracania ruchu</w:t>
            </w:r>
          </w:p>
          <w:p w14:paraId="3F5F4100" w14:textId="421C9D01" w:rsidR="00AF35C9" w:rsidRPr="00002FD4" w:rsidRDefault="00AF35C9"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Narzędzia organizatorów do planowania, organizowania i zarządzania transportem</w:t>
            </w:r>
          </w:p>
        </w:tc>
        <w:tc>
          <w:tcPr>
            <w:tcW w:w="666" w:type="pct"/>
          </w:tcPr>
          <w:p w14:paraId="0AB78457" w14:textId="77777777" w:rsidR="00F462AD" w:rsidRPr="00002FD4" w:rsidRDefault="00F462AD"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Badanie ankietowe wśród miast</w:t>
            </w:r>
          </w:p>
          <w:p w14:paraId="444D690D" w14:textId="49EDA972" w:rsidR="00AF35C9" w:rsidRPr="00002FD4" w:rsidRDefault="00AF35C9"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Wywiady IDI</w:t>
            </w:r>
          </w:p>
        </w:tc>
        <w:tc>
          <w:tcPr>
            <w:tcW w:w="746" w:type="pct"/>
          </w:tcPr>
          <w:p w14:paraId="01B4B1EC" w14:textId="77777777" w:rsidR="00F462AD" w:rsidRPr="00002FD4" w:rsidRDefault="00F462AD"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Porównanie wartości wskaźników kontekstowych</w:t>
            </w:r>
          </w:p>
          <w:p w14:paraId="68C3FF92" w14:textId="06EAB035" w:rsidR="00AF35C9" w:rsidRPr="00002FD4" w:rsidRDefault="00AF35C9" w:rsidP="00F462AD">
            <w:pPr>
              <w:spacing w:before="80" w:after="80"/>
              <w:jc w:val="left"/>
              <w:rPr>
                <w:rFonts w:ascii="Lora" w:eastAsia="Lora" w:hAnsi="Lora" w:cs="Times New Roman"/>
                <w:color w:val="000000" w:themeColor="text1"/>
                <w:sz w:val="18"/>
                <w:szCs w:val="18"/>
              </w:rPr>
            </w:pPr>
            <w:r w:rsidRPr="00002FD4">
              <w:rPr>
                <w:rFonts w:ascii="Lora" w:eastAsia="Lora" w:hAnsi="Lora" w:cs="Times New Roman"/>
                <w:color w:val="000000" w:themeColor="text1"/>
                <w:sz w:val="18"/>
                <w:szCs w:val="18"/>
              </w:rPr>
              <w:t>Przeprowadzenie wywiadów IDI</w:t>
            </w:r>
          </w:p>
        </w:tc>
      </w:tr>
      <w:tr w:rsidR="00F462AD" w:rsidRPr="00E91B7A" w14:paraId="4332FC31" w14:textId="77777777" w:rsidTr="00F462AD">
        <w:trPr>
          <w:trHeight w:val="822"/>
        </w:trPr>
        <w:tc>
          <w:tcPr>
            <w:tcW w:w="2153" w:type="pct"/>
          </w:tcPr>
          <w:p w14:paraId="58E3E07D"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lastRenderedPageBreak/>
              <w:t>12. Czy w wyniku realizacji projektów POIiŚ występuje/wystąpi zmniejszenie zatłoczenia motoryzacyjnego (indywidualnego i zbiorowego) i redukowane są wąskie gardła w transporcie (czy realizacja przyczyniła się do zwiększenia średniej prędkości lub zlikwidowania ograniczenia prędkości np. poprzez wprowadzenie systemu uprzywilejowania dla transportu miejskiego)? - analiza na całej sieci (z uwzględnieniem różnych gałęzi transportu). Czy problem zatłoczenia został rozwiązany czy przeniesiony na inny obszar miasta?</w:t>
            </w:r>
          </w:p>
        </w:tc>
        <w:tc>
          <w:tcPr>
            <w:tcW w:w="1435" w:type="pct"/>
          </w:tcPr>
          <w:p w14:paraId="1D47C179"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Średni czas przejazdu w godzinach szczytu i poza nimi (w wybranych relacjach)</w:t>
            </w:r>
          </w:p>
          <w:p w14:paraId="39280955" w14:textId="6FB3CDF4"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Średnia prędkość przejazdu w godzinach szczytu i poza nimi (w wybranych relacjach)</w:t>
            </w:r>
          </w:p>
        </w:tc>
        <w:tc>
          <w:tcPr>
            <w:tcW w:w="666" w:type="pct"/>
          </w:tcPr>
          <w:p w14:paraId="4C4C4963"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W transporcie indywidualnym – API Google </w:t>
            </w:r>
            <w:proofErr w:type="spellStart"/>
            <w:r w:rsidRPr="009C3BAF">
              <w:rPr>
                <w:rFonts w:ascii="Lora" w:eastAsia="Lora" w:hAnsi="Lora" w:cs="Times New Roman"/>
                <w:color w:val="000000"/>
                <w:sz w:val="18"/>
                <w:szCs w:val="18"/>
              </w:rPr>
              <w:t>Maps</w:t>
            </w:r>
            <w:proofErr w:type="spellEnd"/>
          </w:p>
          <w:p w14:paraId="4FFAC743" w14:textId="71D62EE9"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W transporcie zbiorowym – systemy ITS, autokomputery lub rozkład jazdy</w:t>
            </w:r>
          </w:p>
        </w:tc>
        <w:tc>
          <w:tcPr>
            <w:tcW w:w="746" w:type="pct"/>
          </w:tcPr>
          <w:p w14:paraId="62BB36D2" w14:textId="5AAD4200" w:rsidR="00F462AD"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Oszacowanie efektu netto dla odcinków (PSM)</w:t>
            </w:r>
          </w:p>
        </w:tc>
      </w:tr>
      <w:tr w:rsidR="00F462AD" w:rsidRPr="00E91B7A" w14:paraId="1B9A937F" w14:textId="77777777" w:rsidTr="00F462AD">
        <w:trPr>
          <w:cnfStyle w:val="000000100000" w:firstRow="0" w:lastRow="0" w:firstColumn="0" w:lastColumn="0" w:oddVBand="0" w:evenVBand="0" w:oddHBand="1" w:evenHBand="0" w:firstRowFirstColumn="0" w:firstRowLastColumn="0" w:lastRowFirstColumn="0" w:lastRowLastColumn="0"/>
          <w:trHeight w:val="112"/>
        </w:trPr>
        <w:tc>
          <w:tcPr>
            <w:tcW w:w="2153" w:type="pct"/>
          </w:tcPr>
          <w:p w14:paraId="1601BED7"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13. Jakie uzupełniające projekty transportowe (np. zwiększenie przepustowości skrzyżowań rozwiązaniami bezkolizyjnymi, budowa łącznic, przebicia kwartałów, tworzenie nowych relacji na skrzyżowaniach i rozjazdach) mogą w znaczący sposób zwiększyć efektywność systemu transportowego miast (tak w zakresie infrastruktury drogowej, jak i kolejowej)?</w:t>
            </w:r>
          </w:p>
        </w:tc>
        <w:tc>
          <w:tcPr>
            <w:tcW w:w="1435" w:type="pct"/>
          </w:tcPr>
          <w:p w14:paraId="52A4D1F8" w14:textId="149EE463" w:rsidR="005F5569" w:rsidRPr="009C3BAF" w:rsidRDefault="005F5569" w:rsidP="005F5569">
            <w:pPr>
              <w:jc w:val="left"/>
              <w:rPr>
                <w:sz w:val="18"/>
                <w:szCs w:val="18"/>
              </w:rPr>
            </w:pPr>
            <w:r w:rsidRPr="009C3BAF">
              <w:rPr>
                <w:sz w:val="18"/>
                <w:szCs w:val="18"/>
              </w:rPr>
              <w:t>Długość buspasów</w:t>
            </w:r>
          </w:p>
          <w:p w14:paraId="5C030C2E" w14:textId="4614BA84" w:rsidR="00F462AD" w:rsidRPr="009C3BAF" w:rsidRDefault="005F5569" w:rsidP="005F5569">
            <w:pPr>
              <w:spacing w:before="80" w:after="80"/>
              <w:jc w:val="left"/>
              <w:rPr>
                <w:rFonts w:ascii="Lora" w:eastAsia="Lora" w:hAnsi="Lora" w:cs="Times New Roman"/>
                <w:color w:val="000000"/>
                <w:sz w:val="18"/>
                <w:szCs w:val="18"/>
              </w:rPr>
            </w:pPr>
            <w:r w:rsidRPr="009C3BAF">
              <w:rPr>
                <w:sz w:val="18"/>
                <w:szCs w:val="18"/>
              </w:rPr>
              <w:t>Liczba zainstalowanych inteligentnych systemów transportowych</w:t>
            </w:r>
          </w:p>
        </w:tc>
        <w:tc>
          <w:tcPr>
            <w:tcW w:w="666" w:type="pct"/>
          </w:tcPr>
          <w:p w14:paraId="346FC3B5" w14:textId="77777777" w:rsidR="00F462AD"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BDL GUS</w:t>
            </w:r>
          </w:p>
          <w:p w14:paraId="7BF724E3" w14:textId="70607098" w:rsidR="005F5569"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SL2014</w:t>
            </w:r>
            <w:r w:rsidR="00423746" w:rsidRPr="009C3BAF">
              <w:rPr>
                <w:rFonts w:ascii="Lora" w:eastAsia="Lora" w:hAnsi="Lora" w:cs="Times New Roman"/>
                <w:color w:val="000000"/>
                <w:sz w:val="18"/>
                <w:szCs w:val="18"/>
              </w:rPr>
              <w:t xml:space="preserve"> (uzupełnienie na etapie badania </w:t>
            </w:r>
            <w:r w:rsidR="00423746"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00423746" w:rsidRPr="00307E9E">
              <w:rPr>
                <w:rFonts w:ascii="Lora" w:eastAsia="Lora" w:hAnsi="Lora" w:cs="Times New Roman"/>
                <w:i/>
                <w:color w:val="000000"/>
                <w:sz w:val="18"/>
                <w:szCs w:val="18"/>
              </w:rPr>
              <w:t>post</w:t>
            </w:r>
            <w:r w:rsidR="00423746" w:rsidRPr="009C3BAF">
              <w:rPr>
                <w:rFonts w:ascii="Lora" w:eastAsia="Lora" w:hAnsi="Lora" w:cs="Times New Roman"/>
                <w:color w:val="000000"/>
                <w:sz w:val="18"/>
                <w:szCs w:val="18"/>
              </w:rPr>
              <w:t>)</w:t>
            </w:r>
          </w:p>
        </w:tc>
        <w:tc>
          <w:tcPr>
            <w:tcW w:w="746" w:type="pct"/>
          </w:tcPr>
          <w:p w14:paraId="534F130C" w14:textId="26AE3E16" w:rsidR="00423746"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tc>
      </w:tr>
      <w:tr w:rsidR="00F462AD" w:rsidRPr="00E91B7A" w14:paraId="185A1570" w14:textId="77777777" w:rsidTr="00F462AD">
        <w:trPr>
          <w:trHeight w:val="520"/>
        </w:trPr>
        <w:tc>
          <w:tcPr>
            <w:tcW w:w="2153" w:type="pct"/>
          </w:tcPr>
          <w:p w14:paraId="14192457"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14. W jaki sposób realizacja POIiŚ przyczyniła się do zwiększenia efektywności przewozów (lepszego wykorzystania miejsc w taborze, zwiększenia liczby przejazdów, powiązania różnych środków transportu dzięki dostosowaniu rozkładu do potrzeb pasażerów, zliczaniu pasażerów itp.)?</w:t>
            </w:r>
          </w:p>
        </w:tc>
        <w:tc>
          <w:tcPr>
            <w:tcW w:w="1435" w:type="pct"/>
          </w:tcPr>
          <w:p w14:paraId="0699C46D" w14:textId="38D65F2F" w:rsidR="005F5569" w:rsidRPr="009C3BAF" w:rsidRDefault="005F5569" w:rsidP="005F5569">
            <w:pPr>
              <w:jc w:val="left"/>
              <w:rPr>
                <w:sz w:val="18"/>
                <w:szCs w:val="18"/>
              </w:rPr>
            </w:pPr>
            <w:r w:rsidRPr="009C3BAF">
              <w:rPr>
                <w:sz w:val="18"/>
                <w:szCs w:val="18"/>
              </w:rPr>
              <w:t>Praca eksploatacyjna w przeliczeniu na liczbę pojazdów w ruchu</w:t>
            </w:r>
          </w:p>
          <w:p w14:paraId="54114D38" w14:textId="23BE84D4" w:rsidR="005F5569" w:rsidRPr="00002FD4" w:rsidRDefault="00002FD4" w:rsidP="005F5569">
            <w:pPr>
              <w:jc w:val="left"/>
              <w:rPr>
                <w:color w:val="000000" w:themeColor="text1"/>
                <w:sz w:val="18"/>
                <w:szCs w:val="18"/>
              </w:rPr>
            </w:pPr>
            <w:r w:rsidRPr="00002FD4">
              <w:rPr>
                <w:color w:val="000000" w:themeColor="text1"/>
                <w:sz w:val="18"/>
                <w:szCs w:val="18"/>
              </w:rPr>
              <w:t xml:space="preserve">Liczba kursów na godzinę szczytu </w:t>
            </w:r>
            <w:r w:rsidRPr="00002FD4">
              <w:rPr>
                <w:color w:val="000000" w:themeColor="text1"/>
                <w:sz w:val="18"/>
                <w:szCs w:val="18"/>
              </w:rPr>
              <w:br/>
              <w:t>w relacjach przesiadkowych</w:t>
            </w:r>
          </w:p>
          <w:p w14:paraId="2393CFBC" w14:textId="2A7050C9" w:rsidR="00F462AD" w:rsidRPr="009C3BAF" w:rsidRDefault="005F5569" w:rsidP="005F5569">
            <w:pPr>
              <w:spacing w:before="80" w:after="80"/>
              <w:jc w:val="left"/>
              <w:rPr>
                <w:rFonts w:ascii="Lora" w:eastAsia="Lora" w:hAnsi="Lora" w:cs="Times New Roman"/>
                <w:color w:val="000000"/>
                <w:sz w:val="18"/>
                <w:szCs w:val="18"/>
              </w:rPr>
            </w:pPr>
            <w:r w:rsidRPr="009C3BAF">
              <w:rPr>
                <w:sz w:val="18"/>
                <w:szCs w:val="18"/>
              </w:rPr>
              <w:t>Ocena elementów taboru wpływających na komfort podróży</w:t>
            </w:r>
          </w:p>
        </w:tc>
        <w:tc>
          <w:tcPr>
            <w:tcW w:w="666" w:type="pct"/>
          </w:tcPr>
          <w:p w14:paraId="2B7007EB" w14:textId="03EC9A6A" w:rsidR="00002FD4"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4D3434FD" w14:textId="3F29D65A" w:rsidR="00002FD4" w:rsidRPr="009C3BAF" w:rsidRDefault="00002FD4"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Studia przypadku</w:t>
            </w:r>
          </w:p>
          <w:p w14:paraId="5777BAE2" w14:textId="77777777" w:rsidR="005F5569" w:rsidRPr="009C3BAF" w:rsidRDefault="005F5569" w:rsidP="00F462AD">
            <w:pPr>
              <w:spacing w:before="80" w:after="80"/>
              <w:jc w:val="left"/>
              <w:rPr>
                <w:rFonts w:ascii="Lora" w:eastAsia="Lora" w:hAnsi="Lora" w:cs="Times New Roman"/>
                <w:color w:val="000000"/>
                <w:sz w:val="18"/>
                <w:szCs w:val="18"/>
              </w:rPr>
            </w:pPr>
          </w:p>
          <w:p w14:paraId="789526A0" w14:textId="4261EEC4" w:rsidR="005F5569"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03105235" w14:textId="3D30F3CA" w:rsidR="005F5569" w:rsidRPr="009C3BAF" w:rsidRDefault="005F5569" w:rsidP="005F5569">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0C5D8B5E" w14:textId="77777777" w:rsidR="005F5569" w:rsidRPr="009C3BAF" w:rsidRDefault="005F5569" w:rsidP="005F5569">
            <w:pPr>
              <w:spacing w:before="80" w:after="80"/>
              <w:jc w:val="left"/>
              <w:rPr>
                <w:rFonts w:ascii="Lora" w:eastAsia="Lora" w:hAnsi="Lora" w:cs="Times New Roman"/>
                <w:color w:val="000000"/>
                <w:sz w:val="18"/>
                <w:szCs w:val="18"/>
              </w:rPr>
            </w:pPr>
          </w:p>
          <w:p w14:paraId="0CF7C555" w14:textId="65B6E6CC" w:rsidR="00F462AD" w:rsidRPr="009C3BAF" w:rsidRDefault="005F5569" w:rsidP="005F5569">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Przeprowadzenie panelu CAWI</w:t>
            </w:r>
            <w:r w:rsidR="00813B5D">
              <w:rPr>
                <w:rFonts w:ascii="Lora" w:eastAsia="Lora" w:hAnsi="Lora" w:cs="Times New Roman"/>
                <w:color w:val="000000"/>
                <w:sz w:val="18"/>
                <w:szCs w:val="18"/>
              </w:rPr>
              <w:t xml:space="preserve">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tc>
      </w:tr>
      <w:tr w:rsidR="00F462AD" w:rsidRPr="00E91B7A" w14:paraId="53961540" w14:textId="77777777" w:rsidTr="00F462AD">
        <w:trPr>
          <w:cnfStyle w:val="000000100000" w:firstRow="0" w:lastRow="0" w:firstColumn="0" w:lastColumn="0" w:oddVBand="0" w:evenVBand="0" w:oddHBand="1" w:evenHBand="0" w:firstRowFirstColumn="0" w:firstRowLastColumn="0" w:lastRowFirstColumn="0" w:lastRowLastColumn="0"/>
          <w:trHeight w:val="80"/>
        </w:trPr>
        <w:tc>
          <w:tcPr>
            <w:tcW w:w="2153" w:type="pct"/>
          </w:tcPr>
          <w:p w14:paraId="52F52F12"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15. W jakim stopniu inwestycje z VI osi priorytetowej POIiŚ 2014-2020 wpływają na rozbudowę sieci szynowej oraz połączeń autobusowych?</w:t>
            </w:r>
          </w:p>
        </w:tc>
        <w:tc>
          <w:tcPr>
            <w:tcW w:w="1435" w:type="pct"/>
          </w:tcPr>
          <w:p w14:paraId="65FC28CB" w14:textId="60D05360" w:rsidR="005F5569" w:rsidRPr="009C3BAF" w:rsidRDefault="005F5569" w:rsidP="005F5569">
            <w:pPr>
              <w:jc w:val="left"/>
              <w:rPr>
                <w:sz w:val="18"/>
                <w:szCs w:val="18"/>
              </w:rPr>
            </w:pPr>
            <w:r w:rsidRPr="009C3BAF">
              <w:rPr>
                <w:sz w:val="18"/>
                <w:szCs w:val="18"/>
              </w:rPr>
              <w:t xml:space="preserve">Praca eksploatacyjna w przeliczeniu na łączną długość linii komunikacyjnych </w:t>
            </w:r>
          </w:p>
          <w:p w14:paraId="231BA706" w14:textId="391474C4" w:rsidR="00F462AD" w:rsidRPr="009C3BAF" w:rsidRDefault="005F5569" w:rsidP="005F5569">
            <w:pPr>
              <w:spacing w:before="80" w:after="80"/>
              <w:jc w:val="left"/>
              <w:rPr>
                <w:rFonts w:ascii="Lora" w:eastAsia="Lora" w:hAnsi="Lora" w:cs="Times New Roman"/>
                <w:color w:val="000000"/>
                <w:sz w:val="18"/>
                <w:szCs w:val="18"/>
              </w:rPr>
            </w:pPr>
            <w:r w:rsidRPr="009C3BAF">
              <w:rPr>
                <w:sz w:val="18"/>
                <w:szCs w:val="18"/>
              </w:rPr>
              <w:t xml:space="preserve">Długość wybudowanej i przebudowanej infrastruktury tramwajowej i trolejbusowej </w:t>
            </w:r>
          </w:p>
        </w:tc>
        <w:tc>
          <w:tcPr>
            <w:tcW w:w="666" w:type="pct"/>
          </w:tcPr>
          <w:p w14:paraId="5702DD38" w14:textId="77777777" w:rsidR="00F462AD"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76E350B7" w14:textId="168D3C29" w:rsidR="005F5569"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SL2014</w:t>
            </w:r>
            <w:r w:rsidR="00423746" w:rsidRPr="009C3BAF">
              <w:rPr>
                <w:rFonts w:ascii="Lora" w:eastAsia="Lora" w:hAnsi="Lora" w:cs="Times New Roman"/>
                <w:color w:val="000000"/>
                <w:sz w:val="18"/>
                <w:szCs w:val="18"/>
              </w:rPr>
              <w:t xml:space="preserve"> (uzupełnienie na etapie badania </w:t>
            </w:r>
            <w:r w:rsidR="00423746"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00423746" w:rsidRPr="00307E9E">
              <w:rPr>
                <w:rFonts w:ascii="Lora" w:eastAsia="Lora" w:hAnsi="Lora" w:cs="Times New Roman"/>
                <w:i/>
                <w:color w:val="000000"/>
                <w:sz w:val="18"/>
                <w:szCs w:val="18"/>
              </w:rPr>
              <w:t>post</w:t>
            </w:r>
            <w:r w:rsidR="00423746" w:rsidRPr="009C3BAF">
              <w:rPr>
                <w:rFonts w:ascii="Lora" w:eastAsia="Lora" w:hAnsi="Lora" w:cs="Times New Roman"/>
                <w:color w:val="000000"/>
                <w:sz w:val="18"/>
                <w:szCs w:val="18"/>
              </w:rPr>
              <w:t>)</w:t>
            </w:r>
          </w:p>
        </w:tc>
        <w:tc>
          <w:tcPr>
            <w:tcW w:w="746" w:type="pct"/>
          </w:tcPr>
          <w:p w14:paraId="099C7DE3" w14:textId="57B32B14" w:rsidR="00F462AD" w:rsidRPr="009C3BAF" w:rsidRDefault="005F5569"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tc>
      </w:tr>
      <w:tr w:rsidR="00F462AD" w:rsidRPr="00E91B7A" w14:paraId="7606AAB6" w14:textId="77777777" w:rsidTr="00F462AD">
        <w:trPr>
          <w:trHeight w:val="80"/>
        </w:trPr>
        <w:tc>
          <w:tcPr>
            <w:tcW w:w="2153" w:type="pct"/>
          </w:tcPr>
          <w:p w14:paraId="3FBA2366"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lastRenderedPageBreak/>
              <w:t>16. Czy i w jaki sposób projekty VI OP POIiŚ wpływają na konkurencyjność zbiorowego transportu miejskiego? Jaki jest podział zadań przewozowych?</w:t>
            </w:r>
          </w:p>
        </w:tc>
        <w:tc>
          <w:tcPr>
            <w:tcW w:w="1435" w:type="pct"/>
          </w:tcPr>
          <w:p w14:paraId="65F37A16" w14:textId="3B77A903" w:rsidR="00F462AD" w:rsidRPr="009C3BAF" w:rsidRDefault="00F462AD" w:rsidP="00F462AD">
            <w:pPr>
              <w:jc w:val="left"/>
              <w:rPr>
                <w:sz w:val="18"/>
                <w:szCs w:val="18"/>
              </w:rPr>
            </w:pPr>
            <w:r w:rsidRPr="009C3BAF">
              <w:rPr>
                <w:sz w:val="18"/>
                <w:szCs w:val="18"/>
              </w:rPr>
              <w:t>Koszt regularnej podróży transportem zbiorowym (stanowiący sumę iloczynu czasu podróży i jednostkowych kosztów czasu oraz ceny biletu okresowego) a indywidualnym</w:t>
            </w:r>
          </w:p>
          <w:p w14:paraId="489F7F06" w14:textId="77777777" w:rsidR="00F462AD" w:rsidRPr="009C3BAF" w:rsidRDefault="00F462AD" w:rsidP="00F462AD">
            <w:pPr>
              <w:jc w:val="left"/>
              <w:rPr>
                <w:sz w:val="18"/>
                <w:szCs w:val="18"/>
              </w:rPr>
            </w:pPr>
            <w:r w:rsidRPr="009C3BAF">
              <w:rPr>
                <w:sz w:val="18"/>
                <w:szCs w:val="18"/>
              </w:rPr>
              <w:t>Liczba przewiezionych pasażerów ogółem, w przeliczeniu na mieszkańca obszaru funkcjonalnego (badanie ankietowe wśród miast, BDL GUS)</w:t>
            </w:r>
          </w:p>
          <w:p w14:paraId="62ECD027" w14:textId="61BD3F09" w:rsidR="00F462AD" w:rsidRPr="009C3BAF" w:rsidRDefault="00F462AD" w:rsidP="00F462AD">
            <w:pPr>
              <w:spacing w:before="80" w:after="80"/>
              <w:jc w:val="left"/>
              <w:rPr>
                <w:rFonts w:ascii="Lora" w:eastAsia="Lora" w:hAnsi="Lora" w:cs="Times New Roman"/>
                <w:color w:val="000000"/>
                <w:sz w:val="18"/>
                <w:szCs w:val="18"/>
              </w:rPr>
            </w:pPr>
            <w:r w:rsidRPr="009C3BAF">
              <w:rPr>
                <w:sz w:val="18"/>
                <w:szCs w:val="18"/>
              </w:rPr>
              <w:t>Częstotliwość korzystania z komunikacji miejskiej</w:t>
            </w:r>
          </w:p>
        </w:tc>
        <w:tc>
          <w:tcPr>
            <w:tcW w:w="666" w:type="pct"/>
          </w:tcPr>
          <w:p w14:paraId="074E6C52" w14:textId="77777777" w:rsidR="00F462AD" w:rsidRPr="009C3BAF" w:rsidRDefault="00F462AD" w:rsidP="00F462AD">
            <w:pPr>
              <w:spacing w:before="80" w:after="80"/>
              <w:jc w:val="left"/>
              <w:rPr>
                <w:rFonts w:ascii="Lora" w:eastAsia="Lora" w:hAnsi="Lora" w:cs="Times New Roman"/>
                <w:color w:val="000000"/>
                <w:sz w:val="18"/>
                <w:szCs w:val="18"/>
              </w:rPr>
            </w:pPr>
          </w:p>
          <w:p w14:paraId="0CBA2D83" w14:textId="18C1BA60"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Badanie </w:t>
            </w:r>
            <w:r w:rsidR="00AE21D2" w:rsidRPr="00AE21D2">
              <w:rPr>
                <w:rFonts w:ascii="Lora" w:eastAsia="Lora" w:hAnsi="Lora" w:cs="Times New Roman"/>
                <w:i/>
                <w:color w:val="000000"/>
                <w:sz w:val="18"/>
                <w:szCs w:val="18"/>
              </w:rPr>
              <w:t>b</w:t>
            </w:r>
            <w:r w:rsidRPr="00AE21D2">
              <w:rPr>
                <w:rFonts w:ascii="Lora" w:eastAsia="Lora" w:hAnsi="Lora" w:cs="Times New Roman"/>
                <w:i/>
                <w:color w:val="000000"/>
                <w:sz w:val="18"/>
                <w:szCs w:val="18"/>
              </w:rPr>
              <w:t>i</w:t>
            </w:r>
            <w:r w:rsidR="00AE21D2" w:rsidRPr="00AE21D2">
              <w:rPr>
                <w:rFonts w:ascii="Lora" w:eastAsia="Lora" w:hAnsi="Lora" w:cs="Times New Roman"/>
                <w:i/>
                <w:color w:val="000000"/>
                <w:sz w:val="18"/>
                <w:szCs w:val="18"/>
              </w:rPr>
              <w:t>g d</w:t>
            </w:r>
            <w:r w:rsidRPr="00AE21D2">
              <w:rPr>
                <w:rFonts w:ascii="Lora" w:eastAsia="Lora" w:hAnsi="Lora" w:cs="Times New Roman"/>
                <w:i/>
                <w:color w:val="000000"/>
                <w:sz w:val="18"/>
                <w:szCs w:val="18"/>
              </w:rPr>
              <w:t>ata</w:t>
            </w:r>
          </w:p>
          <w:p w14:paraId="5423B165" w14:textId="1C0EB73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Dane Jaspers</w:t>
            </w:r>
          </w:p>
          <w:p w14:paraId="7B977645" w14:textId="77777777" w:rsidR="00F462AD" w:rsidRPr="009C3BAF" w:rsidRDefault="00F462AD" w:rsidP="00F462AD">
            <w:pPr>
              <w:spacing w:before="80" w:after="80"/>
              <w:jc w:val="left"/>
              <w:rPr>
                <w:rFonts w:ascii="Lora" w:eastAsia="Lora" w:hAnsi="Lora" w:cs="Times New Roman"/>
                <w:color w:val="000000"/>
                <w:sz w:val="18"/>
                <w:szCs w:val="18"/>
              </w:rPr>
            </w:pPr>
          </w:p>
          <w:p w14:paraId="4C79D6BA" w14:textId="2B4838DD"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7156934E" w14:textId="3428161C"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BDL GUS</w:t>
            </w:r>
          </w:p>
          <w:p w14:paraId="4D1E457D" w14:textId="77777777" w:rsidR="00F462AD" w:rsidRPr="009C3BAF" w:rsidRDefault="00F462AD" w:rsidP="00F462AD">
            <w:pPr>
              <w:spacing w:before="80" w:after="80"/>
              <w:jc w:val="left"/>
              <w:rPr>
                <w:rFonts w:ascii="Lora" w:eastAsia="Lora" w:hAnsi="Lora" w:cs="Times New Roman"/>
                <w:color w:val="000000"/>
                <w:sz w:val="18"/>
                <w:szCs w:val="18"/>
              </w:rPr>
            </w:pPr>
          </w:p>
          <w:p w14:paraId="31FA48AD" w14:textId="0DFA989C"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Panel CAWI</w:t>
            </w:r>
          </w:p>
        </w:tc>
        <w:tc>
          <w:tcPr>
            <w:tcW w:w="746" w:type="pct"/>
          </w:tcPr>
          <w:p w14:paraId="6185343D" w14:textId="77777777" w:rsidR="00F462AD" w:rsidRPr="009C3BAF" w:rsidRDefault="00F462AD" w:rsidP="00F462AD">
            <w:pPr>
              <w:spacing w:before="80" w:after="80"/>
              <w:jc w:val="left"/>
              <w:rPr>
                <w:rFonts w:ascii="Lora" w:eastAsia="Lora" w:hAnsi="Lora" w:cs="Times New Roman"/>
                <w:color w:val="000000"/>
                <w:sz w:val="18"/>
                <w:szCs w:val="18"/>
              </w:rPr>
            </w:pPr>
          </w:p>
          <w:p w14:paraId="6AC64B06" w14:textId="77777777" w:rsidR="00F462AD" w:rsidRPr="009C3BAF" w:rsidRDefault="00F462AD" w:rsidP="00F462AD">
            <w:pPr>
              <w:spacing w:before="80" w:after="80"/>
              <w:jc w:val="left"/>
              <w:rPr>
                <w:rFonts w:ascii="Lora" w:eastAsia="Lora" w:hAnsi="Lora" w:cs="Times New Roman"/>
                <w:color w:val="000000"/>
                <w:sz w:val="18"/>
                <w:szCs w:val="18"/>
              </w:rPr>
            </w:pPr>
          </w:p>
          <w:p w14:paraId="2C3436C4" w14:textId="77777777" w:rsidR="00F462AD" w:rsidRPr="009C3BAF" w:rsidRDefault="00F462AD" w:rsidP="00F462AD">
            <w:pPr>
              <w:spacing w:before="80" w:after="80"/>
              <w:jc w:val="left"/>
              <w:rPr>
                <w:rFonts w:ascii="Lora" w:eastAsia="Lora" w:hAnsi="Lora" w:cs="Times New Roman"/>
                <w:color w:val="000000"/>
                <w:sz w:val="18"/>
                <w:szCs w:val="18"/>
              </w:rPr>
            </w:pPr>
          </w:p>
          <w:p w14:paraId="77ED1F5D" w14:textId="54391054"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p w14:paraId="4DF8E07C" w14:textId="2E527B6D" w:rsidR="00F462AD" w:rsidRPr="009C3BAF" w:rsidRDefault="00F462AD" w:rsidP="00F462AD">
            <w:pPr>
              <w:spacing w:before="80" w:after="80"/>
              <w:jc w:val="left"/>
              <w:rPr>
                <w:rFonts w:ascii="Lora" w:eastAsia="Lora" w:hAnsi="Lora" w:cs="Times New Roman"/>
                <w:color w:val="000000"/>
                <w:sz w:val="18"/>
                <w:szCs w:val="18"/>
              </w:rPr>
            </w:pPr>
          </w:p>
          <w:p w14:paraId="2D55C6C3" w14:textId="77777777" w:rsidR="00F462AD" w:rsidRPr="009C3BAF" w:rsidRDefault="00F462AD" w:rsidP="00F462AD">
            <w:pPr>
              <w:spacing w:before="80" w:after="80"/>
              <w:jc w:val="left"/>
              <w:rPr>
                <w:rFonts w:ascii="Lora" w:eastAsia="Lora" w:hAnsi="Lora" w:cs="Times New Roman"/>
                <w:color w:val="000000"/>
                <w:sz w:val="18"/>
                <w:szCs w:val="18"/>
              </w:rPr>
            </w:pPr>
          </w:p>
          <w:p w14:paraId="69C2ECE3" w14:textId="7AFD04A3"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 xml:space="preserve">Przeprowadzenie panelu CAWI </w:t>
            </w:r>
            <w:r w:rsidRPr="00307E9E">
              <w:rPr>
                <w:rFonts w:ascii="Lora" w:eastAsia="Lora" w:hAnsi="Lora" w:cs="Times New Roman"/>
                <w:i/>
                <w:color w:val="000000"/>
                <w:sz w:val="18"/>
                <w:szCs w:val="18"/>
              </w:rPr>
              <w:t>ex</w:t>
            </w:r>
            <w:r w:rsidR="00760E00">
              <w:rPr>
                <w:rFonts w:ascii="Lora" w:eastAsia="Lora" w:hAnsi="Lora" w:cs="Times New Roman"/>
                <w:i/>
                <w:color w:val="000000"/>
                <w:sz w:val="18"/>
                <w:szCs w:val="18"/>
              </w:rPr>
              <w:t xml:space="preserve"> </w:t>
            </w:r>
            <w:r w:rsidRPr="00307E9E">
              <w:rPr>
                <w:rFonts w:ascii="Lora" w:eastAsia="Lora" w:hAnsi="Lora" w:cs="Times New Roman"/>
                <w:i/>
                <w:color w:val="000000"/>
                <w:sz w:val="18"/>
                <w:szCs w:val="18"/>
              </w:rPr>
              <w:t>post</w:t>
            </w:r>
          </w:p>
        </w:tc>
      </w:tr>
      <w:tr w:rsidR="00F462AD" w:rsidRPr="00E91B7A" w14:paraId="0ADC0DD3" w14:textId="77777777" w:rsidTr="00F462AD">
        <w:trPr>
          <w:cnfStyle w:val="000000100000" w:firstRow="0" w:lastRow="0" w:firstColumn="0" w:lastColumn="0" w:oddVBand="0" w:evenVBand="0" w:oddHBand="1" w:evenHBand="0" w:firstRowFirstColumn="0" w:firstRowLastColumn="0" w:lastRowFirstColumn="0" w:lastRowLastColumn="0"/>
          <w:trHeight w:val="80"/>
        </w:trPr>
        <w:tc>
          <w:tcPr>
            <w:tcW w:w="2153" w:type="pct"/>
          </w:tcPr>
          <w:p w14:paraId="78CFF7AF"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17. Czy i w jakim stopniu inwestycje z VI OP POIiŚ 2014-2020 wpływają na poprawę dostępności komunikacyjnej wewnątrz miast i między miastami a ich obszarami funkcjonalnymi?</w:t>
            </w:r>
          </w:p>
        </w:tc>
        <w:tc>
          <w:tcPr>
            <w:tcW w:w="1435" w:type="pct"/>
          </w:tcPr>
          <w:p w14:paraId="7C7304CA" w14:textId="6E437EEB" w:rsidR="00F462AD" w:rsidRPr="009C3BAF" w:rsidRDefault="00F462AD" w:rsidP="00F462AD">
            <w:pPr>
              <w:jc w:val="left"/>
              <w:rPr>
                <w:sz w:val="18"/>
                <w:szCs w:val="18"/>
              </w:rPr>
            </w:pPr>
            <w:r w:rsidRPr="009C3BAF">
              <w:rPr>
                <w:sz w:val="18"/>
                <w:szCs w:val="18"/>
              </w:rPr>
              <w:t>Przychody ze sprzedaży biletów ogółem, w przeliczeniu na mieszkańca obszaru funkcjonalnego, mieszkańca miasta-rdzenia i mieszkańca gmin partnerskich</w:t>
            </w:r>
          </w:p>
          <w:p w14:paraId="5D5DE03F" w14:textId="3F505B4E" w:rsidR="00F462AD" w:rsidRPr="009C3BAF" w:rsidRDefault="00F462AD" w:rsidP="00F462AD">
            <w:pPr>
              <w:spacing w:before="80" w:after="80"/>
              <w:jc w:val="left"/>
              <w:rPr>
                <w:rFonts w:ascii="Lora" w:eastAsia="Lora" w:hAnsi="Lora" w:cs="Times New Roman"/>
                <w:color w:val="000000"/>
                <w:sz w:val="18"/>
                <w:szCs w:val="18"/>
              </w:rPr>
            </w:pPr>
            <w:r w:rsidRPr="009C3BAF">
              <w:rPr>
                <w:sz w:val="18"/>
                <w:szCs w:val="18"/>
              </w:rPr>
              <w:t>Liczba przewiezionych pasażerów ogółem, w przeliczeniu na mieszkańca obszaru funkcjonalnego, mieszkańca miasta-rdzenia i mieszkańca gmin partnerskich</w:t>
            </w:r>
          </w:p>
        </w:tc>
        <w:tc>
          <w:tcPr>
            <w:tcW w:w="666" w:type="pct"/>
          </w:tcPr>
          <w:p w14:paraId="54FB6DA4" w14:textId="77777777"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Badanie ankietowe wśród miast</w:t>
            </w:r>
          </w:p>
          <w:p w14:paraId="7570AB79" w14:textId="62038C8B"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BDL GUS</w:t>
            </w:r>
          </w:p>
        </w:tc>
        <w:tc>
          <w:tcPr>
            <w:tcW w:w="746" w:type="pct"/>
          </w:tcPr>
          <w:p w14:paraId="7E6F31F2" w14:textId="1B7E00D6" w:rsidR="00F462AD" w:rsidRPr="009C3BAF" w:rsidRDefault="00F462AD" w:rsidP="00F462AD">
            <w:pPr>
              <w:spacing w:before="80" w:after="80"/>
              <w:jc w:val="left"/>
              <w:rPr>
                <w:rFonts w:ascii="Lora" w:eastAsia="Lora" w:hAnsi="Lora" w:cs="Times New Roman"/>
                <w:color w:val="000000"/>
                <w:sz w:val="18"/>
                <w:szCs w:val="18"/>
              </w:rPr>
            </w:pPr>
            <w:r w:rsidRPr="009C3BAF">
              <w:rPr>
                <w:rFonts w:ascii="Lora" w:eastAsia="Lora" w:hAnsi="Lora" w:cs="Times New Roman"/>
                <w:color w:val="000000"/>
                <w:sz w:val="18"/>
                <w:szCs w:val="18"/>
              </w:rPr>
              <w:t>Porównanie wartości wskaźników kontekstowych</w:t>
            </w:r>
          </w:p>
        </w:tc>
      </w:tr>
    </w:tbl>
    <w:p w14:paraId="5AEF5893" w14:textId="77777777" w:rsidR="00E91B7A" w:rsidRPr="00E91B7A" w:rsidRDefault="00E91B7A" w:rsidP="00E91B7A">
      <w:pPr>
        <w:pStyle w:val="rdo"/>
      </w:pPr>
      <w:r w:rsidRPr="00E91B7A">
        <w:t>Źródło: opracowanie własne.</w:t>
      </w:r>
    </w:p>
    <w:p w14:paraId="67AD68C8" w14:textId="77777777" w:rsidR="00E91B7A" w:rsidRDefault="00E91B7A" w:rsidP="001C0BFE"/>
    <w:p w14:paraId="490301BD" w14:textId="77777777" w:rsidR="00E91B7A" w:rsidRDefault="00E91B7A" w:rsidP="001C0BFE">
      <w:pPr>
        <w:sectPr w:rsidR="00E91B7A" w:rsidSect="00E91B7A">
          <w:pgSz w:w="16838" w:h="11906" w:orient="landscape"/>
          <w:pgMar w:top="1134" w:right="1418" w:bottom="1134" w:left="1418" w:header="709" w:footer="709" w:gutter="567"/>
          <w:cols w:space="708"/>
          <w:docGrid w:linePitch="360"/>
        </w:sectPr>
      </w:pPr>
    </w:p>
    <w:p w14:paraId="5746E9A8" w14:textId="42F84096" w:rsidR="0038287E" w:rsidRDefault="0038287E" w:rsidP="0038287E">
      <w:pPr>
        <w:pStyle w:val="Nagwek1"/>
      </w:pPr>
      <w:bookmarkStart w:id="234" w:name="_Toc27125357"/>
      <w:r>
        <w:lastRenderedPageBreak/>
        <w:t>Spis tabel</w:t>
      </w:r>
      <w:r w:rsidR="008E2B0C">
        <w:t>, zdjęć</w:t>
      </w:r>
      <w:r>
        <w:t xml:space="preserve"> i </w:t>
      </w:r>
      <w:r w:rsidR="008E2B0C">
        <w:t>rysunków</w:t>
      </w:r>
      <w:bookmarkEnd w:id="234"/>
    </w:p>
    <w:p w14:paraId="5E59A17D" w14:textId="77777777" w:rsidR="00307E9E" w:rsidRDefault="004C5F93" w:rsidP="002071E4">
      <w:pPr>
        <w:pStyle w:val="Podtytu"/>
      </w:pPr>
      <w:r>
        <w:t>SPIS TABEL</w:t>
      </w:r>
    </w:p>
    <w:p w14:paraId="0130ECEC" w14:textId="2F1F203E" w:rsidR="00C93FD7" w:rsidRDefault="004C5F93">
      <w:pPr>
        <w:pStyle w:val="Spisilustracji"/>
        <w:tabs>
          <w:tab w:val="right" w:leader="dot" w:pos="9061"/>
        </w:tabs>
        <w:rPr>
          <w:rFonts w:eastAsiaTheme="minorEastAsia"/>
          <w:noProof/>
          <w:sz w:val="22"/>
          <w:lang w:eastAsia="pl-PL"/>
        </w:rPr>
      </w:pPr>
      <w:r>
        <w:fldChar w:fldCharType="begin"/>
      </w:r>
      <w:r>
        <w:instrText xml:space="preserve"> TOC \h \z \c "Tabela" </w:instrText>
      </w:r>
      <w:r>
        <w:fldChar w:fldCharType="separate"/>
      </w:r>
      <w:hyperlink w:anchor="_Toc27125359" w:history="1">
        <w:r w:rsidR="00C93FD7" w:rsidRPr="00246E95">
          <w:rPr>
            <w:rStyle w:val="Hipercze"/>
            <w:noProof/>
          </w:rPr>
          <w:t>Tabela 1. Przyporządkowanie kryteriów ewaluacyjnych do pytań badawczych</w:t>
        </w:r>
        <w:r w:rsidR="00C93FD7">
          <w:rPr>
            <w:noProof/>
            <w:webHidden/>
          </w:rPr>
          <w:tab/>
        </w:r>
        <w:r w:rsidR="00C93FD7">
          <w:rPr>
            <w:noProof/>
            <w:webHidden/>
          </w:rPr>
          <w:fldChar w:fldCharType="begin"/>
        </w:r>
        <w:r w:rsidR="00C93FD7">
          <w:rPr>
            <w:noProof/>
            <w:webHidden/>
          </w:rPr>
          <w:instrText xml:space="preserve"> PAGEREF _Toc27125359 \h </w:instrText>
        </w:r>
        <w:r w:rsidR="00C93FD7">
          <w:rPr>
            <w:noProof/>
            <w:webHidden/>
          </w:rPr>
        </w:r>
        <w:r w:rsidR="00C93FD7">
          <w:rPr>
            <w:noProof/>
            <w:webHidden/>
          </w:rPr>
          <w:fldChar w:fldCharType="separate"/>
        </w:r>
        <w:r w:rsidR="00C93FD7">
          <w:rPr>
            <w:noProof/>
            <w:webHidden/>
          </w:rPr>
          <w:t>14</w:t>
        </w:r>
        <w:r w:rsidR="00C93FD7">
          <w:rPr>
            <w:noProof/>
            <w:webHidden/>
          </w:rPr>
          <w:fldChar w:fldCharType="end"/>
        </w:r>
      </w:hyperlink>
    </w:p>
    <w:p w14:paraId="4CFDCEEF" w14:textId="69DD5F1F" w:rsidR="00C93FD7" w:rsidRDefault="00C93FD7">
      <w:pPr>
        <w:pStyle w:val="Spisilustracji"/>
        <w:tabs>
          <w:tab w:val="right" w:leader="dot" w:pos="9061"/>
        </w:tabs>
        <w:rPr>
          <w:rFonts w:eastAsiaTheme="minorEastAsia"/>
          <w:noProof/>
          <w:sz w:val="22"/>
          <w:lang w:eastAsia="pl-PL"/>
        </w:rPr>
      </w:pPr>
      <w:hyperlink w:anchor="_Toc27125360" w:history="1">
        <w:r w:rsidRPr="00246E95">
          <w:rPr>
            <w:rStyle w:val="Hipercze"/>
            <w:noProof/>
          </w:rPr>
          <w:t>Tabela 2. Powiązanie pakietów zadań i pojedynczych zadań z celami badania</w:t>
        </w:r>
        <w:r>
          <w:rPr>
            <w:noProof/>
            <w:webHidden/>
          </w:rPr>
          <w:tab/>
        </w:r>
        <w:r>
          <w:rPr>
            <w:noProof/>
            <w:webHidden/>
          </w:rPr>
          <w:fldChar w:fldCharType="begin"/>
        </w:r>
        <w:r>
          <w:rPr>
            <w:noProof/>
            <w:webHidden/>
          </w:rPr>
          <w:instrText xml:space="preserve"> PAGEREF _Toc27125360 \h </w:instrText>
        </w:r>
        <w:r>
          <w:rPr>
            <w:noProof/>
            <w:webHidden/>
          </w:rPr>
        </w:r>
        <w:r>
          <w:rPr>
            <w:noProof/>
            <w:webHidden/>
          </w:rPr>
          <w:fldChar w:fldCharType="separate"/>
        </w:r>
        <w:r>
          <w:rPr>
            <w:noProof/>
            <w:webHidden/>
          </w:rPr>
          <w:t>17</w:t>
        </w:r>
        <w:r>
          <w:rPr>
            <w:noProof/>
            <w:webHidden/>
          </w:rPr>
          <w:fldChar w:fldCharType="end"/>
        </w:r>
      </w:hyperlink>
    </w:p>
    <w:p w14:paraId="3FF87F51" w14:textId="47C143D0" w:rsidR="00C93FD7" w:rsidRDefault="00C93FD7">
      <w:pPr>
        <w:pStyle w:val="Spisilustracji"/>
        <w:tabs>
          <w:tab w:val="right" w:leader="dot" w:pos="9061"/>
        </w:tabs>
        <w:rPr>
          <w:rFonts w:eastAsiaTheme="minorEastAsia"/>
          <w:noProof/>
          <w:sz w:val="22"/>
          <w:lang w:eastAsia="pl-PL"/>
        </w:rPr>
      </w:pPr>
      <w:hyperlink w:anchor="_Toc27125361" w:history="1">
        <w:r w:rsidRPr="00246E95">
          <w:rPr>
            <w:rStyle w:val="Hipercze"/>
            <w:noProof/>
          </w:rPr>
          <w:t>Tabela 3. Metodyka badania</w:t>
        </w:r>
        <w:r>
          <w:rPr>
            <w:noProof/>
            <w:webHidden/>
          </w:rPr>
          <w:tab/>
        </w:r>
        <w:r>
          <w:rPr>
            <w:noProof/>
            <w:webHidden/>
          </w:rPr>
          <w:fldChar w:fldCharType="begin"/>
        </w:r>
        <w:r>
          <w:rPr>
            <w:noProof/>
            <w:webHidden/>
          </w:rPr>
          <w:instrText xml:space="preserve"> PAGEREF _Toc27125361 \h </w:instrText>
        </w:r>
        <w:r>
          <w:rPr>
            <w:noProof/>
            <w:webHidden/>
          </w:rPr>
        </w:r>
        <w:r>
          <w:rPr>
            <w:noProof/>
            <w:webHidden/>
          </w:rPr>
          <w:fldChar w:fldCharType="separate"/>
        </w:r>
        <w:r>
          <w:rPr>
            <w:noProof/>
            <w:webHidden/>
          </w:rPr>
          <w:t>17</w:t>
        </w:r>
        <w:r>
          <w:rPr>
            <w:noProof/>
            <w:webHidden/>
          </w:rPr>
          <w:fldChar w:fldCharType="end"/>
        </w:r>
      </w:hyperlink>
    </w:p>
    <w:p w14:paraId="3B391939" w14:textId="560FF7F1" w:rsidR="00C93FD7" w:rsidRDefault="00C93FD7">
      <w:pPr>
        <w:pStyle w:val="Spisilustracji"/>
        <w:tabs>
          <w:tab w:val="right" w:leader="dot" w:pos="9061"/>
        </w:tabs>
        <w:rPr>
          <w:rFonts w:eastAsiaTheme="minorEastAsia"/>
          <w:noProof/>
          <w:sz w:val="22"/>
          <w:lang w:eastAsia="pl-PL"/>
        </w:rPr>
      </w:pPr>
      <w:hyperlink w:anchor="_Toc27125362" w:history="1">
        <w:r w:rsidRPr="00246E95">
          <w:rPr>
            <w:rStyle w:val="Hipercze"/>
            <w:noProof/>
          </w:rPr>
          <w:t>Tabela 4. Lista przeglądu dokumentów wraz z jego celem</w:t>
        </w:r>
        <w:r>
          <w:rPr>
            <w:noProof/>
            <w:webHidden/>
          </w:rPr>
          <w:tab/>
        </w:r>
        <w:r>
          <w:rPr>
            <w:noProof/>
            <w:webHidden/>
          </w:rPr>
          <w:fldChar w:fldCharType="begin"/>
        </w:r>
        <w:r>
          <w:rPr>
            <w:noProof/>
            <w:webHidden/>
          </w:rPr>
          <w:instrText xml:space="preserve"> PAGEREF _Toc27125362 \h </w:instrText>
        </w:r>
        <w:r>
          <w:rPr>
            <w:noProof/>
            <w:webHidden/>
          </w:rPr>
        </w:r>
        <w:r>
          <w:rPr>
            <w:noProof/>
            <w:webHidden/>
          </w:rPr>
          <w:fldChar w:fldCharType="separate"/>
        </w:r>
        <w:r>
          <w:rPr>
            <w:noProof/>
            <w:webHidden/>
          </w:rPr>
          <w:t>19</w:t>
        </w:r>
        <w:r>
          <w:rPr>
            <w:noProof/>
            <w:webHidden/>
          </w:rPr>
          <w:fldChar w:fldCharType="end"/>
        </w:r>
      </w:hyperlink>
    </w:p>
    <w:p w14:paraId="18896E89" w14:textId="38BF116E" w:rsidR="00C93FD7" w:rsidRDefault="00C93FD7">
      <w:pPr>
        <w:pStyle w:val="Spisilustracji"/>
        <w:tabs>
          <w:tab w:val="right" w:leader="dot" w:pos="9061"/>
        </w:tabs>
        <w:rPr>
          <w:rFonts w:eastAsiaTheme="minorEastAsia"/>
          <w:noProof/>
          <w:sz w:val="22"/>
          <w:lang w:eastAsia="pl-PL"/>
        </w:rPr>
      </w:pPr>
      <w:hyperlink w:anchor="_Toc27125363" w:history="1">
        <w:r w:rsidRPr="00246E95">
          <w:rPr>
            <w:rStyle w:val="Hipercze"/>
            <w:noProof/>
          </w:rPr>
          <w:t>Tabela 5. Lista kategorii przeanalizowanych danych statystycznych ze źródłem i celem analizy</w:t>
        </w:r>
        <w:r>
          <w:rPr>
            <w:noProof/>
            <w:webHidden/>
          </w:rPr>
          <w:tab/>
        </w:r>
        <w:r>
          <w:rPr>
            <w:noProof/>
            <w:webHidden/>
          </w:rPr>
          <w:fldChar w:fldCharType="begin"/>
        </w:r>
        <w:r>
          <w:rPr>
            <w:noProof/>
            <w:webHidden/>
          </w:rPr>
          <w:instrText xml:space="preserve"> PAGEREF _Toc27125363 \h </w:instrText>
        </w:r>
        <w:r>
          <w:rPr>
            <w:noProof/>
            <w:webHidden/>
          </w:rPr>
        </w:r>
        <w:r>
          <w:rPr>
            <w:noProof/>
            <w:webHidden/>
          </w:rPr>
          <w:fldChar w:fldCharType="separate"/>
        </w:r>
        <w:r>
          <w:rPr>
            <w:noProof/>
            <w:webHidden/>
          </w:rPr>
          <w:t>21</w:t>
        </w:r>
        <w:r>
          <w:rPr>
            <w:noProof/>
            <w:webHidden/>
          </w:rPr>
          <w:fldChar w:fldCharType="end"/>
        </w:r>
      </w:hyperlink>
    </w:p>
    <w:p w14:paraId="6B62348A" w14:textId="690BC2EE" w:rsidR="00C93FD7" w:rsidRDefault="00C93FD7">
      <w:pPr>
        <w:pStyle w:val="Spisilustracji"/>
        <w:tabs>
          <w:tab w:val="right" w:leader="dot" w:pos="9061"/>
        </w:tabs>
        <w:rPr>
          <w:rFonts w:eastAsiaTheme="minorEastAsia"/>
          <w:noProof/>
          <w:sz w:val="22"/>
          <w:lang w:eastAsia="pl-PL"/>
        </w:rPr>
      </w:pPr>
      <w:hyperlink w:anchor="_Toc27125364" w:history="1">
        <w:r w:rsidRPr="00246E95">
          <w:rPr>
            <w:rStyle w:val="Hipercze"/>
            <w:noProof/>
          </w:rPr>
          <w:t>Tabela 6. Logika interwencji VI OP POIiŚ 2014-2020</w:t>
        </w:r>
        <w:r>
          <w:rPr>
            <w:noProof/>
            <w:webHidden/>
          </w:rPr>
          <w:tab/>
        </w:r>
        <w:r>
          <w:rPr>
            <w:noProof/>
            <w:webHidden/>
          </w:rPr>
          <w:fldChar w:fldCharType="begin"/>
        </w:r>
        <w:r>
          <w:rPr>
            <w:noProof/>
            <w:webHidden/>
          </w:rPr>
          <w:instrText xml:space="preserve"> PAGEREF _Toc27125364 \h </w:instrText>
        </w:r>
        <w:r>
          <w:rPr>
            <w:noProof/>
            <w:webHidden/>
          </w:rPr>
        </w:r>
        <w:r>
          <w:rPr>
            <w:noProof/>
            <w:webHidden/>
          </w:rPr>
          <w:fldChar w:fldCharType="separate"/>
        </w:r>
        <w:r>
          <w:rPr>
            <w:noProof/>
            <w:webHidden/>
          </w:rPr>
          <w:t>23</w:t>
        </w:r>
        <w:r>
          <w:rPr>
            <w:noProof/>
            <w:webHidden/>
          </w:rPr>
          <w:fldChar w:fldCharType="end"/>
        </w:r>
      </w:hyperlink>
    </w:p>
    <w:p w14:paraId="318689DF" w14:textId="4CBF35B3" w:rsidR="00C93FD7" w:rsidRDefault="00C93FD7">
      <w:pPr>
        <w:pStyle w:val="Spisilustracji"/>
        <w:tabs>
          <w:tab w:val="right" w:leader="dot" w:pos="9061"/>
        </w:tabs>
        <w:rPr>
          <w:rFonts w:eastAsiaTheme="minorEastAsia"/>
          <w:noProof/>
          <w:sz w:val="22"/>
          <w:lang w:eastAsia="pl-PL"/>
        </w:rPr>
      </w:pPr>
      <w:hyperlink w:anchor="_Toc27125365" w:history="1">
        <w:r w:rsidRPr="00246E95">
          <w:rPr>
            <w:rStyle w:val="Hipercze"/>
            <w:noProof/>
          </w:rPr>
          <w:t>Tabela 7. Lista uczestników panelu ekspertów</w:t>
        </w:r>
        <w:r>
          <w:rPr>
            <w:noProof/>
            <w:webHidden/>
          </w:rPr>
          <w:tab/>
        </w:r>
        <w:r>
          <w:rPr>
            <w:noProof/>
            <w:webHidden/>
          </w:rPr>
          <w:fldChar w:fldCharType="begin"/>
        </w:r>
        <w:r>
          <w:rPr>
            <w:noProof/>
            <w:webHidden/>
          </w:rPr>
          <w:instrText xml:space="preserve"> PAGEREF _Toc27125365 \h </w:instrText>
        </w:r>
        <w:r>
          <w:rPr>
            <w:noProof/>
            <w:webHidden/>
          </w:rPr>
        </w:r>
        <w:r>
          <w:rPr>
            <w:noProof/>
            <w:webHidden/>
          </w:rPr>
          <w:fldChar w:fldCharType="separate"/>
        </w:r>
        <w:r>
          <w:rPr>
            <w:noProof/>
            <w:webHidden/>
          </w:rPr>
          <w:t>24</w:t>
        </w:r>
        <w:r>
          <w:rPr>
            <w:noProof/>
            <w:webHidden/>
          </w:rPr>
          <w:fldChar w:fldCharType="end"/>
        </w:r>
      </w:hyperlink>
    </w:p>
    <w:p w14:paraId="1163EDAE" w14:textId="0E95BB29" w:rsidR="00C93FD7" w:rsidRDefault="00C93FD7">
      <w:pPr>
        <w:pStyle w:val="Spisilustracji"/>
        <w:tabs>
          <w:tab w:val="right" w:leader="dot" w:pos="9061"/>
        </w:tabs>
        <w:rPr>
          <w:rFonts w:eastAsiaTheme="minorEastAsia"/>
          <w:noProof/>
          <w:sz w:val="22"/>
          <w:lang w:eastAsia="pl-PL"/>
        </w:rPr>
      </w:pPr>
      <w:hyperlink w:anchor="_Toc27125366" w:history="1">
        <w:r w:rsidRPr="00246E95">
          <w:rPr>
            <w:rStyle w:val="Hipercze"/>
            <w:noProof/>
          </w:rPr>
          <w:t>Tabela 8. Lista węzłów przesiadkowych, dla których przeprowadzono studium przypadku</w:t>
        </w:r>
        <w:r>
          <w:rPr>
            <w:noProof/>
            <w:webHidden/>
          </w:rPr>
          <w:tab/>
        </w:r>
        <w:r>
          <w:rPr>
            <w:noProof/>
            <w:webHidden/>
          </w:rPr>
          <w:fldChar w:fldCharType="begin"/>
        </w:r>
        <w:r>
          <w:rPr>
            <w:noProof/>
            <w:webHidden/>
          </w:rPr>
          <w:instrText xml:space="preserve"> PAGEREF _Toc27125366 \h </w:instrText>
        </w:r>
        <w:r>
          <w:rPr>
            <w:noProof/>
            <w:webHidden/>
          </w:rPr>
        </w:r>
        <w:r>
          <w:rPr>
            <w:noProof/>
            <w:webHidden/>
          </w:rPr>
          <w:fldChar w:fldCharType="separate"/>
        </w:r>
        <w:r>
          <w:rPr>
            <w:noProof/>
            <w:webHidden/>
          </w:rPr>
          <w:t>26</w:t>
        </w:r>
        <w:r>
          <w:rPr>
            <w:noProof/>
            <w:webHidden/>
          </w:rPr>
          <w:fldChar w:fldCharType="end"/>
        </w:r>
      </w:hyperlink>
    </w:p>
    <w:p w14:paraId="41A1F27E" w14:textId="0235B575" w:rsidR="00C93FD7" w:rsidRDefault="00C93FD7">
      <w:pPr>
        <w:pStyle w:val="Spisilustracji"/>
        <w:tabs>
          <w:tab w:val="right" w:leader="dot" w:pos="9061"/>
        </w:tabs>
        <w:rPr>
          <w:rFonts w:eastAsiaTheme="minorEastAsia"/>
          <w:noProof/>
          <w:sz w:val="22"/>
          <w:lang w:eastAsia="pl-PL"/>
        </w:rPr>
      </w:pPr>
      <w:hyperlink w:anchor="_Toc27125367" w:history="1">
        <w:r w:rsidRPr="00246E95">
          <w:rPr>
            <w:rStyle w:val="Hipercze"/>
            <w:noProof/>
          </w:rPr>
          <w:t>Tabela 9. Lista miast, wśród których przeprowadzono panel CAWI.</w:t>
        </w:r>
        <w:r>
          <w:rPr>
            <w:noProof/>
            <w:webHidden/>
          </w:rPr>
          <w:tab/>
        </w:r>
        <w:r>
          <w:rPr>
            <w:noProof/>
            <w:webHidden/>
          </w:rPr>
          <w:fldChar w:fldCharType="begin"/>
        </w:r>
        <w:r>
          <w:rPr>
            <w:noProof/>
            <w:webHidden/>
          </w:rPr>
          <w:instrText xml:space="preserve"> PAGEREF _Toc27125367 \h </w:instrText>
        </w:r>
        <w:r>
          <w:rPr>
            <w:noProof/>
            <w:webHidden/>
          </w:rPr>
        </w:r>
        <w:r>
          <w:rPr>
            <w:noProof/>
            <w:webHidden/>
          </w:rPr>
          <w:fldChar w:fldCharType="separate"/>
        </w:r>
        <w:r>
          <w:rPr>
            <w:noProof/>
            <w:webHidden/>
          </w:rPr>
          <w:t>27</w:t>
        </w:r>
        <w:r>
          <w:rPr>
            <w:noProof/>
            <w:webHidden/>
          </w:rPr>
          <w:fldChar w:fldCharType="end"/>
        </w:r>
      </w:hyperlink>
    </w:p>
    <w:p w14:paraId="7CE0B425" w14:textId="73E26B58" w:rsidR="00C93FD7" w:rsidRDefault="00C93FD7">
      <w:pPr>
        <w:pStyle w:val="Spisilustracji"/>
        <w:tabs>
          <w:tab w:val="right" w:leader="dot" w:pos="9061"/>
        </w:tabs>
        <w:rPr>
          <w:rFonts w:eastAsiaTheme="minorEastAsia"/>
          <w:noProof/>
          <w:sz w:val="22"/>
          <w:lang w:eastAsia="pl-PL"/>
        </w:rPr>
      </w:pPr>
      <w:hyperlink w:anchor="_Toc27125368" w:history="1">
        <w:r w:rsidRPr="00246E95">
          <w:rPr>
            <w:rStyle w:val="Hipercze"/>
            <w:noProof/>
          </w:rPr>
          <w:t>Tabela 10. Zestawienie najważniejszych determinant zmian badanych zjawisk</w:t>
        </w:r>
        <w:r>
          <w:rPr>
            <w:noProof/>
            <w:webHidden/>
          </w:rPr>
          <w:tab/>
        </w:r>
        <w:r>
          <w:rPr>
            <w:noProof/>
            <w:webHidden/>
          </w:rPr>
          <w:fldChar w:fldCharType="begin"/>
        </w:r>
        <w:r>
          <w:rPr>
            <w:noProof/>
            <w:webHidden/>
          </w:rPr>
          <w:instrText xml:space="preserve"> PAGEREF _Toc27125368 \h </w:instrText>
        </w:r>
        <w:r>
          <w:rPr>
            <w:noProof/>
            <w:webHidden/>
          </w:rPr>
        </w:r>
        <w:r>
          <w:rPr>
            <w:noProof/>
            <w:webHidden/>
          </w:rPr>
          <w:fldChar w:fldCharType="separate"/>
        </w:r>
        <w:r>
          <w:rPr>
            <w:noProof/>
            <w:webHidden/>
          </w:rPr>
          <w:t>34</w:t>
        </w:r>
        <w:r>
          <w:rPr>
            <w:noProof/>
            <w:webHidden/>
          </w:rPr>
          <w:fldChar w:fldCharType="end"/>
        </w:r>
      </w:hyperlink>
    </w:p>
    <w:p w14:paraId="536BF09E" w14:textId="214418D8" w:rsidR="00C93FD7" w:rsidRDefault="00C93FD7">
      <w:pPr>
        <w:pStyle w:val="Spisilustracji"/>
        <w:tabs>
          <w:tab w:val="right" w:leader="dot" w:pos="9061"/>
        </w:tabs>
        <w:rPr>
          <w:rFonts w:eastAsiaTheme="minorEastAsia"/>
          <w:noProof/>
          <w:sz w:val="22"/>
          <w:lang w:eastAsia="pl-PL"/>
        </w:rPr>
      </w:pPr>
      <w:hyperlink w:anchor="_Toc27125369" w:history="1">
        <w:r w:rsidRPr="00246E95">
          <w:rPr>
            <w:rStyle w:val="Hipercze"/>
            <w:noProof/>
          </w:rPr>
          <w:t>Tabela 11. Przykładowe schematy węzłów przesiadkowych: lokalizacji przystanków i dróg przejścia.</w:t>
        </w:r>
        <w:r>
          <w:rPr>
            <w:noProof/>
            <w:webHidden/>
          </w:rPr>
          <w:tab/>
        </w:r>
        <w:r>
          <w:rPr>
            <w:noProof/>
            <w:webHidden/>
          </w:rPr>
          <w:fldChar w:fldCharType="begin"/>
        </w:r>
        <w:r>
          <w:rPr>
            <w:noProof/>
            <w:webHidden/>
          </w:rPr>
          <w:instrText xml:space="preserve"> PAGEREF _Toc27125369 \h </w:instrText>
        </w:r>
        <w:r>
          <w:rPr>
            <w:noProof/>
            <w:webHidden/>
          </w:rPr>
        </w:r>
        <w:r>
          <w:rPr>
            <w:noProof/>
            <w:webHidden/>
          </w:rPr>
          <w:fldChar w:fldCharType="separate"/>
        </w:r>
        <w:r>
          <w:rPr>
            <w:noProof/>
            <w:webHidden/>
          </w:rPr>
          <w:t>58</w:t>
        </w:r>
        <w:r>
          <w:rPr>
            <w:noProof/>
            <w:webHidden/>
          </w:rPr>
          <w:fldChar w:fldCharType="end"/>
        </w:r>
      </w:hyperlink>
    </w:p>
    <w:p w14:paraId="6EFABCEE" w14:textId="356DCCDA" w:rsidR="00C93FD7" w:rsidRDefault="00C93FD7">
      <w:pPr>
        <w:pStyle w:val="Spisilustracji"/>
        <w:tabs>
          <w:tab w:val="right" w:leader="dot" w:pos="9061"/>
        </w:tabs>
        <w:rPr>
          <w:rFonts w:eastAsiaTheme="minorEastAsia"/>
          <w:noProof/>
          <w:sz w:val="22"/>
          <w:lang w:eastAsia="pl-PL"/>
        </w:rPr>
      </w:pPr>
      <w:hyperlink w:anchor="_Toc27125370" w:history="1">
        <w:r w:rsidRPr="00246E95">
          <w:rPr>
            <w:rStyle w:val="Hipercze"/>
            <w:noProof/>
          </w:rPr>
          <w:t>Tabela 12. Macierz odległości [m] w ocenie integracji przestrzennej - Warszawa, pl. Unii Lubelskiej.</w:t>
        </w:r>
        <w:r>
          <w:rPr>
            <w:noProof/>
            <w:webHidden/>
          </w:rPr>
          <w:tab/>
        </w:r>
        <w:r>
          <w:rPr>
            <w:noProof/>
            <w:webHidden/>
          </w:rPr>
          <w:fldChar w:fldCharType="begin"/>
        </w:r>
        <w:r>
          <w:rPr>
            <w:noProof/>
            <w:webHidden/>
          </w:rPr>
          <w:instrText xml:space="preserve"> PAGEREF _Toc27125370 \h </w:instrText>
        </w:r>
        <w:r>
          <w:rPr>
            <w:noProof/>
            <w:webHidden/>
          </w:rPr>
        </w:r>
        <w:r>
          <w:rPr>
            <w:noProof/>
            <w:webHidden/>
          </w:rPr>
          <w:fldChar w:fldCharType="separate"/>
        </w:r>
        <w:r>
          <w:rPr>
            <w:noProof/>
            <w:webHidden/>
          </w:rPr>
          <w:t>59</w:t>
        </w:r>
        <w:r>
          <w:rPr>
            <w:noProof/>
            <w:webHidden/>
          </w:rPr>
          <w:fldChar w:fldCharType="end"/>
        </w:r>
      </w:hyperlink>
    </w:p>
    <w:p w14:paraId="242EE701" w14:textId="0EB196B0" w:rsidR="00C93FD7" w:rsidRDefault="00C93FD7">
      <w:pPr>
        <w:pStyle w:val="Spisilustracji"/>
        <w:tabs>
          <w:tab w:val="right" w:leader="dot" w:pos="9061"/>
        </w:tabs>
        <w:rPr>
          <w:rFonts w:eastAsiaTheme="minorEastAsia"/>
          <w:noProof/>
          <w:sz w:val="22"/>
          <w:lang w:eastAsia="pl-PL"/>
        </w:rPr>
      </w:pPr>
      <w:hyperlink w:anchor="_Toc27125371" w:history="1">
        <w:r w:rsidRPr="00246E95">
          <w:rPr>
            <w:rStyle w:val="Hipercze"/>
            <w:noProof/>
          </w:rPr>
          <w:t>Tabela 13. Zestawienie ocen przyznanych poszczególnym węzłom przesiadkowym w 9 kryteriach oceny.</w:t>
        </w:r>
        <w:r>
          <w:rPr>
            <w:noProof/>
            <w:webHidden/>
          </w:rPr>
          <w:tab/>
        </w:r>
        <w:r>
          <w:rPr>
            <w:noProof/>
            <w:webHidden/>
          </w:rPr>
          <w:fldChar w:fldCharType="begin"/>
        </w:r>
        <w:r>
          <w:rPr>
            <w:noProof/>
            <w:webHidden/>
          </w:rPr>
          <w:instrText xml:space="preserve"> PAGEREF _Toc27125371 \h </w:instrText>
        </w:r>
        <w:r>
          <w:rPr>
            <w:noProof/>
            <w:webHidden/>
          </w:rPr>
        </w:r>
        <w:r>
          <w:rPr>
            <w:noProof/>
            <w:webHidden/>
          </w:rPr>
          <w:fldChar w:fldCharType="separate"/>
        </w:r>
        <w:r>
          <w:rPr>
            <w:noProof/>
            <w:webHidden/>
          </w:rPr>
          <w:t>66</w:t>
        </w:r>
        <w:r>
          <w:rPr>
            <w:noProof/>
            <w:webHidden/>
          </w:rPr>
          <w:fldChar w:fldCharType="end"/>
        </w:r>
      </w:hyperlink>
    </w:p>
    <w:p w14:paraId="3660E49C" w14:textId="4953D15F" w:rsidR="00C93FD7" w:rsidRDefault="00C93FD7">
      <w:pPr>
        <w:pStyle w:val="Spisilustracji"/>
        <w:tabs>
          <w:tab w:val="right" w:leader="dot" w:pos="9061"/>
        </w:tabs>
        <w:rPr>
          <w:rFonts w:eastAsiaTheme="minorEastAsia"/>
          <w:noProof/>
          <w:sz w:val="22"/>
          <w:lang w:eastAsia="pl-PL"/>
        </w:rPr>
      </w:pPr>
      <w:hyperlink w:anchor="_Toc27125372" w:history="1">
        <w:r w:rsidRPr="00246E95">
          <w:rPr>
            <w:rStyle w:val="Hipercze"/>
            <w:noProof/>
          </w:rPr>
          <w:t>Tabela 14. Zestawienie odcinków komunikacji autobusowej wraz z dopasowanymi odcinkami kontrfaktycznymi</w:t>
        </w:r>
        <w:r>
          <w:rPr>
            <w:noProof/>
            <w:webHidden/>
          </w:rPr>
          <w:tab/>
        </w:r>
        <w:r>
          <w:rPr>
            <w:noProof/>
            <w:webHidden/>
          </w:rPr>
          <w:fldChar w:fldCharType="begin"/>
        </w:r>
        <w:r>
          <w:rPr>
            <w:noProof/>
            <w:webHidden/>
          </w:rPr>
          <w:instrText xml:space="preserve"> PAGEREF _Toc27125372 \h </w:instrText>
        </w:r>
        <w:r>
          <w:rPr>
            <w:noProof/>
            <w:webHidden/>
          </w:rPr>
        </w:r>
        <w:r>
          <w:rPr>
            <w:noProof/>
            <w:webHidden/>
          </w:rPr>
          <w:fldChar w:fldCharType="separate"/>
        </w:r>
        <w:r>
          <w:rPr>
            <w:noProof/>
            <w:webHidden/>
          </w:rPr>
          <w:t>76</w:t>
        </w:r>
        <w:r>
          <w:rPr>
            <w:noProof/>
            <w:webHidden/>
          </w:rPr>
          <w:fldChar w:fldCharType="end"/>
        </w:r>
      </w:hyperlink>
    </w:p>
    <w:p w14:paraId="3E2F06F2" w14:textId="76A349E4" w:rsidR="00C93FD7" w:rsidRDefault="00C93FD7">
      <w:pPr>
        <w:pStyle w:val="Spisilustracji"/>
        <w:tabs>
          <w:tab w:val="right" w:leader="dot" w:pos="9061"/>
        </w:tabs>
        <w:rPr>
          <w:rFonts w:eastAsiaTheme="minorEastAsia"/>
          <w:noProof/>
          <w:sz w:val="22"/>
          <w:lang w:eastAsia="pl-PL"/>
        </w:rPr>
      </w:pPr>
      <w:hyperlink w:anchor="_Toc27125373" w:history="1">
        <w:r w:rsidRPr="00246E95">
          <w:rPr>
            <w:rStyle w:val="Hipercze"/>
            <w:noProof/>
          </w:rPr>
          <w:t>Tabela 15. Zestawienie odcinków komunikacji tramwajowej wraz z dopasowanymi odcinkami kontrfaktycznymi</w:t>
        </w:r>
        <w:r>
          <w:rPr>
            <w:noProof/>
            <w:webHidden/>
          </w:rPr>
          <w:tab/>
        </w:r>
        <w:r>
          <w:rPr>
            <w:noProof/>
            <w:webHidden/>
          </w:rPr>
          <w:fldChar w:fldCharType="begin"/>
        </w:r>
        <w:r>
          <w:rPr>
            <w:noProof/>
            <w:webHidden/>
          </w:rPr>
          <w:instrText xml:space="preserve"> PAGEREF _Toc27125373 \h </w:instrText>
        </w:r>
        <w:r>
          <w:rPr>
            <w:noProof/>
            <w:webHidden/>
          </w:rPr>
        </w:r>
        <w:r>
          <w:rPr>
            <w:noProof/>
            <w:webHidden/>
          </w:rPr>
          <w:fldChar w:fldCharType="separate"/>
        </w:r>
        <w:r>
          <w:rPr>
            <w:noProof/>
            <w:webHidden/>
          </w:rPr>
          <w:t>77</w:t>
        </w:r>
        <w:r>
          <w:rPr>
            <w:noProof/>
            <w:webHidden/>
          </w:rPr>
          <w:fldChar w:fldCharType="end"/>
        </w:r>
      </w:hyperlink>
    </w:p>
    <w:p w14:paraId="2D2A3653" w14:textId="15F7BD81" w:rsidR="00C93FD7" w:rsidRDefault="00C93FD7">
      <w:pPr>
        <w:pStyle w:val="Spisilustracji"/>
        <w:tabs>
          <w:tab w:val="right" w:leader="dot" w:pos="9061"/>
        </w:tabs>
        <w:rPr>
          <w:rFonts w:eastAsiaTheme="minorEastAsia"/>
          <w:noProof/>
          <w:sz w:val="22"/>
          <w:lang w:eastAsia="pl-PL"/>
        </w:rPr>
      </w:pPr>
      <w:hyperlink w:anchor="_Toc27125374" w:history="1">
        <w:r w:rsidRPr="00246E95">
          <w:rPr>
            <w:rStyle w:val="Hipercze"/>
            <w:noProof/>
          </w:rPr>
          <w:t>Tabela 16. Lista miast dla późniejszych analiz metodą SPSM</w:t>
        </w:r>
        <w:r>
          <w:rPr>
            <w:noProof/>
            <w:webHidden/>
          </w:rPr>
          <w:tab/>
        </w:r>
        <w:r>
          <w:rPr>
            <w:noProof/>
            <w:webHidden/>
          </w:rPr>
          <w:fldChar w:fldCharType="begin"/>
        </w:r>
        <w:r>
          <w:rPr>
            <w:noProof/>
            <w:webHidden/>
          </w:rPr>
          <w:instrText xml:space="preserve"> PAGEREF _Toc27125374 \h </w:instrText>
        </w:r>
        <w:r>
          <w:rPr>
            <w:noProof/>
            <w:webHidden/>
          </w:rPr>
        </w:r>
        <w:r>
          <w:rPr>
            <w:noProof/>
            <w:webHidden/>
          </w:rPr>
          <w:fldChar w:fldCharType="separate"/>
        </w:r>
        <w:r>
          <w:rPr>
            <w:noProof/>
            <w:webHidden/>
          </w:rPr>
          <w:t>79</w:t>
        </w:r>
        <w:r>
          <w:rPr>
            <w:noProof/>
            <w:webHidden/>
          </w:rPr>
          <w:fldChar w:fldCharType="end"/>
        </w:r>
      </w:hyperlink>
    </w:p>
    <w:p w14:paraId="4772E1C6" w14:textId="69638227" w:rsidR="00C93FD7" w:rsidRDefault="00C93FD7">
      <w:pPr>
        <w:pStyle w:val="Spisilustracji"/>
        <w:tabs>
          <w:tab w:val="right" w:leader="dot" w:pos="9061"/>
        </w:tabs>
        <w:rPr>
          <w:rFonts w:eastAsiaTheme="minorEastAsia"/>
          <w:noProof/>
          <w:sz w:val="22"/>
          <w:lang w:eastAsia="pl-PL"/>
        </w:rPr>
      </w:pPr>
      <w:hyperlink w:anchor="_Toc27125375" w:history="1">
        <w:r w:rsidRPr="00246E95">
          <w:rPr>
            <w:rStyle w:val="Hipercze"/>
            <w:noProof/>
          </w:rPr>
          <w:t>Tabela 17. Zestawienie danych z AKK oraz monitoringu projektów POIiŚ.</w:t>
        </w:r>
        <w:r>
          <w:rPr>
            <w:noProof/>
            <w:webHidden/>
          </w:rPr>
          <w:tab/>
        </w:r>
        <w:r>
          <w:rPr>
            <w:noProof/>
            <w:webHidden/>
          </w:rPr>
          <w:fldChar w:fldCharType="begin"/>
        </w:r>
        <w:r>
          <w:rPr>
            <w:noProof/>
            <w:webHidden/>
          </w:rPr>
          <w:instrText xml:space="preserve"> PAGEREF _Toc27125375 \h </w:instrText>
        </w:r>
        <w:r>
          <w:rPr>
            <w:noProof/>
            <w:webHidden/>
          </w:rPr>
        </w:r>
        <w:r>
          <w:rPr>
            <w:noProof/>
            <w:webHidden/>
          </w:rPr>
          <w:fldChar w:fldCharType="separate"/>
        </w:r>
        <w:r>
          <w:rPr>
            <w:noProof/>
            <w:webHidden/>
          </w:rPr>
          <w:t>80</w:t>
        </w:r>
        <w:r>
          <w:rPr>
            <w:noProof/>
            <w:webHidden/>
          </w:rPr>
          <w:fldChar w:fldCharType="end"/>
        </w:r>
      </w:hyperlink>
    </w:p>
    <w:p w14:paraId="1D4C37AF" w14:textId="309566B6" w:rsidR="00C93FD7" w:rsidRDefault="00C93FD7">
      <w:pPr>
        <w:pStyle w:val="Spisilustracji"/>
        <w:tabs>
          <w:tab w:val="right" w:leader="dot" w:pos="9061"/>
        </w:tabs>
        <w:rPr>
          <w:rFonts w:eastAsiaTheme="minorEastAsia"/>
          <w:noProof/>
          <w:sz w:val="22"/>
          <w:lang w:eastAsia="pl-PL"/>
        </w:rPr>
      </w:pPr>
      <w:hyperlink w:anchor="_Toc27125376" w:history="1">
        <w:r w:rsidRPr="00246E95">
          <w:rPr>
            <w:rStyle w:val="Hipercze"/>
            <w:noProof/>
          </w:rPr>
          <w:t>Tabela 18. Wyniki AKK ex post</w:t>
        </w:r>
        <w:r>
          <w:rPr>
            <w:noProof/>
            <w:webHidden/>
          </w:rPr>
          <w:tab/>
        </w:r>
        <w:r>
          <w:rPr>
            <w:noProof/>
            <w:webHidden/>
          </w:rPr>
          <w:fldChar w:fldCharType="begin"/>
        </w:r>
        <w:r>
          <w:rPr>
            <w:noProof/>
            <w:webHidden/>
          </w:rPr>
          <w:instrText xml:space="preserve"> PAGEREF _Toc27125376 \h </w:instrText>
        </w:r>
        <w:r>
          <w:rPr>
            <w:noProof/>
            <w:webHidden/>
          </w:rPr>
        </w:r>
        <w:r>
          <w:rPr>
            <w:noProof/>
            <w:webHidden/>
          </w:rPr>
          <w:fldChar w:fldCharType="separate"/>
        </w:r>
        <w:r>
          <w:rPr>
            <w:noProof/>
            <w:webHidden/>
          </w:rPr>
          <w:t>82</w:t>
        </w:r>
        <w:r>
          <w:rPr>
            <w:noProof/>
            <w:webHidden/>
          </w:rPr>
          <w:fldChar w:fldCharType="end"/>
        </w:r>
      </w:hyperlink>
    </w:p>
    <w:p w14:paraId="1000E462" w14:textId="3AEB5DFC" w:rsidR="00C93FD7" w:rsidRDefault="00C93FD7">
      <w:pPr>
        <w:pStyle w:val="Spisilustracji"/>
        <w:tabs>
          <w:tab w:val="right" w:leader="dot" w:pos="9061"/>
        </w:tabs>
        <w:rPr>
          <w:rFonts w:eastAsiaTheme="minorEastAsia"/>
          <w:noProof/>
          <w:sz w:val="22"/>
          <w:lang w:eastAsia="pl-PL"/>
        </w:rPr>
      </w:pPr>
      <w:hyperlink w:anchor="_Toc27125377" w:history="1">
        <w:r w:rsidRPr="00246E95">
          <w:rPr>
            <w:rStyle w:val="Hipercze"/>
            <w:noProof/>
          </w:rPr>
          <w:t xml:space="preserve">Tabela 19. Zestawienie parametrów wejściowych analizy kosztów i korzyści w projektach </w:t>
        </w:r>
        <w:r w:rsidRPr="00246E95">
          <w:rPr>
            <w:rStyle w:val="Hipercze"/>
            <w:i/>
            <w:noProof/>
          </w:rPr>
          <w:t>Park &amp; Ride</w:t>
        </w:r>
        <w:r w:rsidRPr="00246E95">
          <w:rPr>
            <w:rStyle w:val="Hipercze"/>
            <w:noProof/>
          </w:rPr>
          <w:t xml:space="preserve"> POIiŚ 2014-2020 i analizie własnej</w:t>
        </w:r>
        <w:r>
          <w:rPr>
            <w:noProof/>
            <w:webHidden/>
          </w:rPr>
          <w:tab/>
        </w:r>
        <w:r>
          <w:rPr>
            <w:noProof/>
            <w:webHidden/>
          </w:rPr>
          <w:fldChar w:fldCharType="begin"/>
        </w:r>
        <w:r>
          <w:rPr>
            <w:noProof/>
            <w:webHidden/>
          </w:rPr>
          <w:instrText xml:space="preserve"> PAGEREF _Toc27125377 \h </w:instrText>
        </w:r>
        <w:r>
          <w:rPr>
            <w:noProof/>
            <w:webHidden/>
          </w:rPr>
        </w:r>
        <w:r>
          <w:rPr>
            <w:noProof/>
            <w:webHidden/>
          </w:rPr>
          <w:fldChar w:fldCharType="separate"/>
        </w:r>
        <w:r>
          <w:rPr>
            <w:noProof/>
            <w:webHidden/>
          </w:rPr>
          <w:t>87</w:t>
        </w:r>
        <w:r>
          <w:rPr>
            <w:noProof/>
            <w:webHidden/>
          </w:rPr>
          <w:fldChar w:fldCharType="end"/>
        </w:r>
      </w:hyperlink>
    </w:p>
    <w:p w14:paraId="0D4632BC" w14:textId="40037D5C" w:rsidR="00C93FD7" w:rsidRDefault="00C93FD7">
      <w:pPr>
        <w:pStyle w:val="Spisilustracji"/>
        <w:tabs>
          <w:tab w:val="right" w:leader="dot" w:pos="9061"/>
        </w:tabs>
        <w:rPr>
          <w:rFonts w:eastAsiaTheme="minorEastAsia"/>
          <w:noProof/>
          <w:sz w:val="22"/>
          <w:lang w:eastAsia="pl-PL"/>
        </w:rPr>
      </w:pPr>
      <w:hyperlink w:anchor="_Toc27125378" w:history="1">
        <w:r w:rsidRPr="00246E95">
          <w:rPr>
            <w:rStyle w:val="Hipercze"/>
            <w:noProof/>
          </w:rPr>
          <w:t>Tabela 20. Metodyka odpowiedzi na pytania badawcze na podstawie wskaźników ze wskazaniem źródła danych.</w:t>
        </w:r>
        <w:r>
          <w:rPr>
            <w:noProof/>
            <w:webHidden/>
          </w:rPr>
          <w:tab/>
        </w:r>
        <w:r>
          <w:rPr>
            <w:noProof/>
            <w:webHidden/>
          </w:rPr>
          <w:fldChar w:fldCharType="begin"/>
        </w:r>
        <w:r>
          <w:rPr>
            <w:noProof/>
            <w:webHidden/>
          </w:rPr>
          <w:instrText xml:space="preserve"> PAGEREF _Toc27125378 \h </w:instrText>
        </w:r>
        <w:r>
          <w:rPr>
            <w:noProof/>
            <w:webHidden/>
          </w:rPr>
        </w:r>
        <w:r>
          <w:rPr>
            <w:noProof/>
            <w:webHidden/>
          </w:rPr>
          <w:fldChar w:fldCharType="separate"/>
        </w:r>
        <w:r>
          <w:rPr>
            <w:noProof/>
            <w:webHidden/>
          </w:rPr>
          <w:t>100</w:t>
        </w:r>
        <w:r>
          <w:rPr>
            <w:noProof/>
            <w:webHidden/>
          </w:rPr>
          <w:fldChar w:fldCharType="end"/>
        </w:r>
      </w:hyperlink>
    </w:p>
    <w:p w14:paraId="48D28C3D" w14:textId="4732C15D" w:rsidR="004C5F93" w:rsidRDefault="004C5F93" w:rsidP="004C5F93">
      <w:r>
        <w:fldChar w:fldCharType="end"/>
      </w:r>
    </w:p>
    <w:p w14:paraId="4D699050" w14:textId="77777777" w:rsidR="004C5F93" w:rsidRDefault="004C5F93">
      <w:pPr>
        <w:spacing w:before="0" w:line="259" w:lineRule="auto"/>
        <w:jc w:val="left"/>
      </w:pPr>
      <w:r>
        <w:br w:type="page"/>
      </w:r>
    </w:p>
    <w:p w14:paraId="0159EE9C" w14:textId="77777777" w:rsidR="00C93FD7" w:rsidRDefault="004C5F93" w:rsidP="002071E4">
      <w:pPr>
        <w:pStyle w:val="Podtytu"/>
        <w:rPr>
          <w:noProof/>
        </w:rPr>
      </w:pPr>
      <w:r>
        <w:lastRenderedPageBreak/>
        <w:t>SPIS RYSUNKÓW</w:t>
      </w:r>
      <w:r>
        <w:fldChar w:fldCharType="begin"/>
      </w:r>
      <w:r>
        <w:instrText xml:space="preserve"> TOC \h \z \c "Rysunek" </w:instrText>
      </w:r>
      <w:r>
        <w:fldChar w:fldCharType="separate"/>
      </w:r>
    </w:p>
    <w:p w14:paraId="7223843A" w14:textId="2AF7AC8A" w:rsidR="00C93FD7" w:rsidRDefault="00C93FD7">
      <w:pPr>
        <w:pStyle w:val="Spisilustracji"/>
        <w:tabs>
          <w:tab w:val="right" w:leader="dot" w:pos="9061"/>
        </w:tabs>
        <w:rPr>
          <w:rFonts w:eastAsiaTheme="minorEastAsia"/>
          <w:noProof/>
          <w:sz w:val="22"/>
          <w:lang w:eastAsia="pl-PL"/>
        </w:rPr>
      </w:pPr>
      <w:hyperlink w:anchor="_Toc27125379" w:history="1">
        <w:r w:rsidRPr="00F16ED1">
          <w:rPr>
            <w:rStyle w:val="Hipercze"/>
            <w:noProof/>
          </w:rPr>
          <w:t>Rysunek 1. Porównanie metod kontrfaktycznych PSM i SPSM</w:t>
        </w:r>
        <w:r>
          <w:rPr>
            <w:noProof/>
            <w:webHidden/>
          </w:rPr>
          <w:tab/>
        </w:r>
        <w:r>
          <w:rPr>
            <w:noProof/>
            <w:webHidden/>
          </w:rPr>
          <w:fldChar w:fldCharType="begin"/>
        </w:r>
        <w:r>
          <w:rPr>
            <w:noProof/>
            <w:webHidden/>
          </w:rPr>
          <w:instrText xml:space="preserve"> PAGEREF _Toc27125379 \h </w:instrText>
        </w:r>
        <w:r>
          <w:rPr>
            <w:noProof/>
            <w:webHidden/>
          </w:rPr>
        </w:r>
        <w:r>
          <w:rPr>
            <w:noProof/>
            <w:webHidden/>
          </w:rPr>
          <w:fldChar w:fldCharType="separate"/>
        </w:r>
        <w:r>
          <w:rPr>
            <w:noProof/>
            <w:webHidden/>
          </w:rPr>
          <w:t>30</w:t>
        </w:r>
        <w:r>
          <w:rPr>
            <w:noProof/>
            <w:webHidden/>
          </w:rPr>
          <w:fldChar w:fldCharType="end"/>
        </w:r>
      </w:hyperlink>
    </w:p>
    <w:p w14:paraId="57948FB1" w14:textId="4BEB5501" w:rsidR="00C93FD7" w:rsidRDefault="00C93FD7">
      <w:pPr>
        <w:pStyle w:val="Spisilustracji"/>
        <w:tabs>
          <w:tab w:val="right" w:leader="dot" w:pos="9061"/>
        </w:tabs>
        <w:rPr>
          <w:rFonts w:eastAsiaTheme="minorEastAsia"/>
          <w:noProof/>
          <w:sz w:val="22"/>
          <w:lang w:eastAsia="pl-PL"/>
        </w:rPr>
      </w:pPr>
      <w:hyperlink w:anchor="_Toc27125380" w:history="1">
        <w:r w:rsidRPr="00F16ED1">
          <w:rPr>
            <w:rStyle w:val="Hipercze"/>
            <w:noProof/>
          </w:rPr>
          <w:t>Rysunek 2. Częstotliwość korzystania z samochodu w codziennych dojazdach</w:t>
        </w:r>
        <w:r>
          <w:rPr>
            <w:noProof/>
            <w:webHidden/>
          </w:rPr>
          <w:tab/>
        </w:r>
        <w:r>
          <w:rPr>
            <w:noProof/>
            <w:webHidden/>
          </w:rPr>
          <w:fldChar w:fldCharType="begin"/>
        </w:r>
        <w:r>
          <w:rPr>
            <w:noProof/>
            <w:webHidden/>
          </w:rPr>
          <w:instrText xml:space="preserve"> PAGEREF _Toc27125380 \h </w:instrText>
        </w:r>
        <w:r>
          <w:rPr>
            <w:noProof/>
            <w:webHidden/>
          </w:rPr>
        </w:r>
        <w:r>
          <w:rPr>
            <w:noProof/>
            <w:webHidden/>
          </w:rPr>
          <w:fldChar w:fldCharType="separate"/>
        </w:r>
        <w:r>
          <w:rPr>
            <w:noProof/>
            <w:webHidden/>
          </w:rPr>
          <w:t>32</w:t>
        </w:r>
        <w:r>
          <w:rPr>
            <w:noProof/>
            <w:webHidden/>
          </w:rPr>
          <w:fldChar w:fldCharType="end"/>
        </w:r>
      </w:hyperlink>
    </w:p>
    <w:p w14:paraId="795970F5" w14:textId="538DB7EF" w:rsidR="00C93FD7" w:rsidRDefault="00C93FD7">
      <w:pPr>
        <w:pStyle w:val="Spisilustracji"/>
        <w:tabs>
          <w:tab w:val="right" w:leader="dot" w:pos="9061"/>
        </w:tabs>
        <w:rPr>
          <w:rFonts w:eastAsiaTheme="minorEastAsia"/>
          <w:noProof/>
          <w:sz w:val="22"/>
          <w:lang w:eastAsia="pl-PL"/>
        </w:rPr>
      </w:pPr>
      <w:hyperlink w:anchor="_Toc27125381" w:history="1">
        <w:r w:rsidRPr="00F16ED1">
          <w:rPr>
            <w:rStyle w:val="Hipercze"/>
            <w:noProof/>
          </w:rPr>
          <w:t>Rysunek 3. Rozkład różnic kosztów pomiędzy przejazdami transportem publicznym a</w:t>
        </w:r>
        <w:r w:rsidRPr="00F16ED1">
          <w:rPr>
            <w:rStyle w:val="Hipercze"/>
            <w:rFonts w:ascii="Calibri" w:hAnsi="Calibri"/>
            <w:noProof/>
          </w:rPr>
          <w:t> </w:t>
        </w:r>
        <w:r w:rsidRPr="00F16ED1">
          <w:rPr>
            <w:rStyle w:val="Hipercze"/>
            <w:noProof/>
          </w:rPr>
          <w:t>indywidualnym (kolorem żółtym oznaczono relacje aglomeracyjne)</w:t>
        </w:r>
        <w:r>
          <w:rPr>
            <w:noProof/>
            <w:webHidden/>
          </w:rPr>
          <w:tab/>
        </w:r>
        <w:r>
          <w:rPr>
            <w:noProof/>
            <w:webHidden/>
          </w:rPr>
          <w:fldChar w:fldCharType="begin"/>
        </w:r>
        <w:r>
          <w:rPr>
            <w:noProof/>
            <w:webHidden/>
          </w:rPr>
          <w:instrText xml:space="preserve"> PAGEREF _Toc27125381 \h </w:instrText>
        </w:r>
        <w:r>
          <w:rPr>
            <w:noProof/>
            <w:webHidden/>
          </w:rPr>
        </w:r>
        <w:r>
          <w:rPr>
            <w:noProof/>
            <w:webHidden/>
          </w:rPr>
          <w:fldChar w:fldCharType="separate"/>
        </w:r>
        <w:r>
          <w:rPr>
            <w:noProof/>
            <w:webHidden/>
          </w:rPr>
          <w:t>33</w:t>
        </w:r>
        <w:r>
          <w:rPr>
            <w:noProof/>
            <w:webHidden/>
          </w:rPr>
          <w:fldChar w:fldCharType="end"/>
        </w:r>
      </w:hyperlink>
    </w:p>
    <w:p w14:paraId="774F6A46" w14:textId="372365B4" w:rsidR="00C93FD7" w:rsidRDefault="00C93FD7">
      <w:pPr>
        <w:pStyle w:val="Spisilustracji"/>
        <w:tabs>
          <w:tab w:val="right" w:leader="dot" w:pos="9061"/>
        </w:tabs>
        <w:rPr>
          <w:rFonts w:eastAsiaTheme="minorEastAsia"/>
          <w:noProof/>
          <w:sz w:val="22"/>
          <w:lang w:eastAsia="pl-PL"/>
        </w:rPr>
      </w:pPr>
      <w:hyperlink w:anchor="_Toc27125382" w:history="1">
        <w:r w:rsidRPr="00F16ED1">
          <w:rPr>
            <w:rStyle w:val="Hipercze"/>
            <w:noProof/>
          </w:rPr>
          <w:t>Rysunek 4. Zestawienie wyników analizy regresji dla obu segmentów miast</w:t>
        </w:r>
        <w:r>
          <w:rPr>
            <w:noProof/>
            <w:webHidden/>
          </w:rPr>
          <w:tab/>
        </w:r>
        <w:r>
          <w:rPr>
            <w:noProof/>
            <w:webHidden/>
          </w:rPr>
          <w:fldChar w:fldCharType="begin"/>
        </w:r>
        <w:r>
          <w:rPr>
            <w:noProof/>
            <w:webHidden/>
          </w:rPr>
          <w:instrText xml:space="preserve"> PAGEREF _Toc27125382 \h </w:instrText>
        </w:r>
        <w:r>
          <w:rPr>
            <w:noProof/>
            <w:webHidden/>
          </w:rPr>
        </w:r>
        <w:r>
          <w:rPr>
            <w:noProof/>
            <w:webHidden/>
          </w:rPr>
          <w:fldChar w:fldCharType="separate"/>
        </w:r>
        <w:r>
          <w:rPr>
            <w:noProof/>
            <w:webHidden/>
          </w:rPr>
          <w:t>34</w:t>
        </w:r>
        <w:r>
          <w:rPr>
            <w:noProof/>
            <w:webHidden/>
          </w:rPr>
          <w:fldChar w:fldCharType="end"/>
        </w:r>
      </w:hyperlink>
    </w:p>
    <w:p w14:paraId="3CAD08A0" w14:textId="65FE5CD9" w:rsidR="00C93FD7" w:rsidRDefault="00C93FD7">
      <w:pPr>
        <w:pStyle w:val="Spisilustracji"/>
        <w:tabs>
          <w:tab w:val="right" w:leader="dot" w:pos="9061"/>
        </w:tabs>
        <w:rPr>
          <w:rFonts w:eastAsiaTheme="minorEastAsia"/>
          <w:noProof/>
          <w:sz w:val="22"/>
          <w:lang w:eastAsia="pl-PL"/>
        </w:rPr>
      </w:pPr>
      <w:hyperlink w:anchor="_Toc27125383" w:history="1">
        <w:r w:rsidRPr="00F16ED1">
          <w:rPr>
            <w:rStyle w:val="Hipercze"/>
            <w:noProof/>
          </w:rPr>
          <w:t>Rysunek 5. Wyniki badania metodą uporządkowanej regresji logistycznej – cała próba (n = 916) na tle średniej oceny jakości cząstkowych</w:t>
        </w:r>
        <w:r>
          <w:rPr>
            <w:noProof/>
            <w:webHidden/>
          </w:rPr>
          <w:tab/>
        </w:r>
        <w:r>
          <w:rPr>
            <w:noProof/>
            <w:webHidden/>
          </w:rPr>
          <w:fldChar w:fldCharType="begin"/>
        </w:r>
        <w:r>
          <w:rPr>
            <w:noProof/>
            <w:webHidden/>
          </w:rPr>
          <w:instrText xml:space="preserve"> PAGEREF _Toc27125383 \h </w:instrText>
        </w:r>
        <w:r>
          <w:rPr>
            <w:noProof/>
            <w:webHidden/>
          </w:rPr>
        </w:r>
        <w:r>
          <w:rPr>
            <w:noProof/>
            <w:webHidden/>
          </w:rPr>
          <w:fldChar w:fldCharType="separate"/>
        </w:r>
        <w:r>
          <w:rPr>
            <w:noProof/>
            <w:webHidden/>
          </w:rPr>
          <w:t>36</w:t>
        </w:r>
        <w:r>
          <w:rPr>
            <w:noProof/>
            <w:webHidden/>
          </w:rPr>
          <w:fldChar w:fldCharType="end"/>
        </w:r>
      </w:hyperlink>
    </w:p>
    <w:p w14:paraId="5530AC14" w14:textId="50687B7C" w:rsidR="00C93FD7" w:rsidRDefault="00C93FD7">
      <w:pPr>
        <w:pStyle w:val="Spisilustracji"/>
        <w:tabs>
          <w:tab w:val="right" w:leader="dot" w:pos="9061"/>
        </w:tabs>
        <w:rPr>
          <w:rFonts w:eastAsiaTheme="minorEastAsia"/>
          <w:noProof/>
          <w:sz w:val="22"/>
          <w:lang w:eastAsia="pl-PL"/>
        </w:rPr>
      </w:pPr>
      <w:hyperlink w:anchor="_Toc27125384" w:history="1">
        <w:r w:rsidRPr="00F16ED1">
          <w:rPr>
            <w:rStyle w:val="Hipercze"/>
            <w:noProof/>
          </w:rPr>
          <w:t>Rysunek 6. Lokalizacja inwestycji POIiŚ 2014-2020 w miastach Polski, wraz z liczbą i wartością dofinansowanych projektów.</w:t>
        </w:r>
        <w:r>
          <w:rPr>
            <w:noProof/>
            <w:webHidden/>
          </w:rPr>
          <w:tab/>
        </w:r>
        <w:r>
          <w:rPr>
            <w:noProof/>
            <w:webHidden/>
          </w:rPr>
          <w:fldChar w:fldCharType="begin"/>
        </w:r>
        <w:r>
          <w:rPr>
            <w:noProof/>
            <w:webHidden/>
          </w:rPr>
          <w:instrText xml:space="preserve"> PAGEREF _Toc27125384 \h </w:instrText>
        </w:r>
        <w:r>
          <w:rPr>
            <w:noProof/>
            <w:webHidden/>
          </w:rPr>
        </w:r>
        <w:r>
          <w:rPr>
            <w:noProof/>
            <w:webHidden/>
          </w:rPr>
          <w:fldChar w:fldCharType="separate"/>
        </w:r>
        <w:r>
          <w:rPr>
            <w:noProof/>
            <w:webHidden/>
          </w:rPr>
          <w:t>37</w:t>
        </w:r>
        <w:r>
          <w:rPr>
            <w:noProof/>
            <w:webHidden/>
          </w:rPr>
          <w:fldChar w:fldCharType="end"/>
        </w:r>
      </w:hyperlink>
    </w:p>
    <w:p w14:paraId="47465FD2" w14:textId="10824F13" w:rsidR="00C93FD7" w:rsidRDefault="00C93FD7">
      <w:pPr>
        <w:pStyle w:val="Spisilustracji"/>
        <w:tabs>
          <w:tab w:val="right" w:leader="dot" w:pos="9061"/>
        </w:tabs>
        <w:rPr>
          <w:rFonts w:eastAsiaTheme="minorEastAsia"/>
          <w:noProof/>
          <w:sz w:val="22"/>
          <w:lang w:eastAsia="pl-PL"/>
        </w:rPr>
      </w:pPr>
      <w:hyperlink w:anchor="_Toc27125385" w:history="1">
        <w:r w:rsidRPr="00F16ED1">
          <w:rPr>
            <w:rStyle w:val="Hipercze"/>
            <w:noProof/>
          </w:rPr>
          <w:t>Rysunek 7. Podział inwestycji POIiŚ 2014-2020 między tabor, infrastrukturę i rozwiązania ITS, według szacowanej całkowitej wartości projektów.</w:t>
        </w:r>
        <w:r>
          <w:rPr>
            <w:noProof/>
            <w:webHidden/>
          </w:rPr>
          <w:tab/>
        </w:r>
        <w:r>
          <w:rPr>
            <w:noProof/>
            <w:webHidden/>
          </w:rPr>
          <w:fldChar w:fldCharType="begin"/>
        </w:r>
        <w:r>
          <w:rPr>
            <w:noProof/>
            <w:webHidden/>
          </w:rPr>
          <w:instrText xml:space="preserve"> PAGEREF _Toc27125385 \h </w:instrText>
        </w:r>
        <w:r>
          <w:rPr>
            <w:noProof/>
            <w:webHidden/>
          </w:rPr>
        </w:r>
        <w:r>
          <w:rPr>
            <w:noProof/>
            <w:webHidden/>
          </w:rPr>
          <w:fldChar w:fldCharType="separate"/>
        </w:r>
        <w:r>
          <w:rPr>
            <w:noProof/>
            <w:webHidden/>
          </w:rPr>
          <w:t>38</w:t>
        </w:r>
        <w:r>
          <w:rPr>
            <w:noProof/>
            <w:webHidden/>
          </w:rPr>
          <w:fldChar w:fldCharType="end"/>
        </w:r>
      </w:hyperlink>
    </w:p>
    <w:p w14:paraId="71D6CBFC" w14:textId="0E52BA9B" w:rsidR="00C93FD7" w:rsidRDefault="00C93FD7">
      <w:pPr>
        <w:pStyle w:val="Spisilustracji"/>
        <w:tabs>
          <w:tab w:val="right" w:leader="dot" w:pos="9061"/>
        </w:tabs>
        <w:rPr>
          <w:rFonts w:eastAsiaTheme="minorEastAsia"/>
          <w:noProof/>
          <w:sz w:val="22"/>
          <w:lang w:eastAsia="pl-PL"/>
        </w:rPr>
      </w:pPr>
      <w:hyperlink w:anchor="_Toc27125386" w:history="1">
        <w:r w:rsidRPr="00F16ED1">
          <w:rPr>
            <w:rStyle w:val="Hipercze"/>
            <w:noProof/>
          </w:rPr>
          <w:t>Rysunek 8. Podział inwestycji POIiŚ 2014-2020 między środki transportu oraz infrastrukturę multimodalną, według szacowanej całkowitej wartości projektów [mln zł].</w:t>
        </w:r>
        <w:r>
          <w:rPr>
            <w:noProof/>
            <w:webHidden/>
          </w:rPr>
          <w:tab/>
        </w:r>
        <w:r>
          <w:rPr>
            <w:noProof/>
            <w:webHidden/>
          </w:rPr>
          <w:fldChar w:fldCharType="begin"/>
        </w:r>
        <w:r>
          <w:rPr>
            <w:noProof/>
            <w:webHidden/>
          </w:rPr>
          <w:instrText xml:space="preserve"> PAGEREF _Toc27125386 \h </w:instrText>
        </w:r>
        <w:r>
          <w:rPr>
            <w:noProof/>
            <w:webHidden/>
          </w:rPr>
        </w:r>
        <w:r>
          <w:rPr>
            <w:noProof/>
            <w:webHidden/>
          </w:rPr>
          <w:fldChar w:fldCharType="separate"/>
        </w:r>
        <w:r>
          <w:rPr>
            <w:noProof/>
            <w:webHidden/>
          </w:rPr>
          <w:t>38</w:t>
        </w:r>
        <w:r>
          <w:rPr>
            <w:noProof/>
            <w:webHidden/>
          </w:rPr>
          <w:fldChar w:fldCharType="end"/>
        </w:r>
      </w:hyperlink>
    </w:p>
    <w:p w14:paraId="585C7470" w14:textId="1424305A" w:rsidR="00C93FD7" w:rsidRDefault="00C93FD7">
      <w:pPr>
        <w:pStyle w:val="Spisilustracji"/>
        <w:tabs>
          <w:tab w:val="right" w:leader="dot" w:pos="9061"/>
        </w:tabs>
        <w:rPr>
          <w:rFonts w:eastAsiaTheme="minorEastAsia"/>
          <w:noProof/>
          <w:sz w:val="22"/>
          <w:lang w:eastAsia="pl-PL"/>
        </w:rPr>
      </w:pPr>
      <w:hyperlink w:anchor="_Toc27125387" w:history="1">
        <w:r w:rsidRPr="00F16ED1">
          <w:rPr>
            <w:rStyle w:val="Hipercze"/>
            <w:noProof/>
          </w:rPr>
          <w:t>Rysunek 9. Wydatki jednostek samorządu terytorialnego na lokalny transport zbiorowy i praca eksploatacyjna w komunikacji miejskiej w latach 2007-2015.</w:t>
        </w:r>
        <w:r>
          <w:rPr>
            <w:noProof/>
            <w:webHidden/>
          </w:rPr>
          <w:tab/>
        </w:r>
        <w:r>
          <w:rPr>
            <w:noProof/>
            <w:webHidden/>
          </w:rPr>
          <w:fldChar w:fldCharType="begin"/>
        </w:r>
        <w:r>
          <w:rPr>
            <w:noProof/>
            <w:webHidden/>
          </w:rPr>
          <w:instrText xml:space="preserve"> PAGEREF _Toc27125387 \h </w:instrText>
        </w:r>
        <w:r>
          <w:rPr>
            <w:noProof/>
            <w:webHidden/>
          </w:rPr>
        </w:r>
        <w:r>
          <w:rPr>
            <w:noProof/>
            <w:webHidden/>
          </w:rPr>
          <w:fldChar w:fldCharType="separate"/>
        </w:r>
        <w:r>
          <w:rPr>
            <w:noProof/>
            <w:webHidden/>
          </w:rPr>
          <w:t>41</w:t>
        </w:r>
        <w:r>
          <w:rPr>
            <w:noProof/>
            <w:webHidden/>
          </w:rPr>
          <w:fldChar w:fldCharType="end"/>
        </w:r>
      </w:hyperlink>
    </w:p>
    <w:p w14:paraId="6DEBCA1F" w14:textId="731BE387" w:rsidR="00C93FD7" w:rsidRDefault="00C93FD7">
      <w:pPr>
        <w:pStyle w:val="Spisilustracji"/>
        <w:tabs>
          <w:tab w:val="right" w:leader="dot" w:pos="9061"/>
        </w:tabs>
        <w:rPr>
          <w:rFonts w:eastAsiaTheme="minorEastAsia"/>
          <w:noProof/>
          <w:sz w:val="22"/>
          <w:lang w:eastAsia="pl-PL"/>
        </w:rPr>
      </w:pPr>
      <w:hyperlink w:anchor="_Toc27125388" w:history="1">
        <w:r w:rsidRPr="00F16ED1">
          <w:rPr>
            <w:rStyle w:val="Hipercze"/>
            <w:noProof/>
          </w:rPr>
          <w:t>Rysunek 10. Lokalizacja inwestycji POIiŚ 2007-2013, 2014-2020 oraz krytycznych punktów infrastruktury pod względem przepustowości w Warszawie.</w:t>
        </w:r>
        <w:r>
          <w:rPr>
            <w:noProof/>
            <w:webHidden/>
          </w:rPr>
          <w:tab/>
        </w:r>
        <w:r>
          <w:rPr>
            <w:noProof/>
            <w:webHidden/>
          </w:rPr>
          <w:fldChar w:fldCharType="begin"/>
        </w:r>
        <w:r>
          <w:rPr>
            <w:noProof/>
            <w:webHidden/>
          </w:rPr>
          <w:instrText xml:space="preserve"> PAGEREF _Toc27125388 \h </w:instrText>
        </w:r>
        <w:r>
          <w:rPr>
            <w:noProof/>
            <w:webHidden/>
          </w:rPr>
        </w:r>
        <w:r>
          <w:rPr>
            <w:noProof/>
            <w:webHidden/>
          </w:rPr>
          <w:fldChar w:fldCharType="separate"/>
        </w:r>
        <w:r>
          <w:rPr>
            <w:noProof/>
            <w:webHidden/>
          </w:rPr>
          <w:t>43</w:t>
        </w:r>
        <w:r>
          <w:rPr>
            <w:noProof/>
            <w:webHidden/>
          </w:rPr>
          <w:fldChar w:fldCharType="end"/>
        </w:r>
      </w:hyperlink>
    </w:p>
    <w:p w14:paraId="09B5F483" w14:textId="404606F0" w:rsidR="00C93FD7" w:rsidRDefault="00C93FD7">
      <w:pPr>
        <w:pStyle w:val="Spisilustracji"/>
        <w:tabs>
          <w:tab w:val="right" w:leader="dot" w:pos="9061"/>
        </w:tabs>
        <w:rPr>
          <w:rFonts w:eastAsiaTheme="minorEastAsia"/>
          <w:noProof/>
          <w:sz w:val="22"/>
          <w:lang w:eastAsia="pl-PL"/>
        </w:rPr>
      </w:pPr>
      <w:hyperlink w:anchor="_Toc27125389" w:history="1">
        <w:r w:rsidRPr="00F16ED1">
          <w:rPr>
            <w:rStyle w:val="Hipercze"/>
            <w:noProof/>
          </w:rPr>
          <w:t>Rysunek 11. Lokalizacja inwestycji POIiŚ 2007-2013, 2014-2020 oraz krytycznych punktów infrastruktury pod względem przepustowości we Wrocławiu.</w:t>
        </w:r>
        <w:r>
          <w:rPr>
            <w:noProof/>
            <w:webHidden/>
          </w:rPr>
          <w:tab/>
        </w:r>
        <w:r>
          <w:rPr>
            <w:noProof/>
            <w:webHidden/>
          </w:rPr>
          <w:fldChar w:fldCharType="begin"/>
        </w:r>
        <w:r>
          <w:rPr>
            <w:noProof/>
            <w:webHidden/>
          </w:rPr>
          <w:instrText xml:space="preserve"> PAGEREF _Toc27125389 \h </w:instrText>
        </w:r>
        <w:r>
          <w:rPr>
            <w:noProof/>
            <w:webHidden/>
          </w:rPr>
        </w:r>
        <w:r>
          <w:rPr>
            <w:noProof/>
            <w:webHidden/>
          </w:rPr>
          <w:fldChar w:fldCharType="separate"/>
        </w:r>
        <w:r>
          <w:rPr>
            <w:noProof/>
            <w:webHidden/>
          </w:rPr>
          <w:t>44</w:t>
        </w:r>
        <w:r>
          <w:rPr>
            <w:noProof/>
            <w:webHidden/>
          </w:rPr>
          <w:fldChar w:fldCharType="end"/>
        </w:r>
      </w:hyperlink>
    </w:p>
    <w:p w14:paraId="2471F2C6" w14:textId="55D53FBA" w:rsidR="00C93FD7" w:rsidRDefault="00C93FD7">
      <w:pPr>
        <w:pStyle w:val="Spisilustracji"/>
        <w:tabs>
          <w:tab w:val="right" w:leader="dot" w:pos="9061"/>
        </w:tabs>
        <w:rPr>
          <w:rFonts w:eastAsiaTheme="minorEastAsia"/>
          <w:noProof/>
          <w:sz w:val="22"/>
          <w:lang w:eastAsia="pl-PL"/>
        </w:rPr>
      </w:pPr>
      <w:hyperlink w:anchor="_Toc27125390" w:history="1">
        <w:r w:rsidRPr="00F16ED1">
          <w:rPr>
            <w:rStyle w:val="Hipercze"/>
            <w:noProof/>
          </w:rPr>
          <w:t>Rysunek 12. Wykres demograficzny osób ankietowanych.</w:t>
        </w:r>
        <w:r>
          <w:rPr>
            <w:noProof/>
            <w:webHidden/>
          </w:rPr>
          <w:tab/>
        </w:r>
        <w:r>
          <w:rPr>
            <w:noProof/>
            <w:webHidden/>
          </w:rPr>
          <w:fldChar w:fldCharType="begin"/>
        </w:r>
        <w:r>
          <w:rPr>
            <w:noProof/>
            <w:webHidden/>
          </w:rPr>
          <w:instrText xml:space="preserve"> PAGEREF _Toc27125390 \h </w:instrText>
        </w:r>
        <w:r>
          <w:rPr>
            <w:noProof/>
            <w:webHidden/>
          </w:rPr>
        </w:r>
        <w:r>
          <w:rPr>
            <w:noProof/>
            <w:webHidden/>
          </w:rPr>
          <w:fldChar w:fldCharType="separate"/>
        </w:r>
        <w:r>
          <w:rPr>
            <w:noProof/>
            <w:webHidden/>
          </w:rPr>
          <w:t>67</w:t>
        </w:r>
        <w:r>
          <w:rPr>
            <w:noProof/>
            <w:webHidden/>
          </w:rPr>
          <w:fldChar w:fldCharType="end"/>
        </w:r>
      </w:hyperlink>
    </w:p>
    <w:p w14:paraId="427B5DB6" w14:textId="6899584B" w:rsidR="00C93FD7" w:rsidRDefault="00C93FD7">
      <w:pPr>
        <w:pStyle w:val="Spisilustracji"/>
        <w:tabs>
          <w:tab w:val="right" w:leader="dot" w:pos="9061"/>
        </w:tabs>
        <w:rPr>
          <w:rFonts w:eastAsiaTheme="minorEastAsia"/>
          <w:noProof/>
          <w:sz w:val="22"/>
          <w:lang w:eastAsia="pl-PL"/>
        </w:rPr>
      </w:pPr>
      <w:hyperlink w:anchor="_Toc27125391" w:history="1">
        <w:r w:rsidRPr="00F16ED1">
          <w:rPr>
            <w:rStyle w:val="Hipercze"/>
            <w:noProof/>
          </w:rPr>
          <w:t>Rysunek 13. Aktualne zajęcie osób ankietowanych w podziale na wiek.</w:t>
        </w:r>
        <w:r>
          <w:rPr>
            <w:noProof/>
            <w:webHidden/>
          </w:rPr>
          <w:tab/>
        </w:r>
        <w:r>
          <w:rPr>
            <w:noProof/>
            <w:webHidden/>
          </w:rPr>
          <w:fldChar w:fldCharType="begin"/>
        </w:r>
        <w:r>
          <w:rPr>
            <w:noProof/>
            <w:webHidden/>
          </w:rPr>
          <w:instrText xml:space="preserve"> PAGEREF _Toc27125391 \h </w:instrText>
        </w:r>
        <w:r>
          <w:rPr>
            <w:noProof/>
            <w:webHidden/>
          </w:rPr>
        </w:r>
        <w:r>
          <w:rPr>
            <w:noProof/>
            <w:webHidden/>
          </w:rPr>
          <w:fldChar w:fldCharType="separate"/>
        </w:r>
        <w:r>
          <w:rPr>
            <w:noProof/>
            <w:webHidden/>
          </w:rPr>
          <w:t>67</w:t>
        </w:r>
        <w:r>
          <w:rPr>
            <w:noProof/>
            <w:webHidden/>
          </w:rPr>
          <w:fldChar w:fldCharType="end"/>
        </w:r>
      </w:hyperlink>
    </w:p>
    <w:p w14:paraId="11C6E969" w14:textId="6800D204" w:rsidR="00C93FD7" w:rsidRDefault="00C93FD7">
      <w:pPr>
        <w:pStyle w:val="Spisilustracji"/>
        <w:tabs>
          <w:tab w:val="right" w:leader="dot" w:pos="9061"/>
        </w:tabs>
        <w:rPr>
          <w:rFonts w:eastAsiaTheme="minorEastAsia"/>
          <w:noProof/>
          <w:sz w:val="22"/>
          <w:lang w:eastAsia="pl-PL"/>
        </w:rPr>
      </w:pPr>
      <w:hyperlink w:anchor="_Toc27125392" w:history="1">
        <w:r w:rsidRPr="00F16ED1">
          <w:rPr>
            <w:rStyle w:val="Hipercze"/>
            <w:noProof/>
          </w:rPr>
          <w:t>Rysunek 14. Dostępność samochodu w gospodarstwie domowym w zależności od wielkości miasta.</w:t>
        </w:r>
        <w:r>
          <w:rPr>
            <w:noProof/>
            <w:webHidden/>
          </w:rPr>
          <w:tab/>
        </w:r>
        <w:r>
          <w:rPr>
            <w:noProof/>
            <w:webHidden/>
          </w:rPr>
          <w:fldChar w:fldCharType="begin"/>
        </w:r>
        <w:r>
          <w:rPr>
            <w:noProof/>
            <w:webHidden/>
          </w:rPr>
          <w:instrText xml:space="preserve"> PAGEREF _Toc27125392 \h </w:instrText>
        </w:r>
        <w:r>
          <w:rPr>
            <w:noProof/>
            <w:webHidden/>
          </w:rPr>
        </w:r>
        <w:r>
          <w:rPr>
            <w:noProof/>
            <w:webHidden/>
          </w:rPr>
          <w:fldChar w:fldCharType="separate"/>
        </w:r>
        <w:r>
          <w:rPr>
            <w:noProof/>
            <w:webHidden/>
          </w:rPr>
          <w:t>68</w:t>
        </w:r>
        <w:r>
          <w:rPr>
            <w:noProof/>
            <w:webHidden/>
          </w:rPr>
          <w:fldChar w:fldCharType="end"/>
        </w:r>
      </w:hyperlink>
    </w:p>
    <w:p w14:paraId="16F50FE7" w14:textId="30A0C540" w:rsidR="00C93FD7" w:rsidRDefault="00C93FD7">
      <w:pPr>
        <w:pStyle w:val="Spisilustracji"/>
        <w:tabs>
          <w:tab w:val="right" w:leader="dot" w:pos="9061"/>
        </w:tabs>
        <w:rPr>
          <w:rFonts w:eastAsiaTheme="minorEastAsia"/>
          <w:noProof/>
          <w:sz w:val="22"/>
          <w:lang w:eastAsia="pl-PL"/>
        </w:rPr>
      </w:pPr>
      <w:hyperlink w:anchor="_Toc27125393" w:history="1">
        <w:r w:rsidRPr="00F16ED1">
          <w:rPr>
            <w:rStyle w:val="Hipercze"/>
            <w:noProof/>
          </w:rPr>
          <w:t>Rysunek 15. Podział modalny codziennych podróży w badanych przekrojach ludności miast.</w:t>
        </w:r>
        <w:r>
          <w:rPr>
            <w:noProof/>
            <w:webHidden/>
          </w:rPr>
          <w:tab/>
        </w:r>
        <w:r>
          <w:rPr>
            <w:noProof/>
            <w:webHidden/>
          </w:rPr>
          <w:fldChar w:fldCharType="begin"/>
        </w:r>
        <w:r>
          <w:rPr>
            <w:noProof/>
            <w:webHidden/>
          </w:rPr>
          <w:instrText xml:space="preserve"> PAGEREF _Toc27125393 \h </w:instrText>
        </w:r>
        <w:r>
          <w:rPr>
            <w:noProof/>
            <w:webHidden/>
          </w:rPr>
        </w:r>
        <w:r>
          <w:rPr>
            <w:noProof/>
            <w:webHidden/>
          </w:rPr>
          <w:fldChar w:fldCharType="separate"/>
        </w:r>
        <w:r>
          <w:rPr>
            <w:noProof/>
            <w:webHidden/>
          </w:rPr>
          <w:t>68</w:t>
        </w:r>
        <w:r>
          <w:rPr>
            <w:noProof/>
            <w:webHidden/>
          </w:rPr>
          <w:fldChar w:fldCharType="end"/>
        </w:r>
      </w:hyperlink>
    </w:p>
    <w:p w14:paraId="526FD195" w14:textId="3307E585" w:rsidR="00C93FD7" w:rsidRDefault="00C93FD7">
      <w:pPr>
        <w:pStyle w:val="Spisilustracji"/>
        <w:tabs>
          <w:tab w:val="right" w:leader="dot" w:pos="9061"/>
        </w:tabs>
        <w:rPr>
          <w:rFonts w:eastAsiaTheme="minorEastAsia"/>
          <w:noProof/>
          <w:sz w:val="22"/>
          <w:lang w:eastAsia="pl-PL"/>
        </w:rPr>
      </w:pPr>
      <w:hyperlink w:anchor="_Toc27125394" w:history="1">
        <w:r w:rsidRPr="00F16ED1">
          <w:rPr>
            <w:rStyle w:val="Hipercze"/>
            <w:noProof/>
          </w:rPr>
          <w:t xml:space="preserve">Rysunek 16. </w:t>
        </w:r>
        <w:r w:rsidRPr="00F16ED1">
          <w:rPr>
            <w:rStyle w:val="Hipercze"/>
            <w:i/>
            <w:noProof/>
          </w:rPr>
          <w:t>Modal split</w:t>
        </w:r>
        <w:r w:rsidRPr="00F16ED1">
          <w:rPr>
            <w:rStyle w:val="Hipercze"/>
            <w:noProof/>
          </w:rPr>
          <w:t xml:space="preserve"> podróży codziennych w grupie badanych mieszkańców miast Polski.</w:t>
        </w:r>
        <w:r>
          <w:rPr>
            <w:noProof/>
            <w:webHidden/>
          </w:rPr>
          <w:tab/>
        </w:r>
        <w:r>
          <w:rPr>
            <w:noProof/>
            <w:webHidden/>
          </w:rPr>
          <w:fldChar w:fldCharType="begin"/>
        </w:r>
        <w:r>
          <w:rPr>
            <w:noProof/>
            <w:webHidden/>
          </w:rPr>
          <w:instrText xml:space="preserve"> PAGEREF _Toc27125394 \h </w:instrText>
        </w:r>
        <w:r>
          <w:rPr>
            <w:noProof/>
            <w:webHidden/>
          </w:rPr>
        </w:r>
        <w:r>
          <w:rPr>
            <w:noProof/>
            <w:webHidden/>
          </w:rPr>
          <w:fldChar w:fldCharType="separate"/>
        </w:r>
        <w:r>
          <w:rPr>
            <w:noProof/>
            <w:webHidden/>
          </w:rPr>
          <w:t>70</w:t>
        </w:r>
        <w:r>
          <w:rPr>
            <w:noProof/>
            <w:webHidden/>
          </w:rPr>
          <w:fldChar w:fldCharType="end"/>
        </w:r>
      </w:hyperlink>
    </w:p>
    <w:p w14:paraId="26C8119B" w14:textId="0A6AE461" w:rsidR="00C93FD7" w:rsidRDefault="00C93FD7">
      <w:pPr>
        <w:pStyle w:val="Spisilustracji"/>
        <w:tabs>
          <w:tab w:val="right" w:leader="dot" w:pos="9061"/>
        </w:tabs>
        <w:rPr>
          <w:rFonts w:eastAsiaTheme="minorEastAsia"/>
          <w:noProof/>
          <w:sz w:val="22"/>
          <w:lang w:eastAsia="pl-PL"/>
        </w:rPr>
      </w:pPr>
      <w:hyperlink w:anchor="_Toc27125395" w:history="1">
        <w:r w:rsidRPr="00F16ED1">
          <w:rPr>
            <w:rStyle w:val="Hipercze"/>
            <w:noProof/>
          </w:rPr>
          <w:t>Rysunek 17. Częstotliwość korzystania ze środków transportu w grupie badanych osób.</w:t>
        </w:r>
        <w:r>
          <w:rPr>
            <w:noProof/>
            <w:webHidden/>
          </w:rPr>
          <w:tab/>
        </w:r>
        <w:r>
          <w:rPr>
            <w:noProof/>
            <w:webHidden/>
          </w:rPr>
          <w:fldChar w:fldCharType="begin"/>
        </w:r>
        <w:r>
          <w:rPr>
            <w:noProof/>
            <w:webHidden/>
          </w:rPr>
          <w:instrText xml:space="preserve"> PAGEREF _Toc27125395 \h </w:instrText>
        </w:r>
        <w:r>
          <w:rPr>
            <w:noProof/>
            <w:webHidden/>
          </w:rPr>
        </w:r>
        <w:r>
          <w:rPr>
            <w:noProof/>
            <w:webHidden/>
          </w:rPr>
          <w:fldChar w:fldCharType="separate"/>
        </w:r>
        <w:r>
          <w:rPr>
            <w:noProof/>
            <w:webHidden/>
          </w:rPr>
          <w:t>71</w:t>
        </w:r>
        <w:r>
          <w:rPr>
            <w:noProof/>
            <w:webHidden/>
          </w:rPr>
          <w:fldChar w:fldCharType="end"/>
        </w:r>
      </w:hyperlink>
    </w:p>
    <w:p w14:paraId="64581DEE" w14:textId="62211EF3" w:rsidR="00C93FD7" w:rsidRDefault="00C93FD7">
      <w:pPr>
        <w:pStyle w:val="Spisilustracji"/>
        <w:tabs>
          <w:tab w:val="right" w:leader="dot" w:pos="9061"/>
        </w:tabs>
        <w:rPr>
          <w:rFonts w:eastAsiaTheme="minorEastAsia"/>
          <w:noProof/>
          <w:sz w:val="22"/>
          <w:lang w:eastAsia="pl-PL"/>
        </w:rPr>
      </w:pPr>
      <w:hyperlink w:anchor="_Toc27125396" w:history="1">
        <w:r w:rsidRPr="00F16ED1">
          <w:rPr>
            <w:rStyle w:val="Hipercze"/>
            <w:noProof/>
          </w:rPr>
          <w:t>Rysunek 18. Ocena komunikacji miejskiej (wszyscy respondenci).</w:t>
        </w:r>
        <w:r>
          <w:rPr>
            <w:noProof/>
            <w:webHidden/>
          </w:rPr>
          <w:tab/>
        </w:r>
        <w:r>
          <w:rPr>
            <w:noProof/>
            <w:webHidden/>
          </w:rPr>
          <w:fldChar w:fldCharType="begin"/>
        </w:r>
        <w:r>
          <w:rPr>
            <w:noProof/>
            <w:webHidden/>
          </w:rPr>
          <w:instrText xml:space="preserve"> PAGEREF _Toc27125396 \h </w:instrText>
        </w:r>
        <w:r>
          <w:rPr>
            <w:noProof/>
            <w:webHidden/>
          </w:rPr>
        </w:r>
        <w:r>
          <w:rPr>
            <w:noProof/>
            <w:webHidden/>
          </w:rPr>
          <w:fldChar w:fldCharType="separate"/>
        </w:r>
        <w:r>
          <w:rPr>
            <w:noProof/>
            <w:webHidden/>
          </w:rPr>
          <w:t>71</w:t>
        </w:r>
        <w:r>
          <w:rPr>
            <w:noProof/>
            <w:webHidden/>
          </w:rPr>
          <w:fldChar w:fldCharType="end"/>
        </w:r>
      </w:hyperlink>
    </w:p>
    <w:p w14:paraId="23811D43" w14:textId="06040C7A" w:rsidR="00C93FD7" w:rsidRDefault="00C93FD7">
      <w:pPr>
        <w:pStyle w:val="Spisilustracji"/>
        <w:tabs>
          <w:tab w:val="right" w:leader="dot" w:pos="9061"/>
        </w:tabs>
        <w:rPr>
          <w:rFonts w:eastAsiaTheme="minorEastAsia"/>
          <w:noProof/>
          <w:sz w:val="22"/>
          <w:lang w:eastAsia="pl-PL"/>
        </w:rPr>
      </w:pPr>
      <w:hyperlink w:anchor="_Toc27125397" w:history="1">
        <w:r w:rsidRPr="00F16ED1">
          <w:rPr>
            <w:rStyle w:val="Hipercze"/>
            <w:noProof/>
          </w:rPr>
          <w:t>Rysunek 19. Ocena dostępności komunikacji miejskiej (wszyscy respondenci).</w:t>
        </w:r>
        <w:r>
          <w:rPr>
            <w:noProof/>
            <w:webHidden/>
          </w:rPr>
          <w:tab/>
        </w:r>
        <w:r>
          <w:rPr>
            <w:noProof/>
            <w:webHidden/>
          </w:rPr>
          <w:fldChar w:fldCharType="begin"/>
        </w:r>
        <w:r>
          <w:rPr>
            <w:noProof/>
            <w:webHidden/>
          </w:rPr>
          <w:instrText xml:space="preserve"> PAGEREF _Toc27125397 \h </w:instrText>
        </w:r>
        <w:r>
          <w:rPr>
            <w:noProof/>
            <w:webHidden/>
          </w:rPr>
        </w:r>
        <w:r>
          <w:rPr>
            <w:noProof/>
            <w:webHidden/>
          </w:rPr>
          <w:fldChar w:fldCharType="separate"/>
        </w:r>
        <w:r>
          <w:rPr>
            <w:noProof/>
            <w:webHidden/>
          </w:rPr>
          <w:t>72</w:t>
        </w:r>
        <w:r>
          <w:rPr>
            <w:noProof/>
            <w:webHidden/>
          </w:rPr>
          <w:fldChar w:fldCharType="end"/>
        </w:r>
      </w:hyperlink>
    </w:p>
    <w:p w14:paraId="2B4C591A" w14:textId="71607670" w:rsidR="00C93FD7" w:rsidRDefault="00C93FD7">
      <w:pPr>
        <w:pStyle w:val="Spisilustracji"/>
        <w:tabs>
          <w:tab w:val="right" w:leader="dot" w:pos="9061"/>
        </w:tabs>
        <w:rPr>
          <w:rFonts w:eastAsiaTheme="minorEastAsia"/>
          <w:noProof/>
          <w:sz w:val="22"/>
          <w:lang w:eastAsia="pl-PL"/>
        </w:rPr>
      </w:pPr>
      <w:hyperlink w:anchor="_Toc27125398" w:history="1">
        <w:r w:rsidRPr="00F16ED1">
          <w:rPr>
            <w:rStyle w:val="Hipercze"/>
            <w:noProof/>
          </w:rPr>
          <w:t>Rysunek 20. Ocena komfortu pojazdów transportu publicznego (wszyscy respondenci).</w:t>
        </w:r>
        <w:r>
          <w:rPr>
            <w:noProof/>
            <w:webHidden/>
          </w:rPr>
          <w:tab/>
        </w:r>
        <w:r>
          <w:rPr>
            <w:noProof/>
            <w:webHidden/>
          </w:rPr>
          <w:fldChar w:fldCharType="begin"/>
        </w:r>
        <w:r>
          <w:rPr>
            <w:noProof/>
            <w:webHidden/>
          </w:rPr>
          <w:instrText xml:space="preserve"> PAGEREF _Toc27125398 \h </w:instrText>
        </w:r>
        <w:r>
          <w:rPr>
            <w:noProof/>
            <w:webHidden/>
          </w:rPr>
        </w:r>
        <w:r>
          <w:rPr>
            <w:noProof/>
            <w:webHidden/>
          </w:rPr>
          <w:fldChar w:fldCharType="separate"/>
        </w:r>
        <w:r>
          <w:rPr>
            <w:noProof/>
            <w:webHidden/>
          </w:rPr>
          <w:t>72</w:t>
        </w:r>
        <w:r>
          <w:rPr>
            <w:noProof/>
            <w:webHidden/>
          </w:rPr>
          <w:fldChar w:fldCharType="end"/>
        </w:r>
      </w:hyperlink>
    </w:p>
    <w:p w14:paraId="2B02F20B" w14:textId="10F2712E" w:rsidR="00C93FD7" w:rsidRDefault="00C93FD7">
      <w:pPr>
        <w:pStyle w:val="Spisilustracji"/>
        <w:tabs>
          <w:tab w:val="right" w:leader="dot" w:pos="9061"/>
        </w:tabs>
        <w:rPr>
          <w:rFonts w:eastAsiaTheme="minorEastAsia"/>
          <w:noProof/>
          <w:sz w:val="22"/>
          <w:lang w:eastAsia="pl-PL"/>
        </w:rPr>
      </w:pPr>
      <w:hyperlink w:anchor="_Toc27125399" w:history="1">
        <w:r w:rsidRPr="00F16ED1">
          <w:rPr>
            <w:rStyle w:val="Hipercze"/>
            <w:noProof/>
          </w:rPr>
          <w:t>Rysunek 21. Ocena zła lub bardzo zła dostępności informacji w sytuacjach awaryjnych z podziałem na poszczególne miasta (wszyscy respondenci).</w:t>
        </w:r>
        <w:r>
          <w:rPr>
            <w:noProof/>
            <w:webHidden/>
          </w:rPr>
          <w:tab/>
        </w:r>
        <w:r>
          <w:rPr>
            <w:noProof/>
            <w:webHidden/>
          </w:rPr>
          <w:fldChar w:fldCharType="begin"/>
        </w:r>
        <w:r>
          <w:rPr>
            <w:noProof/>
            <w:webHidden/>
          </w:rPr>
          <w:instrText xml:space="preserve"> PAGEREF _Toc27125399 \h </w:instrText>
        </w:r>
        <w:r>
          <w:rPr>
            <w:noProof/>
            <w:webHidden/>
          </w:rPr>
        </w:r>
        <w:r>
          <w:rPr>
            <w:noProof/>
            <w:webHidden/>
          </w:rPr>
          <w:fldChar w:fldCharType="separate"/>
        </w:r>
        <w:r>
          <w:rPr>
            <w:noProof/>
            <w:webHidden/>
          </w:rPr>
          <w:t>74</w:t>
        </w:r>
        <w:r>
          <w:rPr>
            <w:noProof/>
            <w:webHidden/>
          </w:rPr>
          <w:fldChar w:fldCharType="end"/>
        </w:r>
      </w:hyperlink>
    </w:p>
    <w:p w14:paraId="2B0C614B" w14:textId="69162A64" w:rsidR="00C93FD7" w:rsidRDefault="00C93FD7">
      <w:pPr>
        <w:pStyle w:val="Spisilustracji"/>
        <w:tabs>
          <w:tab w:val="right" w:leader="dot" w:pos="9061"/>
        </w:tabs>
        <w:rPr>
          <w:rFonts w:eastAsiaTheme="minorEastAsia"/>
          <w:noProof/>
          <w:sz w:val="22"/>
          <w:lang w:eastAsia="pl-PL"/>
        </w:rPr>
      </w:pPr>
      <w:hyperlink w:anchor="_Toc27125400" w:history="1">
        <w:r w:rsidRPr="00F16ED1">
          <w:rPr>
            <w:rStyle w:val="Hipercze"/>
            <w:noProof/>
          </w:rPr>
          <w:t>Rysunek 22. Czy Pan/Pani zgadza się czy nie zgadza z poniższymi stwierdzeniami? (ocena wśród korzystających zamiennie z samochodu i komunikacji miejskiej)</w:t>
        </w:r>
        <w:r>
          <w:rPr>
            <w:noProof/>
            <w:webHidden/>
          </w:rPr>
          <w:tab/>
        </w:r>
        <w:r>
          <w:rPr>
            <w:noProof/>
            <w:webHidden/>
          </w:rPr>
          <w:fldChar w:fldCharType="begin"/>
        </w:r>
        <w:r>
          <w:rPr>
            <w:noProof/>
            <w:webHidden/>
          </w:rPr>
          <w:instrText xml:space="preserve"> PAGEREF _Toc27125400 \h </w:instrText>
        </w:r>
        <w:r>
          <w:rPr>
            <w:noProof/>
            <w:webHidden/>
          </w:rPr>
        </w:r>
        <w:r>
          <w:rPr>
            <w:noProof/>
            <w:webHidden/>
          </w:rPr>
          <w:fldChar w:fldCharType="separate"/>
        </w:r>
        <w:r>
          <w:rPr>
            <w:noProof/>
            <w:webHidden/>
          </w:rPr>
          <w:t>75</w:t>
        </w:r>
        <w:r>
          <w:rPr>
            <w:noProof/>
            <w:webHidden/>
          </w:rPr>
          <w:fldChar w:fldCharType="end"/>
        </w:r>
      </w:hyperlink>
    </w:p>
    <w:p w14:paraId="14FD5729" w14:textId="5877B5C2" w:rsidR="00C93FD7" w:rsidRDefault="00C93FD7">
      <w:pPr>
        <w:pStyle w:val="Spisilustracji"/>
        <w:tabs>
          <w:tab w:val="right" w:leader="dot" w:pos="9061"/>
        </w:tabs>
        <w:rPr>
          <w:rFonts w:eastAsiaTheme="minorEastAsia"/>
          <w:noProof/>
          <w:sz w:val="22"/>
          <w:lang w:eastAsia="pl-PL"/>
        </w:rPr>
      </w:pPr>
      <w:hyperlink w:anchor="_Toc27125401" w:history="1">
        <w:r w:rsidRPr="00F16ED1">
          <w:rPr>
            <w:rStyle w:val="Hipercze"/>
            <w:noProof/>
          </w:rPr>
          <w:t xml:space="preserve">Rysunek 23. Wyniki modelowania AKK dla parkingów </w:t>
        </w:r>
        <w:r w:rsidRPr="00F16ED1">
          <w:rPr>
            <w:rStyle w:val="Hipercze"/>
            <w:i/>
            <w:noProof/>
          </w:rPr>
          <w:t>Park &amp; Ride</w:t>
        </w:r>
        <w:r>
          <w:rPr>
            <w:noProof/>
            <w:webHidden/>
          </w:rPr>
          <w:tab/>
        </w:r>
        <w:r>
          <w:rPr>
            <w:noProof/>
            <w:webHidden/>
          </w:rPr>
          <w:fldChar w:fldCharType="begin"/>
        </w:r>
        <w:r>
          <w:rPr>
            <w:noProof/>
            <w:webHidden/>
          </w:rPr>
          <w:instrText xml:space="preserve"> PAGEREF _Toc27125401 \h </w:instrText>
        </w:r>
        <w:r>
          <w:rPr>
            <w:noProof/>
            <w:webHidden/>
          </w:rPr>
        </w:r>
        <w:r>
          <w:rPr>
            <w:noProof/>
            <w:webHidden/>
          </w:rPr>
          <w:fldChar w:fldCharType="separate"/>
        </w:r>
        <w:r>
          <w:rPr>
            <w:noProof/>
            <w:webHidden/>
          </w:rPr>
          <w:t>86</w:t>
        </w:r>
        <w:r>
          <w:rPr>
            <w:noProof/>
            <w:webHidden/>
          </w:rPr>
          <w:fldChar w:fldCharType="end"/>
        </w:r>
      </w:hyperlink>
    </w:p>
    <w:p w14:paraId="46DEDD40" w14:textId="20AAEA6F" w:rsidR="004C5F93" w:rsidRDefault="004C5F93" w:rsidP="002071E4">
      <w:pPr>
        <w:pStyle w:val="Podtytu"/>
      </w:pPr>
      <w:r>
        <w:lastRenderedPageBreak/>
        <w:fldChar w:fldCharType="end"/>
      </w:r>
      <w:r>
        <w:t>SPIS ZDJĘĆ</w:t>
      </w:r>
    </w:p>
    <w:p w14:paraId="566F5820" w14:textId="2F7E909C" w:rsidR="00C93FD7" w:rsidRDefault="004C5F93">
      <w:pPr>
        <w:pStyle w:val="Spisilustracji"/>
        <w:tabs>
          <w:tab w:val="right" w:leader="dot" w:pos="9061"/>
        </w:tabs>
        <w:rPr>
          <w:rFonts w:eastAsiaTheme="minorEastAsia"/>
          <w:noProof/>
          <w:sz w:val="22"/>
          <w:lang w:eastAsia="pl-PL"/>
        </w:rPr>
      </w:pPr>
      <w:r>
        <w:fldChar w:fldCharType="begin"/>
      </w:r>
      <w:r>
        <w:instrText xml:space="preserve"> TOC \h \z \c "Zdjęcie" </w:instrText>
      </w:r>
      <w:r>
        <w:fldChar w:fldCharType="separate"/>
      </w:r>
      <w:hyperlink w:anchor="_Toc27125402" w:history="1">
        <w:r w:rsidR="00C93FD7" w:rsidRPr="00944294">
          <w:rPr>
            <w:rStyle w:val="Hipercze"/>
            <w:noProof/>
          </w:rPr>
          <w:t>Zdjęcie 1. Warszawa, węzeł Dworzec Zachodni. Zator drogowy w al. Prymasa Tysiąclecia. W</w:t>
        </w:r>
        <w:r w:rsidR="00C93FD7" w:rsidRPr="00944294">
          <w:rPr>
            <w:rStyle w:val="Hipercze"/>
            <w:rFonts w:ascii="Calibri" w:hAnsi="Calibri" w:cs="Calibri"/>
            <w:noProof/>
          </w:rPr>
          <w:t> </w:t>
        </w:r>
        <w:r w:rsidR="00C93FD7" w:rsidRPr="00944294">
          <w:rPr>
            <w:rStyle w:val="Hipercze"/>
            <w:noProof/>
          </w:rPr>
          <w:t>godzinach szczytu przejazd autobusów WTP jest utrudniony w obu kierunkach tej trasy.</w:t>
        </w:r>
        <w:r w:rsidR="00C93FD7">
          <w:rPr>
            <w:noProof/>
            <w:webHidden/>
          </w:rPr>
          <w:tab/>
        </w:r>
        <w:r w:rsidR="00C93FD7">
          <w:rPr>
            <w:noProof/>
            <w:webHidden/>
          </w:rPr>
          <w:fldChar w:fldCharType="begin"/>
        </w:r>
        <w:r w:rsidR="00C93FD7">
          <w:rPr>
            <w:noProof/>
            <w:webHidden/>
          </w:rPr>
          <w:instrText xml:space="preserve"> PAGEREF _Toc27125402 \h </w:instrText>
        </w:r>
        <w:r w:rsidR="00C93FD7">
          <w:rPr>
            <w:noProof/>
            <w:webHidden/>
          </w:rPr>
        </w:r>
        <w:r w:rsidR="00C93FD7">
          <w:rPr>
            <w:noProof/>
            <w:webHidden/>
          </w:rPr>
          <w:fldChar w:fldCharType="separate"/>
        </w:r>
        <w:r w:rsidR="00C93FD7">
          <w:rPr>
            <w:noProof/>
            <w:webHidden/>
          </w:rPr>
          <w:t>59</w:t>
        </w:r>
        <w:r w:rsidR="00C93FD7">
          <w:rPr>
            <w:noProof/>
            <w:webHidden/>
          </w:rPr>
          <w:fldChar w:fldCharType="end"/>
        </w:r>
      </w:hyperlink>
    </w:p>
    <w:p w14:paraId="0894985F" w14:textId="6DFAE221" w:rsidR="00C93FD7" w:rsidRDefault="00C93FD7">
      <w:pPr>
        <w:pStyle w:val="Spisilustracji"/>
        <w:tabs>
          <w:tab w:val="right" w:leader="dot" w:pos="9061"/>
        </w:tabs>
        <w:rPr>
          <w:rFonts w:eastAsiaTheme="minorEastAsia"/>
          <w:noProof/>
          <w:sz w:val="22"/>
          <w:lang w:eastAsia="pl-PL"/>
        </w:rPr>
      </w:pPr>
      <w:hyperlink w:anchor="_Toc27125403" w:history="1">
        <w:r w:rsidRPr="00944294">
          <w:rPr>
            <w:rStyle w:val="Hipercze"/>
            <w:noProof/>
          </w:rPr>
          <w:t>Zdjęcie 2. Toruń, Dworzec Miasto. Wydzielone od ruchu indywidualnego torowisko tramwajowe wraz z platformami przystankowymi oraz kładką zapewniającą wejście na poziom dworca.</w:t>
        </w:r>
        <w:r>
          <w:rPr>
            <w:noProof/>
            <w:webHidden/>
          </w:rPr>
          <w:tab/>
        </w:r>
        <w:r>
          <w:rPr>
            <w:noProof/>
            <w:webHidden/>
          </w:rPr>
          <w:fldChar w:fldCharType="begin"/>
        </w:r>
        <w:r>
          <w:rPr>
            <w:noProof/>
            <w:webHidden/>
          </w:rPr>
          <w:instrText xml:space="preserve"> PAGEREF _Toc27125403 \h </w:instrText>
        </w:r>
        <w:r>
          <w:rPr>
            <w:noProof/>
            <w:webHidden/>
          </w:rPr>
        </w:r>
        <w:r>
          <w:rPr>
            <w:noProof/>
            <w:webHidden/>
          </w:rPr>
          <w:fldChar w:fldCharType="separate"/>
        </w:r>
        <w:r>
          <w:rPr>
            <w:noProof/>
            <w:webHidden/>
          </w:rPr>
          <w:t>60</w:t>
        </w:r>
        <w:r>
          <w:rPr>
            <w:noProof/>
            <w:webHidden/>
          </w:rPr>
          <w:fldChar w:fldCharType="end"/>
        </w:r>
      </w:hyperlink>
    </w:p>
    <w:p w14:paraId="47A638B2" w14:textId="41456517" w:rsidR="00C93FD7" w:rsidRDefault="00C93FD7">
      <w:pPr>
        <w:pStyle w:val="Spisilustracji"/>
        <w:tabs>
          <w:tab w:val="right" w:leader="dot" w:pos="9061"/>
        </w:tabs>
        <w:rPr>
          <w:rFonts w:eastAsiaTheme="minorEastAsia"/>
          <w:noProof/>
          <w:sz w:val="22"/>
          <w:lang w:eastAsia="pl-PL"/>
        </w:rPr>
      </w:pPr>
      <w:hyperlink w:anchor="_Toc27125404" w:history="1">
        <w:r w:rsidRPr="00944294">
          <w:rPr>
            <w:rStyle w:val="Hipercze"/>
            <w:noProof/>
          </w:rPr>
          <w:t>Zdjęcie 3. Warszawa, węzeł Dworzec Zachodni, przystanki zespołu Rondo Zesłańców Syberyjskich. Pasażerowie dochodzący do przystanku autobusowego skracają drogę trawnikiem.</w:t>
        </w:r>
        <w:r>
          <w:rPr>
            <w:noProof/>
            <w:webHidden/>
          </w:rPr>
          <w:tab/>
        </w:r>
        <w:r>
          <w:rPr>
            <w:noProof/>
            <w:webHidden/>
          </w:rPr>
          <w:fldChar w:fldCharType="begin"/>
        </w:r>
        <w:r>
          <w:rPr>
            <w:noProof/>
            <w:webHidden/>
          </w:rPr>
          <w:instrText xml:space="preserve"> PAGEREF _Toc27125404 \h </w:instrText>
        </w:r>
        <w:r>
          <w:rPr>
            <w:noProof/>
            <w:webHidden/>
          </w:rPr>
        </w:r>
        <w:r>
          <w:rPr>
            <w:noProof/>
            <w:webHidden/>
          </w:rPr>
          <w:fldChar w:fldCharType="separate"/>
        </w:r>
        <w:r>
          <w:rPr>
            <w:noProof/>
            <w:webHidden/>
          </w:rPr>
          <w:t>60</w:t>
        </w:r>
        <w:r>
          <w:rPr>
            <w:noProof/>
            <w:webHidden/>
          </w:rPr>
          <w:fldChar w:fldCharType="end"/>
        </w:r>
      </w:hyperlink>
    </w:p>
    <w:p w14:paraId="4ED9E9BE" w14:textId="71DC1551" w:rsidR="00C93FD7" w:rsidRDefault="00C93FD7">
      <w:pPr>
        <w:pStyle w:val="Spisilustracji"/>
        <w:tabs>
          <w:tab w:val="right" w:leader="dot" w:pos="9061"/>
        </w:tabs>
        <w:rPr>
          <w:rFonts w:eastAsiaTheme="minorEastAsia"/>
          <w:noProof/>
          <w:sz w:val="22"/>
          <w:lang w:eastAsia="pl-PL"/>
        </w:rPr>
      </w:pPr>
      <w:hyperlink w:anchor="_Toc27125405" w:history="1">
        <w:r w:rsidRPr="00944294">
          <w:rPr>
            <w:rStyle w:val="Hipercze"/>
            <w:noProof/>
          </w:rPr>
          <w:t>Zdjęcie 4. Poznań, Rynek Wildecki. Wyjście z tramwaju na jezdnię (brak wyniesienia nawierzchni na poziom wejścia) i samochody, parkujące wzdłuż krawędzi, ograniczające widoczność.</w:t>
        </w:r>
        <w:r>
          <w:rPr>
            <w:noProof/>
            <w:webHidden/>
          </w:rPr>
          <w:tab/>
        </w:r>
        <w:r>
          <w:rPr>
            <w:noProof/>
            <w:webHidden/>
          </w:rPr>
          <w:fldChar w:fldCharType="begin"/>
        </w:r>
        <w:r>
          <w:rPr>
            <w:noProof/>
            <w:webHidden/>
          </w:rPr>
          <w:instrText xml:space="preserve"> PAGEREF _Toc27125405 \h </w:instrText>
        </w:r>
        <w:r>
          <w:rPr>
            <w:noProof/>
            <w:webHidden/>
          </w:rPr>
        </w:r>
        <w:r>
          <w:rPr>
            <w:noProof/>
            <w:webHidden/>
          </w:rPr>
          <w:fldChar w:fldCharType="separate"/>
        </w:r>
        <w:r>
          <w:rPr>
            <w:noProof/>
            <w:webHidden/>
          </w:rPr>
          <w:t>61</w:t>
        </w:r>
        <w:r>
          <w:rPr>
            <w:noProof/>
            <w:webHidden/>
          </w:rPr>
          <w:fldChar w:fldCharType="end"/>
        </w:r>
      </w:hyperlink>
    </w:p>
    <w:p w14:paraId="18E8F924" w14:textId="18C89370" w:rsidR="00C93FD7" w:rsidRDefault="00C93FD7">
      <w:pPr>
        <w:pStyle w:val="Spisilustracji"/>
        <w:tabs>
          <w:tab w:val="right" w:leader="dot" w:pos="9061"/>
        </w:tabs>
        <w:rPr>
          <w:rFonts w:eastAsiaTheme="minorEastAsia"/>
          <w:noProof/>
          <w:sz w:val="22"/>
          <w:lang w:eastAsia="pl-PL"/>
        </w:rPr>
      </w:pPr>
      <w:hyperlink w:anchor="_Toc27125406" w:history="1">
        <w:r w:rsidRPr="00944294">
          <w:rPr>
            <w:rStyle w:val="Hipercze"/>
            <w:noProof/>
          </w:rPr>
          <w:t>Zdjęcie 5. Kraków, Krowodrza Górka. Autobusy oczekują na przesiadających się pasażerów na przystankach początkowych, ale brakuje zadaszenia drogi dojścia do pojazdu.</w:t>
        </w:r>
        <w:r>
          <w:rPr>
            <w:noProof/>
            <w:webHidden/>
          </w:rPr>
          <w:tab/>
        </w:r>
        <w:r>
          <w:rPr>
            <w:noProof/>
            <w:webHidden/>
          </w:rPr>
          <w:fldChar w:fldCharType="begin"/>
        </w:r>
        <w:r>
          <w:rPr>
            <w:noProof/>
            <w:webHidden/>
          </w:rPr>
          <w:instrText xml:space="preserve"> PAGEREF _Toc27125406 \h </w:instrText>
        </w:r>
        <w:r>
          <w:rPr>
            <w:noProof/>
            <w:webHidden/>
          </w:rPr>
        </w:r>
        <w:r>
          <w:rPr>
            <w:noProof/>
            <w:webHidden/>
          </w:rPr>
          <w:fldChar w:fldCharType="separate"/>
        </w:r>
        <w:r>
          <w:rPr>
            <w:noProof/>
            <w:webHidden/>
          </w:rPr>
          <w:t>61</w:t>
        </w:r>
        <w:r>
          <w:rPr>
            <w:noProof/>
            <w:webHidden/>
          </w:rPr>
          <w:fldChar w:fldCharType="end"/>
        </w:r>
      </w:hyperlink>
    </w:p>
    <w:p w14:paraId="3CAA88C2" w14:textId="10680BB4" w:rsidR="00C93FD7" w:rsidRDefault="00C93FD7">
      <w:pPr>
        <w:pStyle w:val="Spisilustracji"/>
        <w:tabs>
          <w:tab w:val="right" w:leader="dot" w:pos="9061"/>
        </w:tabs>
        <w:rPr>
          <w:rFonts w:eastAsiaTheme="minorEastAsia"/>
          <w:noProof/>
          <w:sz w:val="22"/>
          <w:lang w:eastAsia="pl-PL"/>
        </w:rPr>
      </w:pPr>
      <w:hyperlink w:anchor="_Toc27125407" w:history="1">
        <w:r w:rsidRPr="00944294">
          <w:rPr>
            <w:rStyle w:val="Hipercze"/>
            <w:noProof/>
          </w:rPr>
          <w:t>Zdjęcie 6. Kraków, Krowodrza Górka. Autobus niskopodłogowy przy peronie, na który nie ma możliwości wjazdu wózkiem inwalidzkim.</w:t>
        </w:r>
        <w:r>
          <w:rPr>
            <w:noProof/>
            <w:webHidden/>
          </w:rPr>
          <w:tab/>
        </w:r>
        <w:r>
          <w:rPr>
            <w:noProof/>
            <w:webHidden/>
          </w:rPr>
          <w:fldChar w:fldCharType="begin"/>
        </w:r>
        <w:r>
          <w:rPr>
            <w:noProof/>
            <w:webHidden/>
          </w:rPr>
          <w:instrText xml:space="preserve"> PAGEREF _Toc27125407 \h </w:instrText>
        </w:r>
        <w:r>
          <w:rPr>
            <w:noProof/>
            <w:webHidden/>
          </w:rPr>
        </w:r>
        <w:r>
          <w:rPr>
            <w:noProof/>
            <w:webHidden/>
          </w:rPr>
          <w:fldChar w:fldCharType="separate"/>
        </w:r>
        <w:r>
          <w:rPr>
            <w:noProof/>
            <w:webHidden/>
          </w:rPr>
          <w:t>63</w:t>
        </w:r>
        <w:r>
          <w:rPr>
            <w:noProof/>
            <w:webHidden/>
          </w:rPr>
          <w:fldChar w:fldCharType="end"/>
        </w:r>
      </w:hyperlink>
    </w:p>
    <w:p w14:paraId="754D5A88" w14:textId="4F00FF73" w:rsidR="00C93FD7" w:rsidRDefault="00C93FD7">
      <w:pPr>
        <w:pStyle w:val="Spisilustracji"/>
        <w:tabs>
          <w:tab w:val="right" w:leader="dot" w:pos="9061"/>
        </w:tabs>
        <w:rPr>
          <w:rFonts w:eastAsiaTheme="minorEastAsia"/>
          <w:noProof/>
          <w:sz w:val="22"/>
          <w:lang w:eastAsia="pl-PL"/>
        </w:rPr>
      </w:pPr>
      <w:hyperlink w:anchor="_Toc27125408" w:history="1">
        <w:r w:rsidRPr="00944294">
          <w:rPr>
            <w:rStyle w:val="Hipercze"/>
            <w:noProof/>
          </w:rPr>
          <w:t>Zdjęcie 7. Łódź, węzeł Chojny. Wyjście z tramwaju na przystanku końcowym - peron na poziomie główki szyny utrudniający wysiadanie.</w:t>
        </w:r>
        <w:r>
          <w:rPr>
            <w:noProof/>
            <w:webHidden/>
          </w:rPr>
          <w:tab/>
        </w:r>
        <w:r>
          <w:rPr>
            <w:noProof/>
            <w:webHidden/>
          </w:rPr>
          <w:fldChar w:fldCharType="begin"/>
        </w:r>
        <w:r>
          <w:rPr>
            <w:noProof/>
            <w:webHidden/>
          </w:rPr>
          <w:instrText xml:space="preserve"> PAGEREF _Toc27125408 \h </w:instrText>
        </w:r>
        <w:r>
          <w:rPr>
            <w:noProof/>
            <w:webHidden/>
          </w:rPr>
        </w:r>
        <w:r>
          <w:rPr>
            <w:noProof/>
            <w:webHidden/>
          </w:rPr>
          <w:fldChar w:fldCharType="separate"/>
        </w:r>
        <w:r>
          <w:rPr>
            <w:noProof/>
            <w:webHidden/>
          </w:rPr>
          <w:t>63</w:t>
        </w:r>
        <w:r>
          <w:rPr>
            <w:noProof/>
            <w:webHidden/>
          </w:rPr>
          <w:fldChar w:fldCharType="end"/>
        </w:r>
      </w:hyperlink>
    </w:p>
    <w:p w14:paraId="33970E5D" w14:textId="5A7B419F" w:rsidR="00C93FD7" w:rsidRDefault="00C93FD7">
      <w:pPr>
        <w:pStyle w:val="Spisilustracji"/>
        <w:tabs>
          <w:tab w:val="right" w:leader="dot" w:pos="9061"/>
        </w:tabs>
        <w:rPr>
          <w:rFonts w:eastAsiaTheme="minorEastAsia"/>
          <w:noProof/>
          <w:sz w:val="22"/>
          <w:lang w:eastAsia="pl-PL"/>
        </w:rPr>
      </w:pPr>
      <w:hyperlink w:anchor="_Toc27125409" w:history="1">
        <w:r w:rsidRPr="00944294">
          <w:rPr>
            <w:rStyle w:val="Hipercze"/>
            <w:noProof/>
          </w:rPr>
          <w:t>Zdjęcie 8. Warszawa, węzeł Plac Unii Lubelskiej. Słup oświetleniowo-trakcyjny w przejściu pieszym między jezdnią ul. Puławskiej a torowiskiem tramwajowym.</w:t>
        </w:r>
        <w:r>
          <w:rPr>
            <w:noProof/>
            <w:webHidden/>
          </w:rPr>
          <w:tab/>
        </w:r>
        <w:r>
          <w:rPr>
            <w:noProof/>
            <w:webHidden/>
          </w:rPr>
          <w:fldChar w:fldCharType="begin"/>
        </w:r>
        <w:r>
          <w:rPr>
            <w:noProof/>
            <w:webHidden/>
          </w:rPr>
          <w:instrText xml:space="preserve"> PAGEREF _Toc27125409 \h </w:instrText>
        </w:r>
        <w:r>
          <w:rPr>
            <w:noProof/>
            <w:webHidden/>
          </w:rPr>
        </w:r>
        <w:r>
          <w:rPr>
            <w:noProof/>
            <w:webHidden/>
          </w:rPr>
          <w:fldChar w:fldCharType="separate"/>
        </w:r>
        <w:r>
          <w:rPr>
            <w:noProof/>
            <w:webHidden/>
          </w:rPr>
          <w:t>64</w:t>
        </w:r>
        <w:r>
          <w:rPr>
            <w:noProof/>
            <w:webHidden/>
          </w:rPr>
          <w:fldChar w:fldCharType="end"/>
        </w:r>
      </w:hyperlink>
    </w:p>
    <w:p w14:paraId="450EE279" w14:textId="3CA31CD2" w:rsidR="00C93FD7" w:rsidRDefault="00C93FD7">
      <w:pPr>
        <w:pStyle w:val="Spisilustracji"/>
        <w:tabs>
          <w:tab w:val="right" w:leader="dot" w:pos="9061"/>
        </w:tabs>
        <w:rPr>
          <w:rFonts w:eastAsiaTheme="minorEastAsia"/>
          <w:noProof/>
          <w:sz w:val="22"/>
          <w:lang w:eastAsia="pl-PL"/>
        </w:rPr>
      </w:pPr>
      <w:hyperlink w:anchor="_Toc27125410" w:history="1">
        <w:r w:rsidRPr="00944294">
          <w:rPr>
            <w:rStyle w:val="Hipercze"/>
            <w:noProof/>
          </w:rPr>
          <w:t>Zdjęcie 9. Warszawa, Wiatraczna. Brak możliwości wjazdu 18-metrowym autobusem do 10-metrowej zatoki. Umiejętności kierowcy pozwoliły jednak obsłużyć osobę niepełnosprawną.</w:t>
        </w:r>
        <w:r>
          <w:rPr>
            <w:noProof/>
            <w:webHidden/>
          </w:rPr>
          <w:tab/>
        </w:r>
        <w:r>
          <w:rPr>
            <w:noProof/>
            <w:webHidden/>
          </w:rPr>
          <w:fldChar w:fldCharType="begin"/>
        </w:r>
        <w:r>
          <w:rPr>
            <w:noProof/>
            <w:webHidden/>
          </w:rPr>
          <w:instrText xml:space="preserve"> PAGEREF _Toc27125410 \h </w:instrText>
        </w:r>
        <w:r>
          <w:rPr>
            <w:noProof/>
            <w:webHidden/>
          </w:rPr>
        </w:r>
        <w:r>
          <w:rPr>
            <w:noProof/>
            <w:webHidden/>
          </w:rPr>
          <w:fldChar w:fldCharType="separate"/>
        </w:r>
        <w:r>
          <w:rPr>
            <w:noProof/>
            <w:webHidden/>
          </w:rPr>
          <w:t>64</w:t>
        </w:r>
        <w:r>
          <w:rPr>
            <w:noProof/>
            <w:webHidden/>
          </w:rPr>
          <w:fldChar w:fldCharType="end"/>
        </w:r>
      </w:hyperlink>
    </w:p>
    <w:p w14:paraId="671309E1" w14:textId="20E224B4" w:rsidR="00C93FD7" w:rsidRDefault="00C93FD7">
      <w:pPr>
        <w:pStyle w:val="Spisilustracji"/>
        <w:tabs>
          <w:tab w:val="right" w:leader="dot" w:pos="9061"/>
        </w:tabs>
        <w:rPr>
          <w:rFonts w:eastAsiaTheme="minorEastAsia"/>
          <w:noProof/>
          <w:sz w:val="22"/>
          <w:lang w:eastAsia="pl-PL"/>
        </w:rPr>
      </w:pPr>
      <w:hyperlink w:anchor="_Toc27125411" w:history="1">
        <w:r w:rsidRPr="00944294">
          <w:rPr>
            <w:rStyle w:val="Hipercze"/>
            <w:noProof/>
          </w:rPr>
          <w:t>Zdjęcie 10. Gdynia, Chylonia. Nieutwardzona powierzchnia, na której parkują samochody od strony ulicy Hutniczej.</w:t>
        </w:r>
        <w:r>
          <w:rPr>
            <w:noProof/>
            <w:webHidden/>
          </w:rPr>
          <w:tab/>
        </w:r>
        <w:r>
          <w:rPr>
            <w:noProof/>
            <w:webHidden/>
          </w:rPr>
          <w:fldChar w:fldCharType="begin"/>
        </w:r>
        <w:r>
          <w:rPr>
            <w:noProof/>
            <w:webHidden/>
          </w:rPr>
          <w:instrText xml:space="preserve"> PAGEREF _Toc27125411 \h </w:instrText>
        </w:r>
        <w:r>
          <w:rPr>
            <w:noProof/>
            <w:webHidden/>
          </w:rPr>
        </w:r>
        <w:r>
          <w:rPr>
            <w:noProof/>
            <w:webHidden/>
          </w:rPr>
          <w:fldChar w:fldCharType="separate"/>
        </w:r>
        <w:r>
          <w:rPr>
            <w:noProof/>
            <w:webHidden/>
          </w:rPr>
          <w:t>65</w:t>
        </w:r>
        <w:r>
          <w:rPr>
            <w:noProof/>
            <w:webHidden/>
          </w:rPr>
          <w:fldChar w:fldCharType="end"/>
        </w:r>
      </w:hyperlink>
    </w:p>
    <w:p w14:paraId="606EF958" w14:textId="62BFF9D3" w:rsidR="00C93FD7" w:rsidRDefault="00C93FD7">
      <w:pPr>
        <w:pStyle w:val="Spisilustracji"/>
        <w:tabs>
          <w:tab w:val="right" w:leader="dot" w:pos="9061"/>
        </w:tabs>
        <w:rPr>
          <w:rFonts w:eastAsiaTheme="minorEastAsia"/>
          <w:noProof/>
          <w:sz w:val="22"/>
          <w:lang w:eastAsia="pl-PL"/>
        </w:rPr>
      </w:pPr>
      <w:hyperlink w:anchor="_Toc27125412" w:history="1">
        <w:r w:rsidRPr="00944294">
          <w:rPr>
            <w:rStyle w:val="Hipercze"/>
            <w:noProof/>
          </w:rPr>
          <w:t>Zdjęcie 11. Toruń, Dworzec Miasto. Zadaszona wiata z licznymi stojakami rowerowymi.</w:t>
        </w:r>
        <w:r>
          <w:rPr>
            <w:noProof/>
            <w:webHidden/>
          </w:rPr>
          <w:tab/>
        </w:r>
        <w:r>
          <w:rPr>
            <w:noProof/>
            <w:webHidden/>
          </w:rPr>
          <w:fldChar w:fldCharType="begin"/>
        </w:r>
        <w:r>
          <w:rPr>
            <w:noProof/>
            <w:webHidden/>
          </w:rPr>
          <w:instrText xml:space="preserve"> PAGEREF _Toc27125412 \h </w:instrText>
        </w:r>
        <w:r>
          <w:rPr>
            <w:noProof/>
            <w:webHidden/>
          </w:rPr>
        </w:r>
        <w:r>
          <w:rPr>
            <w:noProof/>
            <w:webHidden/>
          </w:rPr>
          <w:fldChar w:fldCharType="separate"/>
        </w:r>
        <w:r>
          <w:rPr>
            <w:noProof/>
            <w:webHidden/>
          </w:rPr>
          <w:t>65</w:t>
        </w:r>
        <w:r>
          <w:rPr>
            <w:noProof/>
            <w:webHidden/>
          </w:rPr>
          <w:fldChar w:fldCharType="end"/>
        </w:r>
      </w:hyperlink>
    </w:p>
    <w:p w14:paraId="3CE11EB3" w14:textId="27287724" w:rsidR="00002FD4" w:rsidRPr="00002FD4" w:rsidRDefault="004C5F93" w:rsidP="004C5F93">
      <w:r>
        <w:fldChar w:fldCharType="end"/>
      </w:r>
    </w:p>
    <w:p w14:paraId="0A30A598" w14:textId="2A7BE562" w:rsidR="00821B9C" w:rsidRDefault="00821B9C" w:rsidP="00821B9C">
      <w:pPr>
        <w:pStyle w:val="Nagwek1"/>
      </w:pPr>
      <w:bookmarkStart w:id="235" w:name="_Toc27125358"/>
      <w:r>
        <w:lastRenderedPageBreak/>
        <w:t>Załączniki</w:t>
      </w:r>
      <w:r w:rsidR="00603F83">
        <w:t xml:space="preserve"> w formie elektronicznej</w:t>
      </w:r>
      <w:bookmarkEnd w:id="235"/>
    </w:p>
    <w:p w14:paraId="5E637E6E" w14:textId="647D7108" w:rsidR="00A008F3" w:rsidRPr="00CE65CD" w:rsidRDefault="00A008F3" w:rsidP="00A950A0">
      <w:pPr>
        <w:rPr>
          <w:color w:val="000000" w:themeColor="text1"/>
        </w:rPr>
      </w:pPr>
      <w:bookmarkStart w:id="236" w:name="Załącznik1"/>
      <w:r w:rsidRPr="00CE65CD">
        <w:rPr>
          <w:color w:val="000000" w:themeColor="text1"/>
        </w:rPr>
        <w:t>Załącznik 1.</w:t>
      </w:r>
      <w:bookmarkEnd w:id="236"/>
      <w:r w:rsidRPr="00CE65CD">
        <w:rPr>
          <w:color w:val="000000" w:themeColor="text1"/>
        </w:rPr>
        <w:t xml:space="preserve"> </w:t>
      </w:r>
      <w:r w:rsidR="00005B2E" w:rsidRPr="00CE65CD">
        <w:rPr>
          <w:color w:val="000000" w:themeColor="text1"/>
        </w:rPr>
        <w:t>Zestawienie narzędzi badawczych</w:t>
      </w:r>
    </w:p>
    <w:p w14:paraId="34EF00FB" w14:textId="558E471A" w:rsidR="000810CF" w:rsidRPr="00CE65CD" w:rsidRDefault="00A950A0" w:rsidP="00A950A0">
      <w:pPr>
        <w:rPr>
          <w:color w:val="000000" w:themeColor="text1"/>
        </w:rPr>
      </w:pPr>
      <w:bookmarkStart w:id="237" w:name="Załącznik2"/>
      <w:r w:rsidRPr="00CE65CD">
        <w:rPr>
          <w:color w:val="000000" w:themeColor="text1"/>
        </w:rPr>
        <w:t xml:space="preserve">Załącznik </w:t>
      </w:r>
      <w:r w:rsidR="006D007D" w:rsidRPr="00CE65CD">
        <w:rPr>
          <w:color w:val="000000" w:themeColor="text1"/>
        </w:rPr>
        <w:t>2</w:t>
      </w:r>
      <w:bookmarkEnd w:id="237"/>
      <w:r w:rsidRPr="00CE65CD">
        <w:rPr>
          <w:color w:val="000000" w:themeColor="text1"/>
        </w:rPr>
        <w:t>. Podsumowanie wywiadów IDI</w:t>
      </w:r>
    </w:p>
    <w:p w14:paraId="4022685A" w14:textId="47A77FB3" w:rsidR="00A950A0" w:rsidRPr="00CE65CD" w:rsidRDefault="00A950A0" w:rsidP="00A950A0">
      <w:pPr>
        <w:rPr>
          <w:color w:val="000000" w:themeColor="text1"/>
        </w:rPr>
      </w:pPr>
      <w:bookmarkStart w:id="238" w:name="Załącznik3"/>
      <w:r w:rsidRPr="00CE65CD">
        <w:rPr>
          <w:color w:val="000000" w:themeColor="text1"/>
        </w:rPr>
        <w:t xml:space="preserve">Załącznik </w:t>
      </w:r>
      <w:r w:rsidR="006D007D" w:rsidRPr="00CE65CD">
        <w:rPr>
          <w:color w:val="000000" w:themeColor="text1"/>
        </w:rPr>
        <w:t>3</w:t>
      </w:r>
      <w:bookmarkEnd w:id="238"/>
      <w:r w:rsidRPr="00CE65CD">
        <w:rPr>
          <w:color w:val="000000" w:themeColor="text1"/>
        </w:rPr>
        <w:t>. Podsumowanie panelu ekspertów</w:t>
      </w:r>
    </w:p>
    <w:p w14:paraId="719ADB95" w14:textId="70654B8C" w:rsidR="00D31A3D" w:rsidRPr="00CE65CD" w:rsidRDefault="00D31A3D" w:rsidP="00A950A0">
      <w:pPr>
        <w:rPr>
          <w:color w:val="000000" w:themeColor="text1"/>
        </w:rPr>
      </w:pPr>
      <w:bookmarkStart w:id="239" w:name="Załącznik4"/>
      <w:r w:rsidRPr="00CE65CD">
        <w:rPr>
          <w:color w:val="000000" w:themeColor="text1"/>
        </w:rPr>
        <w:t xml:space="preserve">Załącznik </w:t>
      </w:r>
      <w:r w:rsidR="006D007D" w:rsidRPr="00CE65CD">
        <w:rPr>
          <w:color w:val="000000" w:themeColor="text1"/>
        </w:rPr>
        <w:t>4</w:t>
      </w:r>
      <w:bookmarkEnd w:id="239"/>
      <w:r w:rsidRPr="00CE65CD">
        <w:rPr>
          <w:color w:val="000000" w:themeColor="text1"/>
        </w:rPr>
        <w:t xml:space="preserve">. </w:t>
      </w:r>
      <w:r w:rsidR="00184DAD" w:rsidRPr="00CE65CD">
        <w:rPr>
          <w:color w:val="000000" w:themeColor="text1"/>
        </w:rPr>
        <w:t>Studia przypadku</w:t>
      </w:r>
    </w:p>
    <w:p w14:paraId="58416AEB" w14:textId="7D1C26F6" w:rsidR="00D31A3D" w:rsidRPr="00CE65CD" w:rsidRDefault="00D31A3D" w:rsidP="00A950A0">
      <w:pPr>
        <w:rPr>
          <w:color w:val="000000" w:themeColor="text1"/>
        </w:rPr>
      </w:pPr>
      <w:bookmarkStart w:id="240" w:name="Załącznik5"/>
      <w:r w:rsidRPr="00CE65CD">
        <w:rPr>
          <w:color w:val="000000" w:themeColor="text1"/>
        </w:rPr>
        <w:t xml:space="preserve">Załącznik </w:t>
      </w:r>
      <w:r w:rsidR="006D007D" w:rsidRPr="00CE65CD">
        <w:rPr>
          <w:color w:val="000000" w:themeColor="text1"/>
        </w:rPr>
        <w:t>5</w:t>
      </w:r>
      <w:bookmarkEnd w:id="240"/>
      <w:r w:rsidRPr="00CE65CD">
        <w:rPr>
          <w:color w:val="000000" w:themeColor="text1"/>
        </w:rPr>
        <w:t xml:space="preserve">. </w:t>
      </w:r>
      <w:r w:rsidR="006D007D" w:rsidRPr="00CE65CD">
        <w:rPr>
          <w:color w:val="000000" w:themeColor="text1"/>
        </w:rPr>
        <w:t>Wyniki</w:t>
      </w:r>
      <w:r w:rsidRPr="00CE65CD">
        <w:rPr>
          <w:color w:val="000000" w:themeColor="text1"/>
        </w:rPr>
        <w:t xml:space="preserve"> panelu CAWI</w:t>
      </w:r>
    </w:p>
    <w:p w14:paraId="19D2FB2C" w14:textId="75F19C20" w:rsidR="006D007D" w:rsidRPr="00CE65CD" w:rsidRDefault="006D007D" w:rsidP="006D007D">
      <w:pPr>
        <w:rPr>
          <w:color w:val="000000" w:themeColor="text1"/>
        </w:rPr>
      </w:pPr>
      <w:bookmarkStart w:id="241" w:name="Załącznik6"/>
      <w:r w:rsidRPr="00CE65CD">
        <w:rPr>
          <w:color w:val="000000" w:themeColor="text1"/>
        </w:rPr>
        <w:t>Załącznik 6</w:t>
      </w:r>
      <w:bookmarkEnd w:id="241"/>
      <w:r w:rsidRPr="00CE65CD">
        <w:rPr>
          <w:color w:val="000000" w:themeColor="text1"/>
        </w:rPr>
        <w:t xml:space="preserve">. Baza danych </w:t>
      </w:r>
      <w:r w:rsidR="00550CB7" w:rsidRPr="00CE65CD">
        <w:rPr>
          <w:color w:val="000000" w:themeColor="text1"/>
        </w:rPr>
        <w:t>o transporcie – aktualizacja 2019</w:t>
      </w:r>
    </w:p>
    <w:p w14:paraId="063EF1C5" w14:textId="39626B2C" w:rsidR="007D3C8E" w:rsidRPr="00CE65CD" w:rsidRDefault="007D3C8E" w:rsidP="006D007D">
      <w:pPr>
        <w:rPr>
          <w:color w:val="000000" w:themeColor="text1"/>
        </w:rPr>
      </w:pPr>
      <w:bookmarkStart w:id="242" w:name="Załącznik7"/>
      <w:r w:rsidRPr="00CE65CD">
        <w:rPr>
          <w:color w:val="000000" w:themeColor="text1"/>
        </w:rPr>
        <w:t>Załącznik 7</w:t>
      </w:r>
      <w:bookmarkEnd w:id="242"/>
      <w:r w:rsidRPr="00CE65CD">
        <w:rPr>
          <w:color w:val="000000" w:themeColor="text1"/>
        </w:rPr>
        <w:t xml:space="preserve">. Lista relacji do analizy </w:t>
      </w:r>
      <w:r w:rsidRPr="00AE21D2">
        <w:rPr>
          <w:i/>
          <w:color w:val="000000" w:themeColor="text1"/>
        </w:rPr>
        <w:t>big</w:t>
      </w:r>
      <w:r w:rsidR="00AE21D2" w:rsidRPr="00AE21D2">
        <w:rPr>
          <w:i/>
          <w:color w:val="000000" w:themeColor="text1"/>
        </w:rPr>
        <w:t xml:space="preserve"> </w:t>
      </w:r>
      <w:r w:rsidRPr="00AE21D2">
        <w:rPr>
          <w:i/>
          <w:color w:val="000000" w:themeColor="text1"/>
        </w:rPr>
        <w:t>data</w:t>
      </w:r>
      <w:r w:rsidRPr="00CE65CD">
        <w:rPr>
          <w:color w:val="000000" w:themeColor="text1"/>
        </w:rPr>
        <w:t xml:space="preserve"> płynności ruchu</w:t>
      </w:r>
    </w:p>
    <w:p w14:paraId="1D6C9037" w14:textId="12392561" w:rsidR="006D007D" w:rsidRPr="00CE65CD" w:rsidRDefault="006D007D" w:rsidP="006D007D">
      <w:pPr>
        <w:rPr>
          <w:color w:val="000000" w:themeColor="text1"/>
        </w:rPr>
      </w:pPr>
      <w:bookmarkStart w:id="243" w:name="Załącznik8"/>
      <w:r w:rsidRPr="00CE65CD">
        <w:rPr>
          <w:color w:val="000000" w:themeColor="text1"/>
        </w:rPr>
        <w:t xml:space="preserve">Załącznik </w:t>
      </w:r>
      <w:r w:rsidR="007D3C8E" w:rsidRPr="00CE65CD">
        <w:rPr>
          <w:color w:val="000000" w:themeColor="text1"/>
        </w:rPr>
        <w:t>8</w:t>
      </w:r>
      <w:bookmarkEnd w:id="243"/>
      <w:r w:rsidRPr="00CE65CD">
        <w:rPr>
          <w:color w:val="000000" w:themeColor="text1"/>
        </w:rPr>
        <w:t xml:space="preserve">. </w:t>
      </w:r>
      <w:r w:rsidR="007B4615" w:rsidRPr="00CE65CD">
        <w:rPr>
          <w:color w:val="000000" w:themeColor="text1"/>
        </w:rPr>
        <w:t>Baza danych</w:t>
      </w:r>
      <w:r w:rsidRPr="00CE65CD">
        <w:rPr>
          <w:color w:val="000000" w:themeColor="text1"/>
        </w:rPr>
        <w:t xml:space="preserve"> czasów przejazdu</w:t>
      </w:r>
    </w:p>
    <w:p w14:paraId="25A9E814" w14:textId="2A59A562" w:rsidR="006D007D" w:rsidRPr="00CE65CD" w:rsidRDefault="006D007D" w:rsidP="006D007D">
      <w:pPr>
        <w:rPr>
          <w:color w:val="000000" w:themeColor="text1"/>
        </w:rPr>
      </w:pPr>
      <w:r w:rsidRPr="00CE65CD">
        <w:rPr>
          <w:color w:val="000000" w:themeColor="text1"/>
        </w:rPr>
        <w:t xml:space="preserve">Załącznik </w:t>
      </w:r>
      <w:r w:rsidR="007D3C8E" w:rsidRPr="00CE65CD">
        <w:rPr>
          <w:color w:val="000000" w:themeColor="text1"/>
        </w:rPr>
        <w:t>9</w:t>
      </w:r>
      <w:r w:rsidRPr="00CE65CD">
        <w:rPr>
          <w:color w:val="000000" w:themeColor="text1"/>
        </w:rPr>
        <w:t>. Założenia analiz metodą PSM</w:t>
      </w:r>
    </w:p>
    <w:p w14:paraId="02390D1A" w14:textId="01F8FC9A" w:rsidR="006D007D" w:rsidRPr="00CE65CD" w:rsidRDefault="006D007D" w:rsidP="006D007D">
      <w:pPr>
        <w:rPr>
          <w:color w:val="000000" w:themeColor="text1"/>
        </w:rPr>
      </w:pPr>
      <w:r w:rsidRPr="00CE65CD">
        <w:rPr>
          <w:color w:val="000000" w:themeColor="text1"/>
        </w:rPr>
        <w:t xml:space="preserve">Załącznik </w:t>
      </w:r>
      <w:r w:rsidR="007D3C8E" w:rsidRPr="00CE65CD">
        <w:rPr>
          <w:color w:val="000000" w:themeColor="text1"/>
        </w:rPr>
        <w:t>10</w:t>
      </w:r>
      <w:r w:rsidRPr="00CE65CD">
        <w:rPr>
          <w:color w:val="000000" w:themeColor="text1"/>
        </w:rPr>
        <w:t>. Założenia analiz metodą SPS</w:t>
      </w:r>
      <w:r w:rsidR="0023338B">
        <w:rPr>
          <w:color w:val="000000" w:themeColor="text1"/>
        </w:rPr>
        <w:t>M</w:t>
      </w:r>
    </w:p>
    <w:p w14:paraId="0D935C84" w14:textId="327CC5DB" w:rsidR="00D31A3D" w:rsidRPr="00CE65CD" w:rsidRDefault="00D31A3D" w:rsidP="00A950A0">
      <w:pPr>
        <w:rPr>
          <w:color w:val="000000" w:themeColor="text1"/>
        </w:rPr>
      </w:pPr>
      <w:r w:rsidRPr="00CE65CD">
        <w:rPr>
          <w:color w:val="000000" w:themeColor="text1"/>
        </w:rPr>
        <w:t>Załącznik 1</w:t>
      </w:r>
      <w:r w:rsidR="00CE3BA8" w:rsidRPr="00CE65CD">
        <w:rPr>
          <w:color w:val="000000" w:themeColor="text1"/>
        </w:rPr>
        <w:t>1</w:t>
      </w:r>
      <w:r w:rsidRPr="00CE65CD">
        <w:rPr>
          <w:color w:val="000000" w:themeColor="text1"/>
        </w:rPr>
        <w:t>. Zestawienie źródeł</w:t>
      </w:r>
    </w:p>
    <w:p w14:paraId="61A1BB44" w14:textId="7F34DE72" w:rsidR="00D31A3D" w:rsidRPr="00CE65CD" w:rsidRDefault="00D31A3D" w:rsidP="00A950A0">
      <w:pPr>
        <w:rPr>
          <w:color w:val="000000" w:themeColor="text1"/>
        </w:rPr>
      </w:pPr>
      <w:bookmarkStart w:id="244" w:name="Załącznik12"/>
      <w:r w:rsidRPr="00CE65CD">
        <w:rPr>
          <w:color w:val="000000" w:themeColor="text1"/>
        </w:rPr>
        <w:t>Załącznik 1</w:t>
      </w:r>
      <w:r w:rsidR="00CE3BA8" w:rsidRPr="00CE65CD">
        <w:rPr>
          <w:color w:val="000000" w:themeColor="text1"/>
        </w:rPr>
        <w:t>2</w:t>
      </w:r>
      <w:bookmarkEnd w:id="244"/>
      <w:r w:rsidRPr="00CE65CD">
        <w:rPr>
          <w:color w:val="000000" w:themeColor="text1"/>
        </w:rPr>
        <w:t xml:space="preserve">. Skrypt odpytywania API Google </w:t>
      </w:r>
      <w:proofErr w:type="spellStart"/>
      <w:r w:rsidRPr="00CE65CD">
        <w:rPr>
          <w:color w:val="000000" w:themeColor="text1"/>
        </w:rPr>
        <w:t>Map</w:t>
      </w:r>
      <w:r w:rsidR="006D007D" w:rsidRPr="00CE65CD">
        <w:rPr>
          <w:color w:val="000000" w:themeColor="text1"/>
        </w:rPr>
        <w:t>s</w:t>
      </w:r>
      <w:proofErr w:type="spellEnd"/>
    </w:p>
    <w:p w14:paraId="1C2534D2" w14:textId="5050727D" w:rsidR="004954F0" w:rsidRDefault="006D007D" w:rsidP="00A950A0">
      <w:pPr>
        <w:rPr>
          <w:color w:val="000000" w:themeColor="text1"/>
        </w:rPr>
      </w:pPr>
      <w:bookmarkStart w:id="245" w:name="Załącznik13"/>
      <w:r w:rsidRPr="00CE65CD">
        <w:rPr>
          <w:color w:val="000000" w:themeColor="text1"/>
        </w:rPr>
        <w:t>Załącznik 1</w:t>
      </w:r>
      <w:r w:rsidR="00CE3BA8" w:rsidRPr="00CE65CD">
        <w:rPr>
          <w:color w:val="000000" w:themeColor="text1"/>
        </w:rPr>
        <w:t>3</w:t>
      </w:r>
      <w:bookmarkEnd w:id="245"/>
      <w:r w:rsidRPr="00CE65CD">
        <w:rPr>
          <w:color w:val="000000" w:themeColor="text1"/>
        </w:rPr>
        <w:t xml:space="preserve">. Dane wektorowe </w:t>
      </w:r>
      <w:r w:rsidR="0000688C" w:rsidRPr="00CE65CD">
        <w:rPr>
          <w:color w:val="000000" w:themeColor="text1"/>
        </w:rPr>
        <w:t xml:space="preserve">i wydruki map </w:t>
      </w:r>
      <w:r w:rsidRPr="00CE65CD">
        <w:rPr>
          <w:color w:val="000000" w:themeColor="text1"/>
        </w:rPr>
        <w:t>zgromadzone w toku badania</w:t>
      </w:r>
    </w:p>
    <w:p w14:paraId="343D3281" w14:textId="6CA547D6" w:rsidR="00032108" w:rsidRDefault="00F914B7" w:rsidP="00A950A0">
      <w:pPr>
        <w:rPr>
          <w:color w:val="000000" w:themeColor="text1"/>
        </w:rPr>
      </w:pPr>
      <w:bookmarkStart w:id="246" w:name="Załącznik14"/>
      <w:r>
        <w:rPr>
          <w:color w:val="000000" w:themeColor="text1"/>
        </w:rPr>
        <w:t>Załącznik 14</w:t>
      </w:r>
      <w:bookmarkEnd w:id="246"/>
      <w:r>
        <w:rPr>
          <w:color w:val="000000" w:themeColor="text1"/>
        </w:rPr>
        <w:t>. Analiza integracji taryfowej w wybranych miastach Polski</w:t>
      </w:r>
    </w:p>
    <w:p w14:paraId="1BC1DA79" w14:textId="159FB5E8" w:rsidR="002B528A" w:rsidRDefault="002B528A" w:rsidP="00A950A0">
      <w:pPr>
        <w:rPr>
          <w:i/>
          <w:color w:val="000000" w:themeColor="text1"/>
        </w:rPr>
      </w:pPr>
      <w:bookmarkStart w:id="247" w:name="Załącznik15"/>
      <w:r>
        <w:rPr>
          <w:color w:val="000000" w:themeColor="text1"/>
        </w:rPr>
        <w:t>Załącznik 15</w:t>
      </w:r>
      <w:bookmarkEnd w:id="247"/>
      <w:r>
        <w:rPr>
          <w:color w:val="000000" w:themeColor="text1"/>
        </w:rPr>
        <w:t xml:space="preserve">. Formularze WOF AKK </w:t>
      </w:r>
      <w:r w:rsidRPr="002B528A">
        <w:rPr>
          <w:i/>
          <w:color w:val="000000" w:themeColor="text1"/>
        </w:rPr>
        <w:t>ex post</w:t>
      </w:r>
    </w:p>
    <w:p w14:paraId="2B124C17" w14:textId="4E09F288" w:rsidR="00BB36B5" w:rsidRPr="00BB36B5" w:rsidRDefault="00BB36B5" w:rsidP="00A950A0">
      <w:pPr>
        <w:rPr>
          <w:color w:val="000000" w:themeColor="text1"/>
        </w:rPr>
      </w:pPr>
      <w:bookmarkStart w:id="248" w:name="Załącznik16"/>
      <w:r>
        <w:rPr>
          <w:color w:val="000000" w:themeColor="text1"/>
        </w:rPr>
        <w:t>Załącznik 16</w:t>
      </w:r>
      <w:bookmarkEnd w:id="248"/>
      <w:r>
        <w:rPr>
          <w:color w:val="000000" w:themeColor="text1"/>
        </w:rPr>
        <w:t>. Tabel</w:t>
      </w:r>
      <w:r w:rsidR="00240E00">
        <w:rPr>
          <w:color w:val="000000" w:themeColor="text1"/>
        </w:rPr>
        <w:t>e</w:t>
      </w:r>
      <w:r>
        <w:rPr>
          <w:color w:val="000000" w:themeColor="text1"/>
        </w:rPr>
        <w:t xml:space="preserve"> rekomendacji</w:t>
      </w:r>
    </w:p>
    <w:sectPr w:rsidR="00BB36B5" w:rsidRPr="00BB36B5" w:rsidSect="0063376C">
      <w:pgSz w:w="11906" w:h="16838"/>
      <w:pgMar w:top="1418" w:right="1134" w:bottom="1418" w:left="1134" w:header="709" w:footer="709"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A248E0" w14:textId="77777777" w:rsidR="00464BAC" w:rsidRDefault="00464BAC" w:rsidP="00E94482">
      <w:pPr>
        <w:spacing w:before="0" w:after="0" w:line="240" w:lineRule="auto"/>
      </w:pPr>
      <w:r>
        <w:separator/>
      </w:r>
    </w:p>
  </w:endnote>
  <w:endnote w:type="continuationSeparator" w:id="0">
    <w:p w14:paraId="5CC0EEB9" w14:textId="77777777" w:rsidR="00464BAC" w:rsidRDefault="00464BAC" w:rsidP="00E9448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embedRegular r:id="rId1" w:fontKey="{53716653-A8E8-42BD-A765-80A2D45FE8ED}"/>
    <w:embedBold r:id="rId2" w:fontKey="{3C1007C1-6CE2-44E7-9954-0CB3B0702859}"/>
    <w:embedItalic r:id="rId3" w:fontKey="{D94F8F0A-FE95-4AB6-850B-601EAFC97A1A}"/>
    <w:embedBoldItalic r:id="rId4" w:fontKey="{52412D8F-9E89-4334-82D9-459336057488}"/>
  </w:font>
  <w:font w:name="Symbol">
    <w:panose1 w:val="05050102010706020507"/>
    <w:charset w:val="02"/>
    <w:family w:val="roman"/>
    <w:pitch w:val="variable"/>
    <w:sig w:usb0="00000000" w:usb1="10000000" w:usb2="00000000" w:usb3="00000000" w:csb0="80000000" w:csb1="00000000"/>
    <w:embedRegular r:id="rId5" w:fontKey="{61AEA4D0-64BB-4AED-8743-9AC9743B2BC4}"/>
  </w:font>
  <w:font w:name="Wingdings">
    <w:panose1 w:val="05000000000000000000"/>
    <w:charset w:val="02"/>
    <w:family w:val="auto"/>
    <w:pitch w:val="variable"/>
    <w:sig w:usb0="00000000" w:usb1="10000000" w:usb2="00000000" w:usb3="00000000" w:csb0="80000000" w:csb1="00000000"/>
    <w:embedRegular r:id="rId6" w:fontKey="{427609F7-B363-4143-91E4-A32D6E1AC451}"/>
  </w:font>
  <w:font w:name="Courier New">
    <w:panose1 w:val="02070309020205020404"/>
    <w:charset w:val="EE"/>
    <w:family w:val="modern"/>
    <w:pitch w:val="fixed"/>
    <w:sig w:usb0="E0002EFF" w:usb1="C0007843" w:usb2="00000009" w:usb3="00000000" w:csb0="000001FF" w:csb1="00000000"/>
    <w:embedRegular r:id="rId7" w:fontKey="{60B64534-09CC-4A22-B750-D451C46E73A7}"/>
  </w:font>
  <w:font w:name="Lora">
    <w:panose1 w:val="02000503000000020004"/>
    <w:charset w:val="EE"/>
    <w:family w:val="auto"/>
    <w:pitch w:val="variable"/>
    <w:sig w:usb0="800002AF" w:usb1="5000204B" w:usb2="00000000" w:usb3="00000000" w:csb0="00000097" w:csb1="00000000"/>
    <w:embedRegular r:id="rId8" w:fontKey="{E1CD97A4-65EC-4DF3-B14E-5900DAAED83B}"/>
    <w:embedBold r:id="rId9" w:fontKey="{8B9FCE71-C833-42BD-92F4-6389D0CA0F5C}"/>
    <w:embedItalic r:id="rId10" w:fontKey="{23662685-157D-4448-B43A-0A4F261027C0}"/>
    <w:embedBoldItalic r:id="rId11" w:fontKey="{91948F80-4DBE-4263-B94F-F9C7EB37D6BA}"/>
  </w:font>
  <w:font w:name="Nexa Light">
    <w:panose1 w:val="02000000000000000000"/>
    <w:charset w:val="00"/>
    <w:family w:val="modern"/>
    <w:notTrueType/>
    <w:pitch w:val="variable"/>
    <w:sig w:usb0="A00000AF" w:usb1="4000207B" w:usb2="00000000" w:usb3="00000000" w:csb0="00000093" w:csb1="00000000"/>
  </w:font>
  <w:font w:name="Segoe UI">
    <w:panose1 w:val="020B0502040204020203"/>
    <w:charset w:val="EE"/>
    <w:family w:val="swiss"/>
    <w:pitch w:val="variable"/>
    <w:sig w:usb0="E4002EFF" w:usb1="C000E47F" w:usb2="00000009" w:usb3="00000000" w:csb0="000001FF" w:csb1="00000000"/>
    <w:embedRegular r:id="rId12" w:fontKey="{F1E98727-B150-4123-8D6D-8D26D7624C54}"/>
  </w:font>
  <w:font w:name="Corbel">
    <w:panose1 w:val="020B0503020204020204"/>
    <w:charset w:val="EE"/>
    <w:family w:val="swiss"/>
    <w:pitch w:val="variable"/>
    <w:sig w:usb0="A00002EF" w:usb1="4000A44B" w:usb2="00000000" w:usb3="00000000" w:csb0="0000019F" w:csb1="00000000"/>
    <w:embedBold r:id="rId13" w:fontKey="{D6227F74-3255-404C-BCD5-6F10B3794CC4}"/>
  </w:font>
  <w:font w:name="Calibri">
    <w:panose1 w:val="020F0502020204030204"/>
    <w:charset w:val="EE"/>
    <w:family w:val="swiss"/>
    <w:pitch w:val="variable"/>
    <w:sig w:usb0="E0002AFF" w:usb1="C000247B" w:usb2="00000009" w:usb3="00000000" w:csb0="000001FF" w:csb1="00000000"/>
    <w:embedRegular r:id="rId14" w:fontKey="{1D0F3936-46DB-450B-985F-CA7E7236A5F8}"/>
    <w:embedBold r:id="rId15" w:fontKey="{46C9A48B-1A0C-4F55-8FAF-D3D35A9FED00}"/>
    <w:embedItalic r:id="rId16" w:fontKey="{8E38E80F-BB21-411E-B8A0-5A8E989BA00A}"/>
  </w:font>
  <w:font w:name="Cambria Math">
    <w:panose1 w:val="02040503050406030204"/>
    <w:charset w:val="EE"/>
    <w:family w:val="roman"/>
    <w:pitch w:val="variable"/>
    <w:sig w:usb0="E00006FF" w:usb1="420024FF" w:usb2="02000000" w:usb3="00000000" w:csb0="0000019F" w:csb1="00000000"/>
    <w:embedRegular r:id="rId17" w:fontKey="{FFC5A582-666A-466B-AEB7-C09B8DB5C9D1}"/>
  </w:font>
  <w:font w:name="Cambria">
    <w:panose1 w:val="02040503050406030204"/>
    <w:charset w:val="EE"/>
    <w:family w:val="roman"/>
    <w:pitch w:val="variable"/>
    <w:sig w:usb0="E00006FF" w:usb1="420024FF" w:usb2="02000000" w:usb3="00000000" w:csb0="0000019F" w:csb1="00000000"/>
    <w:embedRegular r:id="rId18" w:fontKey="{EFE5D162-E547-407E-85AB-CA417C9D6BF5}"/>
  </w:font>
  <w:font w:name="Webdings">
    <w:panose1 w:val="05030102010509060703"/>
    <w:charset w:val="02"/>
    <w:family w:val="roman"/>
    <w:pitch w:val="variable"/>
    <w:sig w:usb0="00000000" w:usb1="10000000" w:usb2="00000000" w:usb3="00000000" w:csb0="80000000" w:csb1="00000000"/>
    <w:embedRegular r:id="rId19" w:fontKey="{743D0A3B-2DCC-4F01-BB1A-A08F3B90560E}"/>
  </w:font>
  <w:font w:name="Arial">
    <w:panose1 w:val="020B0604020202020204"/>
    <w:charset w:val="EE"/>
    <w:family w:val="swiss"/>
    <w:pitch w:val="variable"/>
    <w:sig w:usb0="E0002EFF" w:usb1="C000785B" w:usb2="00000009" w:usb3="00000000" w:csb0="000001FF" w:csb1="00000000"/>
    <w:embedRegular r:id="rId20" w:fontKey="{C720826F-94F7-42D6-9FC0-C540B1D69D68}"/>
    <w:embedBold r:id="rId21" w:fontKey="{AF60CCBF-2B8C-465F-B309-C7B26C803E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2ABD8D" w14:textId="77777777" w:rsidR="00C93FD7" w:rsidRPr="00952E38" w:rsidRDefault="00C93FD7"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Pr>
        <w:rFonts w:asciiTheme="majorHAnsi" w:hAnsiTheme="majorHAnsi"/>
        <w:noProof/>
        <w:szCs w:val="20"/>
      </w:rPr>
      <w:t>1</w:t>
    </w:r>
    <w:r w:rsidRPr="000E6655">
      <w:rPr>
        <w:rFonts w:asciiTheme="majorHAnsi" w:hAnsiTheme="majorHAnsi"/>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999DAA" w14:textId="77777777" w:rsidR="00C93FD7" w:rsidRDefault="00C93FD7" w:rsidP="00F139B2">
    <w:pPr>
      <w:tabs>
        <w:tab w:val="center" w:pos="4536"/>
        <w:tab w:val="right" w:pos="9072"/>
      </w:tabs>
      <w:spacing w:after="0" w:line="240" w:lineRule="auto"/>
      <w:jc w:val="center"/>
      <w:rPr>
        <w:rFonts w:ascii="Nexa Light" w:eastAsia="Lora" w:hAnsi="Nexa Light" w:cs="Times New Roman"/>
        <w:sz w:val="18"/>
      </w:rPr>
    </w:pPr>
    <w:r>
      <w:rPr>
        <w:noProof/>
        <w:lang w:eastAsia="pl-PL"/>
      </w:rPr>
      <w:drawing>
        <wp:inline distT="0" distB="0" distL="0" distR="0" wp14:anchorId="74ED653B" wp14:editId="0DCE04BE">
          <wp:extent cx="4924425" cy="661230"/>
          <wp:effectExtent l="0" t="0" r="0" b="5715"/>
          <wp:docPr id="35" name="Obraz 44" descr="Logoty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30060" cy="675414"/>
                  </a:xfrm>
                  <a:prstGeom prst="rect">
                    <a:avLst/>
                  </a:prstGeom>
                  <a:noFill/>
                  <a:ln>
                    <a:noFill/>
                  </a:ln>
                </pic:spPr>
              </pic:pic>
            </a:graphicData>
          </a:graphic>
        </wp:inline>
      </w:drawing>
    </w:r>
  </w:p>
  <w:p w14:paraId="37189A98" w14:textId="1C93BBD5" w:rsidR="00C93FD7" w:rsidRPr="00F139B2" w:rsidRDefault="00C93FD7" w:rsidP="00F139B2">
    <w:pPr>
      <w:tabs>
        <w:tab w:val="center" w:pos="4536"/>
        <w:tab w:val="right" w:pos="9072"/>
      </w:tabs>
      <w:spacing w:after="0" w:line="240" w:lineRule="auto"/>
      <w:jc w:val="center"/>
      <w:rPr>
        <w:rFonts w:ascii="Nexa Light" w:eastAsia="Lora" w:hAnsi="Nexa Light" w:cs="Times New Roman"/>
        <w:sz w:val="18"/>
      </w:rPr>
    </w:pPr>
    <w:r w:rsidRPr="0077152A">
      <w:rPr>
        <w:rFonts w:ascii="Nexa Light" w:eastAsia="Lora" w:hAnsi="Nexa Light" w:cs="Times New Roman"/>
        <w:sz w:val="18"/>
      </w:rPr>
      <w:t>Badanie ewaluacyjne</w:t>
    </w:r>
    <w:r>
      <w:rPr>
        <w:rFonts w:ascii="Nexa Light" w:eastAsia="Lora" w:hAnsi="Nexa Light" w:cs="Times New Roman"/>
        <w:sz w:val="18"/>
      </w:rPr>
      <w:t xml:space="preserve"> w</w:t>
    </w:r>
    <w:r w:rsidRPr="0077152A">
      <w:rPr>
        <w:rFonts w:ascii="Nexa Light" w:eastAsia="Lora" w:hAnsi="Nexa Light" w:cs="Times New Roman"/>
        <w:sz w:val="18"/>
      </w:rPr>
      <w:t>spółfinansowane przez Unię Europejską w ramach Funduszu Spójności.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B964A" w14:textId="77777777" w:rsidR="00C93FD7" w:rsidRPr="00FD107C" w:rsidRDefault="00C93FD7" w:rsidP="00E041B2">
    <w:pPr>
      <w:pStyle w:val="Stopka"/>
      <w:jc w:val="left"/>
      <w:rPr>
        <w:rFonts w:asciiTheme="majorHAnsi" w:hAnsiTheme="majorHAnsi"/>
        <w:szCs w:val="20"/>
      </w:rPr>
    </w:pPr>
    <w:r w:rsidRPr="005D7521">
      <w:rPr>
        <w:rFonts w:asciiTheme="majorHAnsi" w:hAnsiTheme="majorHAnsi"/>
      </w:rPr>
      <w:fldChar w:fldCharType="begin"/>
    </w:r>
    <w:r w:rsidRPr="005D7521">
      <w:rPr>
        <w:rFonts w:asciiTheme="majorHAnsi" w:hAnsiTheme="majorHAnsi"/>
      </w:rPr>
      <w:instrText>PAGE   \* MERGEFORMAT</w:instrText>
    </w:r>
    <w:r w:rsidRPr="005D7521">
      <w:rPr>
        <w:rFonts w:asciiTheme="majorHAnsi" w:hAnsiTheme="majorHAnsi"/>
      </w:rPr>
      <w:fldChar w:fldCharType="separate"/>
    </w:r>
    <w:r>
      <w:rPr>
        <w:rFonts w:asciiTheme="majorHAnsi" w:hAnsiTheme="majorHAnsi"/>
        <w:noProof/>
      </w:rPr>
      <w:t>100</w:t>
    </w:r>
    <w:r w:rsidRPr="005D7521">
      <w:rPr>
        <w:rFonts w:asciiTheme="majorHAnsi" w:hAnsiTheme="majorHAnsi"/>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5D5E3" w14:textId="77777777" w:rsidR="00C93FD7" w:rsidRPr="00952E38" w:rsidRDefault="00C93FD7" w:rsidP="00952E38">
    <w:pPr>
      <w:pStyle w:val="Stopka"/>
      <w:jc w:val="right"/>
      <w:rPr>
        <w:rFonts w:asciiTheme="majorHAnsi" w:hAnsiTheme="majorHAnsi"/>
        <w:szCs w:val="20"/>
      </w:rPr>
    </w:pPr>
    <w:r w:rsidRPr="000E6655">
      <w:rPr>
        <w:rFonts w:asciiTheme="majorHAnsi" w:hAnsiTheme="majorHAnsi"/>
        <w:szCs w:val="20"/>
      </w:rPr>
      <w:fldChar w:fldCharType="begin"/>
    </w:r>
    <w:r w:rsidRPr="000E6655">
      <w:rPr>
        <w:rFonts w:asciiTheme="majorHAnsi" w:hAnsiTheme="majorHAnsi"/>
        <w:szCs w:val="20"/>
      </w:rPr>
      <w:instrText>PAGE   \* MERGEFORMAT</w:instrText>
    </w:r>
    <w:r w:rsidRPr="000E6655">
      <w:rPr>
        <w:rFonts w:asciiTheme="majorHAnsi" w:hAnsiTheme="majorHAnsi"/>
        <w:szCs w:val="20"/>
      </w:rPr>
      <w:fldChar w:fldCharType="separate"/>
    </w:r>
    <w:r>
      <w:rPr>
        <w:rFonts w:asciiTheme="majorHAnsi" w:hAnsiTheme="majorHAnsi"/>
        <w:noProof/>
        <w:szCs w:val="20"/>
      </w:rPr>
      <w:t>99</w:t>
    </w:r>
    <w:r w:rsidRPr="000E6655">
      <w:rPr>
        <w:rFonts w:asciiTheme="majorHAnsi" w:hAnsiTheme="majorHAnsi"/>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A0E8F5" w14:textId="77777777" w:rsidR="00464BAC" w:rsidRDefault="00464BAC" w:rsidP="00E94482">
      <w:pPr>
        <w:spacing w:before="0" w:after="0" w:line="240" w:lineRule="auto"/>
      </w:pPr>
      <w:r>
        <w:separator/>
      </w:r>
    </w:p>
  </w:footnote>
  <w:footnote w:type="continuationSeparator" w:id="0">
    <w:p w14:paraId="2F013310" w14:textId="77777777" w:rsidR="00464BAC" w:rsidRDefault="00464BAC" w:rsidP="00E94482">
      <w:pPr>
        <w:spacing w:before="0" w:after="0" w:line="240" w:lineRule="auto"/>
      </w:pPr>
      <w:r>
        <w:continuationSeparator/>
      </w:r>
    </w:p>
  </w:footnote>
  <w:footnote w:id="1">
    <w:p w14:paraId="55A786B0" w14:textId="77777777" w:rsidR="00C93FD7" w:rsidRDefault="00C93FD7" w:rsidP="00F80ACF">
      <w:pPr>
        <w:pStyle w:val="Tekstprzypisudolnego"/>
        <w:jc w:val="both"/>
      </w:pPr>
      <w:r>
        <w:rPr>
          <w:rStyle w:val="Odwoanieprzypisudolnego"/>
        </w:rPr>
        <w:footnoteRef/>
      </w:r>
      <w:r>
        <w:t xml:space="preserve"> Projekty z działania 6.1. w ramach trybu pozakonkursowego są realizowane lub przewidziane do realizacji w Warszawie, Katowicach, Jaworznie, Gliwicach, Tychach, Opolu, Krakowie, Wrocławiu, Siechnicach, Poznaniu, Gorzowie Wielkopolskim, Zielonej Górze, Gdańsku, Gdyni, Łodzi, Szczecinie, Stargardzie, Świnoujściu, Bydgoszczy i Toruniu</w:t>
      </w:r>
    </w:p>
  </w:footnote>
  <w:footnote w:id="2">
    <w:p w14:paraId="4695B0F5" w14:textId="77777777" w:rsidR="00C93FD7" w:rsidRDefault="00C93FD7" w:rsidP="000E7AD3">
      <w:pPr>
        <w:pStyle w:val="Tekstprzypisudolnego"/>
        <w:jc w:val="both"/>
      </w:pPr>
      <w:r>
        <w:rPr>
          <w:rStyle w:val="Odwoanieprzypisudolnego"/>
        </w:rPr>
        <w:footnoteRef/>
      </w:r>
      <w:r>
        <w:t xml:space="preserve"> </w:t>
      </w:r>
      <w:bookmarkStart w:id="51" w:name="_Hlk25222481"/>
      <w:r w:rsidRPr="0012158D">
        <w:t>Por. K. Olejniczak, Modele logiczne, w: B. Ledzion, K. Olejniczak, J. Rok (red.), Jak wzmacniać organizacyjne uczenie się w administracji rządowej, Wydawnictwo Naukowe Scholar, Warszawa 2014, s.</w:t>
      </w:r>
      <w:r>
        <w:t xml:space="preserve"> </w:t>
      </w:r>
      <w:r w:rsidRPr="0012158D">
        <w:t>21-41.</w:t>
      </w:r>
      <w:bookmarkEnd w:id="51"/>
    </w:p>
  </w:footnote>
  <w:footnote w:id="3">
    <w:p w14:paraId="65441206" w14:textId="77777777" w:rsidR="00C93FD7" w:rsidRDefault="00C93FD7" w:rsidP="00BA71A3">
      <w:pPr>
        <w:pStyle w:val="Tekstprzypisudolnego"/>
        <w:jc w:val="both"/>
      </w:pPr>
      <w:r>
        <w:rPr>
          <w:rStyle w:val="Odwoanieprzypisudolnego"/>
        </w:rPr>
        <w:footnoteRef/>
      </w:r>
      <w:r>
        <w:t xml:space="preserve"> </w:t>
      </w:r>
      <w:bookmarkStart w:id="92" w:name="_Hlk25222489"/>
      <w:r>
        <w:t>M. Wolański i inni, Raport o stanie komunikacji miejskiej w Polsce w latach 2009-2015. Izba Gospodarcza Komunikacji Miejskiej, Warszawa 2016.</w:t>
      </w:r>
      <w:bookmarkEnd w:id="92"/>
    </w:p>
  </w:footnote>
  <w:footnote w:id="4">
    <w:p w14:paraId="7F746CC8" w14:textId="77777777" w:rsidR="00C93FD7" w:rsidRDefault="00C93FD7" w:rsidP="00BA71A3">
      <w:pPr>
        <w:pStyle w:val="Tekstprzypisudolnego"/>
        <w:jc w:val="both"/>
      </w:pPr>
      <w:r>
        <w:rPr>
          <w:rStyle w:val="Odwoanieprzypisudolnego"/>
        </w:rPr>
        <w:footnoteRef/>
      </w:r>
      <w:r>
        <w:t xml:space="preserve"> </w:t>
      </w:r>
      <w:bookmarkStart w:id="93" w:name="_Hlk25222497"/>
      <w:r>
        <w:t>M. Wolański i inni, Efekty transportowe interwencji wspartych w ramach NSRO 2007-2013, EGO s.c., Wolański M., Wolański sp. z o.o., Warszawa 2017</w:t>
      </w:r>
      <w:bookmarkEnd w:id="93"/>
    </w:p>
  </w:footnote>
  <w:footnote w:id="5">
    <w:p w14:paraId="5DF9CAB4" w14:textId="77777777" w:rsidR="00C93FD7" w:rsidRDefault="00C93FD7" w:rsidP="00B02093">
      <w:pPr>
        <w:pStyle w:val="Tekstprzypisudolnego"/>
        <w:jc w:val="both"/>
      </w:pPr>
      <w:r>
        <w:rPr>
          <w:rStyle w:val="Odwoanieprzypisudolnego"/>
        </w:rPr>
        <w:footnoteRef/>
      </w:r>
      <w:r>
        <w:t xml:space="preserve"> </w:t>
      </w:r>
      <w:bookmarkStart w:id="94" w:name="_Hlk25222528"/>
      <w:r>
        <w:t xml:space="preserve">Preferencje i zachowania komunikacyjne mieszkańców Gdyni. Raport z badań marketingowych 2015. Zarząd Komunikacji Miejskiej w Gdyni, Gdynia 2016, </w:t>
      </w:r>
      <w:r w:rsidRPr="00FE2D01">
        <w:t>http://zkmgdynia.pl/admin/__pliki__/A4_zkmgdynia-PZKMG-raport%202015.pdf</w:t>
      </w:r>
      <w:r>
        <w:t>, dostęp w dniu 22.06.2018 r.</w:t>
      </w:r>
      <w:bookmarkEnd w:id="94"/>
    </w:p>
  </w:footnote>
  <w:footnote w:id="6">
    <w:p w14:paraId="75234937" w14:textId="1BB091FF" w:rsidR="00C93FD7" w:rsidRDefault="00C93FD7" w:rsidP="00DE4EAE">
      <w:pPr>
        <w:pStyle w:val="Tekstprzypisudolnego"/>
      </w:pPr>
      <w:r>
        <w:rPr>
          <w:rStyle w:val="Odwoanieprzypisudolnego"/>
        </w:rPr>
        <w:footnoteRef/>
      </w:r>
      <w:r>
        <w:t xml:space="preserve"> </w:t>
      </w:r>
      <w:bookmarkStart w:id="97" w:name="_Hlk25222534"/>
      <w:r>
        <w:t xml:space="preserve">Preferencje i zachowania komunikacyjne mieszkańców Gdyni w 2010 r. Zarząd Komunikacji Miejskiej w Gdyni, Gdynia 2010, </w:t>
      </w:r>
      <w:r w:rsidRPr="0023239A">
        <w:t>http://zkmgdynia.pl/admin/__pliki__/badania_gdynia_2010.pdf</w:t>
      </w:r>
      <w:r>
        <w:t>, dostęp w dniu 22.06.2018 r.</w:t>
      </w:r>
      <w:bookmarkEnd w:id="97"/>
    </w:p>
  </w:footnote>
  <w:footnote w:id="7">
    <w:p w14:paraId="65BCB385" w14:textId="77777777" w:rsidR="00C93FD7" w:rsidRDefault="00C93FD7" w:rsidP="00BA71A3">
      <w:pPr>
        <w:pStyle w:val="Tekstprzypisudolnego"/>
        <w:jc w:val="both"/>
      </w:pPr>
      <w:r>
        <w:rPr>
          <w:rStyle w:val="Odwoanieprzypisudolnego"/>
        </w:rPr>
        <w:footnoteRef/>
      </w:r>
      <w:r>
        <w:t xml:space="preserve"> Przegląd wyników tych badań można znaleźć w: </w:t>
      </w:r>
      <w:bookmarkStart w:id="98" w:name="_Hlk25222564"/>
      <w:r>
        <w:t xml:space="preserve">J. Obarymska-Dzierzgwa, E. Boratyńska-Karpiej, A. Wołowiec, Badanie </w:t>
      </w:r>
      <w:r w:rsidRPr="00307E9E">
        <w:rPr>
          <w:i/>
        </w:rPr>
        <w:t>ex-post</w:t>
      </w:r>
      <w:r>
        <w:t xml:space="preserve"> wsparcia sektora transportu w POIiŚ 2007-2013, Centrum Unijnych Projektów Transportowych, Warszawa 2017, s. 92-100.</w:t>
      </w:r>
      <w:bookmarkEnd w:id="98"/>
    </w:p>
  </w:footnote>
  <w:footnote w:id="8">
    <w:p w14:paraId="51D6D2A5" w14:textId="3AAB03DF" w:rsidR="00C93FD7" w:rsidRDefault="00C93FD7" w:rsidP="004E434A">
      <w:pPr>
        <w:pStyle w:val="Tekstprzypisudolnego"/>
      </w:pPr>
      <w:r>
        <w:rPr>
          <w:rStyle w:val="Odwoanieprzypisudolnego"/>
        </w:rPr>
        <w:footnoteRef/>
      </w:r>
      <w:r>
        <w:t xml:space="preserve"> </w:t>
      </w:r>
      <w:bookmarkStart w:id="106" w:name="_Hlk25222574"/>
      <w:r>
        <w:t xml:space="preserve">Barometr Warszawski, </w:t>
      </w:r>
      <w:r w:rsidRPr="00F462AD">
        <w:t>https://www.um.warszawa.pl/o-warszawie/warszawa-w-liczbach/barometr-warszawski</w:t>
      </w:r>
      <w:r>
        <w:t>, dostęp w dniu 18.09.2019 r.</w:t>
      </w:r>
      <w:bookmarkEnd w:id="106"/>
    </w:p>
  </w:footnote>
  <w:footnote w:id="9">
    <w:p w14:paraId="0F68FE0C" w14:textId="77777777" w:rsidR="00C93FD7" w:rsidRDefault="00C93FD7" w:rsidP="00CE7E38">
      <w:pPr>
        <w:pStyle w:val="Tekstprzypisudolnego"/>
      </w:pPr>
      <w:r>
        <w:rPr>
          <w:rStyle w:val="Odwoanieprzypisudolnego"/>
        </w:rPr>
        <w:footnoteRef/>
      </w:r>
      <w:r>
        <w:t xml:space="preserve"> </w:t>
      </w:r>
      <w:bookmarkStart w:id="107" w:name="_Hlk25222595"/>
      <w:r w:rsidRPr="009B071F">
        <w:t>Wrocławska Polityka Mobilności - ocena efektów po 5 latach monitoringu</w:t>
      </w:r>
      <w:r>
        <w:t>, Departament Zrównoważonego Rozwoju Biuro Zrównoważonej Mobilności, Wrocław 2018</w:t>
      </w:r>
      <w:bookmarkEnd w:id="107"/>
    </w:p>
  </w:footnote>
  <w:footnote w:id="10">
    <w:p w14:paraId="330B89B6" w14:textId="77777777" w:rsidR="00C93FD7" w:rsidRDefault="00C93FD7" w:rsidP="00D80F61">
      <w:pPr>
        <w:pStyle w:val="Tekstprzypisudolnego"/>
      </w:pPr>
      <w:r>
        <w:rPr>
          <w:rStyle w:val="Odwoanieprzypisudolnego"/>
        </w:rPr>
        <w:footnoteRef/>
      </w:r>
      <w:r>
        <w:t xml:space="preserve"> W niektórych przypadkach również od miejskich zakładów budżetowych oraz spółek komunalnych.</w:t>
      </w:r>
    </w:p>
  </w:footnote>
  <w:footnote w:id="11">
    <w:p w14:paraId="56219808" w14:textId="77777777" w:rsidR="00C93FD7" w:rsidRDefault="00C93FD7" w:rsidP="00380EEC">
      <w:pPr>
        <w:pStyle w:val="Tekstprzypisudolnego"/>
      </w:pPr>
      <w:r>
        <w:rPr>
          <w:rStyle w:val="Odwoanieprzypisudolnego"/>
        </w:rPr>
        <w:footnoteRef/>
      </w:r>
      <w:r>
        <w:t xml:space="preserve"> </w:t>
      </w:r>
      <w:bookmarkStart w:id="199" w:name="_Hlk25222609"/>
      <w:r>
        <w:t>Niebieska Księga Sektor Transportu Publicznego w miastach, aglomeracjach, regionach. Jaspers, b.m.w., 2015.</w:t>
      </w:r>
      <w:bookmarkEnd w:id="199"/>
    </w:p>
  </w:footnote>
  <w:footnote w:id="12">
    <w:p w14:paraId="61D25F45" w14:textId="77777777" w:rsidR="00C93FD7" w:rsidRDefault="00C93FD7" w:rsidP="00380EEC">
      <w:pPr>
        <w:pStyle w:val="Tekstprzypisudolnego"/>
      </w:pPr>
      <w:r>
        <w:rPr>
          <w:rStyle w:val="Odwoanieprzypisudolnego"/>
        </w:rPr>
        <w:footnoteRef/>
      </w:r>
      <w:r>
        <w:t xml:space="preserve"> </w:t>
      </w:r>
      <w:bookmarkStart w:id="200" w:name="_Hlk25222617"/>
      <w:r>
        <w:t>J. Archutowska, A. Kiwiel, D. Giziński, W. Witaszek, M. Lorczyk, Vademecum beneficjenta – Analiza kosztów i korzyści projektów transportowych współfinansowanych ze środków Unii Europejskiej. CUPT, Warszawa 2016.</w:t>
      </w:r>
      <w:bookmarkEnd w:id="200"/>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ook w:val="04A0" w:firstRow="1" w:lastRow="0" w:firstColumn="1" w:lastColumn="0" w:noHBand="0" w:noVBand="1"/>
    </w:tblPr>
    <w:tblGrid>
      <w:gridCol w:w="8504"/>
    </w:tblGrid>
    <w:tr w:rsidR="00C93FD7" w14:paraId="2CCB3F5D" w14:textId="77777777" w:rsidTr="00F24DCD">
      <w:trPr>
        <w:trHeight w:val="1134"/>
      </w:trPr>
      <w:tc>
        <w:tcPr>
          <w:tcW w:w="5000" w:type="pct"/>
          <w:tcMar>
            <w:left w:w="0" w:type="dxa"/>
            <w:right w:w="0" w:type="dxa"/>
          </w:tcMar>
          <w:vAlign w:val="center"/>
        </w:tcPr>
        <w:sdt>
          <w:sdtPr>
            <w:alias w:val="Tytuł"/>
            <w:tag w:val=""/>
            <w:id w:val="-1557160139"/>
            <w:dataBinding w:prefixMappings="xmlns:ns0='http://purl.org/dc/elements/1.1/' xmlns:ns1='http://schemas.openxmlformats.org/package/2006/metadata/core-properties' " w:xpath="/ns1:coreProperties[1]/ns0:title[1]" w:storeItemID="{6C3C8BC8-F283-45AE-878A-BAB7291924A1}"/>
            <w:text/>
          </w:sdtPr>
          <w:sdtContent>
            <w:p w14:paraId="7BF623E0" w14:textId="7DE21435" w:rsidR="00C93FD7" w:rsidRDefault="00C93FD7" w:rsidP="00B57592">
              <w:pPr>
                <w:pStyle w:val="Podtytu"/>
                <w:ind w:left="2268"/>
                <w:jc w:val="right"/>
              </w:pPr>
              <w:r>
                <w:t>OCENA POPRAWY PŁYNNOŚCI I BEZPIECZEŃSTWA RUCHU W RAMACH VI OSI PRIORYTETOWEJ POIIŚ 2014-2020</w:t>
              </w:r>
            </w:p>
          </w:sdtContent>
        </w:sdt>
      </w:tc>
    </w:tr>
  </w:tbl>
  <w:p w14:paraId="0C4A9759" w14:textId="77777777" w:rsidR="00C93FD7" w:rsidRDefault="00C93FD7" w:rsidP="002B69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50B087" w14:textId="77777777" w:rsidR="00C93FD7" w:rsidRDefault="00C93FD7" w:rsidP="005F6539">
    <w:pPr>
      <w:pStyle w:val="Nagwek"/>
      <w:tabs>
        <w:tab w:val="clear" w:pos="4536"/>
        <w:tab w:val="clear" w:pos="9072"/>
      </w:tabs>
      <w:ind w:left="-2268" w:right="-1417"/>
    </w:pPr>
    <w:r w:rsidRPr="00E56EF2">
      <w:rPr>
        <w:noProof/>
        <w:lang w:eastAsia="pl-PL"/>
      </w:rPr>
      <w:drawing>
        <wp:inline distT="0" distB="0" distL="0" distR="0" wp14:anchorId="7643A518" wp14:editId="339C4E42">
          <wp:extent cx="7686000" cy="1523741"/>
          <wp:effectExtent l="0" t="0" r="0" b="635"/>
          <wp:docPr id="15" name="Obraz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6000" cy="1523741"/>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Siatka"/>
      <w:tblW w:w="5000" w:type="pct"/>
      <w:tblLook w:val="04A0" w:firstRow="1" w:lastRow="0" w:firstColumn="1" w:lastColumn="0" w:noHBand="0" w:noVBand="1"/>
    </w:tblPr>
    <w:tblGrid>
      <w:gridCol w:w="9071"/>
    </w:tblGrid>
    <w:tr w:rsidR="00C93FD7" w14:paraId="11F1E05F" w14:textId="77777777" w:rsidTr="00912F15">
      <w:trPr>
        <w:trHeight w:val="907"/>
      </w:trPr>
      <w:tc>
        <w:tcPr>
          <w:tcW w:w="5000" w:type="pct"/>
          <w:tcBorders>
            <w:top w:val="nil"/>
            <w:left w:val="nil"/>
            <w:bottom w:val="nil"/>
            <w:right w:val="nil"/>
          </w:tcBorders>
          <w:tcMar>
            <w:left w:w="0" w:type="dxa"/>
            <w:right w:w="0" w:type="dxa"/>
          </w:tcMar>
        </w:tcPr>
        <w:p w14:paraId="2F7AB802" w14:textId="77777777" w:rsidR="00C93FD7" w:rsidRDefault="00C93FD7" w:rsidP="004C11DA">
          <w:pPr>
            <w:ind w:left="36"/>
            <w:jc w:val="left"/>
          </w:pPr>
          <w:r w:rsidRPr="00683929">
            <w:rPr>
              <w:noProof/>
              <w:szCs w:val="20"/>
              <w:lang w:eastAsia="pl-PL"/>
            </w:rPr>
            <w:drawing>
              <wp:inline distT="0" distB="0" distL="0" distR="0" wp14:anchorId="4D9DF584" wp14:editId="78C9B147">
                <wp:extent cx="1002891" cy="407504"/>
                <wp:effectExtent l="0" t="0" r="6985" b="0"/>
                <wp:docPr id="54" name="Obraz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2881" cy="440006"/>
                        </a:xfrm>
                        <a:prstGeom prst="rect">
                          <a:avLst/>
                        </a:prstGeom>
                        <a:noFill/>
                        <a:ln>
                          <a:noFill/>
                        </a:ln>
                      </pic:spPr>
                    </pic:pic>
                  </a:graphicData>
                </a:graphic>
              </wp:inline>
            </w:drawing>
          </w:r>
        </w:p>
      </w:tc>
    </w:tr>
  </w:tbl>
  <w:p w14:paraId="07396678" w14:textId="77777777" w:rsidR="00C93FD7" w:rsidRPr="001703EA" w:rsidRDefault="00C93FD7" w:rsidP="00FC5A93">
    <w:pP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Look w:val="04A0" w:firstRow="1" w:lastRow="0" w:firstColumn="1" w:lastColumn="0" w:noHBand="0" w:noVBand="1"/>
    </w:tblPr>
    <w:tblGrid>
      <w:gridCol w:w="9071"/>
    </w:tblGrid>
    <w:tr w:rsidR="00C93FD7" w14:paraId="67BE705F" w14:textId="77777777" w:rsidTr="00912F15">
      <w:trPr>
        <w:trHeight w:val="907"/>
      </w:trPr>
      <w:tc>
        <w:tcPr>
          <w:tcW w:w="5000" w:type="pct"/>
          <w:tcMar>
            <w:left w:w="0" w:type="dxa"/>
            <w:right w:w="0" w:type="dxa"/>
          </w:tcMar>
          <w:vAlign w:val="center"/>
        </w:tcPr>
        <w:p w14:paraId="2B293AB8" w14:textId="3A2B3BE5" w:rsidR="00C93FD7" w:rsidRDefault="00C93FD7" w:rsidP="00C259C7">
          <w:pPr>
            <w:pStyle w:val="Podtytu"/>
            <w:jc w:val="right"/>
          </w:pPr>
          <w:r w:rsidRPr="009C347E">
            <w:t>OCENA POPRAWY PŁYNNOŚCI I BEZPIECZEŃSTWA RUCHU W RAMACH VI OSI PRIORYTETOWEJ POIIŚ 2014-2020</w:t>
          </w:r>
        </w:p>
      </w:tc>
    </w:tr>
  </w:tbl>
  <w:p w14:paraId="0FE9C9F3" w14:textId="77777777" w:rsidR="00C93FD7" w:rsidRPr="001703EA" w:rsidRDefault="00C93FD7" w:rsidP="002B6917">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F74D3"/>
    <w:multiLevelType w:val="hybridMultilevel"/>
    <w:tmpl w:val="631450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583149E"/>
    <w:multiLevelType w:val="hybridMultilevel"/>
    <w:tmpl w:val="6B2E6400"/>
    <w:lvl w:ilvl="0" w:tplc="04150001">
      <w:start w:val="1"/>
      <w:numFmt w:val="bullet"/>
      <w:lvlText w:val=""/>
      <w:lvlJc w:val="left"/>
      <w:pPr>
        <w:ind w:left="720" w:hanging="360"/>
      </w:pPr>
      <w:rPr>
        <w:rFonts w:ascii="Symbol" w:hAnsi="Symbol" w:hint="default"/>
      </w:rPr>
    </w:lvl>
    <w:lvl w:ilvl="1" w:tplc="FFF053A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C206864"/>
    <w:multiLevelType w:val="hybridMultilevel"/>
    <w:tmpl w:val="3EA81D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DBA5BE8"/>
    <w:multiLevelType w:val="hybridMultilevel"/>
    <w:tmpl w:val="36280544"/>
    <w:lvl w:ilvl="0" w:tplc="04150001">
      <w:start w:val="1"/>
      <w:numFmt w:val="bullet"/>
      <w:lvlText w:val=""/>
      <w:lvlJc w:val="left"/>
      <w:pPr>
        <w:ind w:left="561" w:hanging="360"/>
      </w:pPr>
      <w:rPr>
        <w:rFonts w:ascii="Symbol" w:hAnsi="Symbol" w:hint="default"/>
      </w:rPr>
    </w:lvl>
    <w:lvl w:ilvl="1" w:tplc="04150003">
      <w:start w:val="1"/>
      <w:numFmt w:val="bullet"/>
      <w:lvlText w:val="o"/>
      <w:lvlJc w:val="left"/>
      <w:pPr>
        <w:ind w:left="1281" w:hanging="360"/>
      </w:pPr>
      <w:rPr>
        <w:rFonts w:ascii="Courier New" w:hAnsi="Courier New" w:cs="Courier New" w:hint="default"/>
      </w:rPr>
    </w:lvl>
    <w:lvl w:ilvl="2" w:tplc="04150005" w:tentative="1">
      <w:start w:val="1"/>
      <w:numFmt w:val="bullet"/>
      <w:lvlText w:val=""/>
      <w:lvlJc w:val="left"/>
      <w:pPr>
        <w:ind w:left="2001" w:hanging="360"/>
      </w:pPr>
      <w:rPr>
        <w:rFonts w:ascii="Wingdings" w:hAnsi="Wingdings" w:hint="default"/>
      </w:rPr>
    </w:lvl>
    <w:lvl w:ilvl="3" w:tplc="04150001" w:tentative="1">
      <w:start w:val="1"/>
      <w:numFmt w:val="bullet"/>
      <w:lvlText w:val=""/>
      <w:lvlJc w:val="left"/>
      <w:pPr>
        <w:ind w:left="2721" w:hanging="360"/>
      </w:pPr>
      <w:rPr>
        <w:rFonts w:ascii="Symbol" w:hAnsi="Symbol" w:hint="default"/>
      </w:rPr>
    </w:lvl>
    <w:lvl w:ilvl="4" w:tplc="04150003" w:tentative="1">
      <w:start w:val="1"/>
      <w:numFmt w:val="bullet"/>
      <w:lvlText w:val="o"/>
      <w:lvlJc w:val="left"/>
      <w:pPr>
        <w:ind w:left="3441" w:hanging="360"/>
      </w:pPr>
      <w:rPr>
        <w:rFonts w:ascii="Courier New" w:hAnsi="Courier New" w:cs="Courier New" w:hint="default"/>
      </w:rPr>
    </w:lvl>
    <w:lvl w:ilvl="5" w:tplc="04150005" w:tentative="1">
      <w:start w:val="1"/>
      <w:numFmt w:val="bullet"/>
      <w:lvlText w:val=""/>
      <w:lvlJc w:val="left"/>
      <w:pPr>
        <w:ind w:left="4161" w:hanging="360"/>
      </w:pPr>
      <w:rPr>
        <w:rFonts w:ascii="Wingdings" w:hAnsi="Wingdings" w:hint="default"/>
      </w:rPr>
    </w:lvl>
    <w:lvl w:ilvl="6" w:tplc="04150001" w:tentative="1">
      <w:start w:val="1"/>
      <w:numFmt w:val="bullet"/>
      <w:lvlText w:val=""/>
      <w:lvlJc w:val="left"/>
      <w:pPr>
        <w:ind w:left="4881" w:hanging="360"/>
      </w:pPr>
      <w:rPr>
        <w:rFonts w:ascii="Symbol" w:hAnsi="Symbol" w:hint="default"/>
      </w:rPr>
    </w:lvl>
    <w:lvl w:ilvl="7" w:tplc="04150003" w:tentative="1">
      <w:start w:val="1"/>
      <w:numFmt w:val="bullet"/>
      <w:lvlText w:val="o"/>
      <w:lvlJc w:val="left"/>
      <w:pPr>
        <w:ind w:left="5601" w:hanging="360"/>
      </w:pPr>
      <w:rPr>
        <w:rFonts w:ascii="Courier New" w:hAnsi="Courier New" w:cs="Courier New" w:hint="default"/>
      </w:rPr>
    </w:lvl>
    <w:lvl w:ilvl="8" w:tplc="04150005" w:tentative="1">
      <w:start w:val="1"/>
      <w:numFmt w:val="bullet"/>
      <w:lvlText w:val=""/>
      <w:lvlJc w:val="left"/>
      <w:pPr>
        <w:ind w:left="6321" w:hanging="360"/>
      </w:pPr>
      <w:rPr>
        <w:rFonts w:ascii="Wingdings" w:hAnsi="Wingdings" w:hint="default"/>
      </w:rPr>
    </w:lvl>
  </w:abstractNum>
  <w:abstractNum w:abstractNumId="4" w15:restartNumberingAfterBreak="0">
    <w:nsid w:val="0FD91BD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41B78A8"/>
    <w:multiLevelType w:val="hybridMultilevel"/>
    <w:tmpl w:val="2FC63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468137B"/>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7" w15:restartNumberingAfterBreak="0">
    <w:nsid w:val="16DE736B"/>
    <w:multiLevelType w:val="hybridMultilevel"/>
    <w:tmpl w:val="A30A69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B235151"/>
    <w:multiLevelType w:val="hybridMultilevel"/>
    <w:tmpl w:val="A474874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F274E9C"/>
    <w:multiLevelType w:val="hybridMultilevel"/>
    <w:tmpl w:val="D5128D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F33302F"/>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11" w15:restartNumberingAfterBreak="0">
    <w:nsid w:val="209361D4"/>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12" w15:restartNumberingAfterBreak="0">
    <w:nsid w:val="223C1F40"/>
    <w:multiLevelType w:val="hybridMultilevel"/>
    <w:tmpl w:val="39B406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4C56244"/>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14" w15:restartNumberingAfterBreak="0">
    <w:nsid w:val="252A6BE0"/>
    <w:multiLevelType w:val="hybridMultilevel"/>
    <w:tmpl w:val="584E1050"/>
    <w:lvl w:ilvl="0" w:tplc="04150001">
      <w:start w:val="1"/>
      <w:numFmt w:val="bullet"/>
      <w:lvlText w:val=""/>
      <w:lvlJc w:val="left"/>
      <w:pPr>
        <w:ind w:left="720" w:hanging="360"/>
      </w:pPr>
      <w:rPr>
        <w:rFonts w:ascii="Symbol" w:hAnsi="Symbol" w:hint="default"/>
      </w:rPr>
    </w:lvl>
    <w:lvl w:ilvl="1" w:tplc="FFF053AC">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5C51FD3"/>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16" w15:restartNumberingAfterBreak="0">
    <w:nsid w:val="271914E0"/>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17" w15:restartNumberingAfterBreak="0">
    <w:nsid w:val="27C85BCE"/>
    <w:multiLevelType w:val="hybridMultilevel"/>
    <w:tmpl w:val="8A2C43B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30624ED5"/>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19" w15:restartNumberingAfterBreak="0">
    <w:nsid w:val="346A744F"/>
    <w:multiLevelType w:val="hybridMultilevel"/>
    <w:tmpl w:val="095EC598"/>
    <w:lvl w:ilvl="0" w:tplc="89B0A8A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6620173"/>
    <w:multiLevelType w:val="hybridMultilevel"/>
    <w:tmpl w:val="9D1003A8"/>
    <w:lvl w:ilvl="0" w:tplc="89B0A8A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77950D3"/>
    <w:multiLevelType w:val="hybridMultilevel"/>
    <w:tmpl w:val="02944CF2"/>
    <w:lvl w:ilvl="0" w:tplc="63EA6570">
      <w:start w:val="1"/>
      <w:numFmt w:val="decimal"/>
      <w:lvlText w:val="%1."/>
      <w:lvlJc w:val="left"/>
      <w:pPr>
        <w:tabs>
          <w:tab w:val="num" w:pos="720"/>
        </w:tabs>
        <w:ind w:left="720" w:hanging="360"/>
      </w:pPr>
    </w:lvl>
    <w:lvl w:ilvl="1" w:tplc="FC669496">
      <w:start w:val="1"/>
      <w:numFmt w:val="decimal"/>
      <w:lvlText w:val="%2."/>
      <w:lvlJc w:val="left"/>
      <w:pPr>
        <w:tabs>
          <w:tab w:val="num" w:pos="1440"/>
        </w:tabs>
        <w:ind w:left="1440" w:hanging="360"/>
      </w:pPr>
    </w:lvl>
    <w:lvl w:ilvl="2" w:tplc="DC0E90B4" w:tentative="1">
      <w:start w:val="1"/>
      <w:numFmt w:val="decimal"/>
      <w:lvlText w:val="%3."/>
      <w:lvlJc w:val="left"/>
      <w:pPr>
        <w:tabs>
          <w:tab w:val="num" w:pos="2160"/>
        </w:tabs>
        <w:ind w:left="2160" w:hanging="360"/>
      </w:pPr>
    </w:lvl>
    <w:lvl w:ilvl="3" w:tplc="BF665986" w:tentative="1">
      <w:start w:val="1"/>
      <w:numFmt w:val="decimal"/>
      <w:lvlText w:val="%4."/>
      <w:lvlJc w:val="left"/>
      <w:pPr>
        <w:tabs>
          <w:tab w:val="num" w:pos="2880"/>
        </w:tabs>
        <w:ind w:left="2880" w:hanging="360"/>
      </w:pPr>
    </w:lvl>
    <w:lvl w:ilvl="4" w:tplc="026E9532" w:tentative="1">
      <w:start w:val="1"/>
      <w:numFmt w:val="decimal"/>
      <w:lvlText w:val="%5."/>
      <w:lvlJc w:val="left"/>
      <w:pPr>
        <w:tabs>
          <w:tab w:val="num" w:pos="3600"/>
        </w:tabs>
        <w:ind w:left="3600" w:hanging="360"/>
      </w:pPr>
    </w:lvl>
    <w:lvl w:ilvl="5" w:tplc="38962660" w:tentative="1">
      <w:start w:val="1"/>
      <w:numFmt w:val="decimal"/>
      <w:lvlText w:val="%6."/>
      <w:lvlJc w:val="left"/>
      <w:pPr>
        <w:tabs>
          <w:tab w:val="num" w:pos="4320"/>
        </w:tabs>
        <w:ind w:left="4320" w:hanging="360"/>
      </w:pPr>
    </w:lvl>
    <w:lvl w:ilvl="6" w:tplc="ACB8BBD4" w:tentative="1">
      <w:start w:val="1"/>
      <w:numFmt w:val="decimal"/>
      <w:lvlText w:val="%7."/>
      <w:lvlJc w:val="left"/>
      <w:pPr>
        <w:tabs>
          <w:tab w:val="num" w:pos="5040"/>
        </w:tabs>
        <w:ind w:left="5040" w:hanging="360"/>
      </w:pPr>
    </w:lvl>
    <w:lvl w:ilvl="7" w:tplc="651C6F9A" w:tentative="1">
      <w:start w:val="1"/>
      <w:numFmt w:val="decimal"/>
      <w:lvlText w:val="%8."/>
      <w:lvlJc w:val="left"/>
      <w:pPr>
        <w:tabs>
          <w:tab w:val="num" w:pos="5760"/>
        </w:tabs>
        <w:ind w:left="5760" w:hanging="360"/>
      </w:pPr>
    </w:lvl>
    <w:lvl w:ilvl="8" w:tplc="D2DCF6E8" w:tentative="1">
      <w:start w:val="1"/>
      <w:numFmt w:val="decimal"/>
      <w:lvlText w:val="%9."/>
      <w:lvlJc w:val="left"/>
      <w:pPr>
        <w:tabs>
          <w:tab w:val="num" w:pos="6480"/>
        </w:tabs>
        <w:ind w:left="6480" w:hanging="360"/>
      </w:pPr>
    </w:lvl>
  </w:abstractNum>
  <w:abstractNum w:abstractNumId="22" w15:restartNumberingAfterBreak="0">
    <w:nsid w:val="38AC69D0"/>
    <w:multiLevelType w:val="hybridMultilevel"/>
    <w:tmpl w:val="31005AB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39C50512"/>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24" w15:restartNumberingAfterBreak="0">
    <w:nsid w:val="3B415B56"/>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25" w15:restartNumberingAfterBreak="0">
    <w:nsid w:val="41005B7E"/>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26" w15:restartNumberingAfterBreak="0">
    <w:nsid w:val="414405A3"/>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27" w15:restartNumberingAfterBreak="0">
    <w:nsid w:val="430C5CA2"/>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28" w15:restartNumberingAfterBreak="0">
    <w:nsid w:val="433A405C"/>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29" w15:restartNumberingAfterBreak="0">
    <w:nsid w:val="433A542E"/>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30" w15:restartNumberingAfterBreak="0">
    <w:nsid w:val="435961A1"/>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31" w15:restartNumberingAfterBreak="0">
    <w:nsid w:val="43F438E7"/>
    <w:multiLevelType w:val="hybridMultilevel"/>
    <w:tmpl w:val="050629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2" w15:restartNumberingAfterBreak="0">
    <w:nsid w:val="494A6CFD"/>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33" w15:restartNumberingAfterBreak="0">
    <w:nsid w:val="499C23F7"/>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34" w15:restartNumberingAfterBreak="0">
    <w:nsid w:val="4A2645C5"/>
    <w:multiLevelType w:val="hybridMultilevel"/>
    <w:tmpl w:val="A78AF0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51A614D4"/>
    <w:multiLevelType w:val="hybridMultilevel"/>
    <w:tmpl w:val="59C65E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53470EE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55AE2EB5"/>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38" w15:restartNumberingAfterBreak="0">
    <w:nsid w:val="58A32400"/>
    <w:multiLevelType w:val="hybridMultilevel"/>
    <w:tmpl w:val="8A36E02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59E84FA2"/>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40" w15:restartNumberingAfterBreak="0">
    <w:nsid w:val="5BAA43AB"/>
    <w:multiLevelType w:val="hybridMultilevel"/>
    <w:tmpl w:val="829ADD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C491735"/>
    <w:multiLevelType w:val="hybridMultilevel"/>
    <w:tmpl w:val="F71A22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CC840C7"/>
    <w:multiLevelType w:val="hybridMultilevel"/>
    <w:tmpl w:val="C0A2A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3D93B81"/>
    <w:multiLevelType w:val="hybridMultilevel"/>
    <w:tmpl w:val="2294C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5ED7E5D"/>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45" w15:restartNumberingAfterBreak="0">
    <w:nsid w:val="67D637F6"/>
    <w:multiLevelType w:val="hybridMultilevel"/>
    <w:tmpl w:val="9D1003A8"/>
    <w:lvl w:ilvl="0" w:tplc="89B0A8A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688F014E"/>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47" w15:restartNumberingAfterBreak="0">
    <w:nsid w:val="68FF4A5D"/>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48" w15:restartNumberingAfterBreak="0">
    <w:nsid w:val="71286CA5"/>
    <w:multiLevelType w:val="hybridMultilevel"/>
    <w:tmpl w:val="828A60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45D6EDC"/>
    <w:multiLevelType w:val="hybridMultilevel"/>
    <w:tmpl w:val="7A72E032"/>
    <w:lvl w:ilvl="0" w:tplc="99409BDA">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66301E4"/>
    <w:multiLevelType w:val="multilevel"/>
    <w:tmpl w:val="50A4F890"/>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hint="default"/>
      </w:rPr>
    </w:lvl>
    <w:lvl w:ilvl="4">
      <w:start w:val="1"/>
      <w:numFmt w:val="bullet"/>
      <w:lvlText w:val="o"/>
      <w:lvlJc w:val="left"/>
      <w:pPr>
        <w:tabs>
          <w:tab w:val="num" w:pos="1701"/>
        </w:tabs>
        <w:ind w:left="1701" w:hanging="340"/>
      </w:pPr>
      <w:rPr>
        <w:rFonts w:ascii="Courier New" w:hAnsi="Courier New" w:hint="default"/>
      </w:rPr>
    </w:lvl>
    <w:lvl w:ilvl="5">
      <w:start w:val="1"/>
      <w:numFmt w:val="bullet"/>
      <w:lvlText w:val="-"/>
      <w:lvlJc w:val="left"/>
      <w:pPr>
        <w:tabs>
          <w:tab w:val="num" w:pos="2041"/>
        </w:tabs>
        <w:ind w:left="2041" w:hanging="340"/>
      </w:pPr>
      <w:rPr>
        <w:rFonts w:ascii="Courier New" w:hAnsi="Courier New"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hint="default"/>
      </w:rPr>
    </w:lvl>
    <w:lvl w:ilvl="8">
      <w:start w:val="1"/>
      <w:numFmt w:val="bullet"/>
      <w:lvlText w:val=""/>
      <w:lvlJc w:val="left"/>
      <w:pPr>
        <w:tabs>
          <w:tab w:val="num" w:pos="3062"/>
        </w:tabs>
        <w:ind w:left="3062" w:hanging="340"/>
      </w:pPr>
      <w:rPr>
        <w:rFonts w:ascii="Wingdings" w:hAnsi="Wingdings" w:hint="default"/>
      </w:rPr>
    </w:lvl>
  </w:abstractNum>
  <w:abstractNum w:abstractNumId="51" w15:restartNumberingAfterBreak="0">
    <w:nsid w:val="78F17679"/>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52" w15:restartNumberingAfterBreak="0">
    <w:nsid w:val="7B94291A"/>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53" w15:restartNumberingAfterBreak="0">
    <w:nsid w:val="7C146F29"/>
    <w:multiLevelType w:val="multilevel"/>
    <w:tmpl w:val="62608074"/>
    <w:lvl w:ilvl="0">
      <w:start w:val="1"/>
      <w:numFmt w:val="bullet"/>
      <w:lvlText w:val=""/>
      <w:lvlJc w:val="left"/>
      <w:pPr>
        <w:tabs>
          <w:tab w:val="num" w:pos="340"/>
        </w:tabs>
        <w:ind w:left="340" w:hanging="340"/>
      </w:pPr>
      <w:rPr>
        <w:rFonts w:ascii="Symbol" w:hAnsi="Symbol" w:hint="default"/>
      </w:rPr>
    </w:lvl>
    <w:lvl w:ilvl="1">
      <w:start w:val="1"/>
      <w:numFmt w:val="bullet"/>
      <w:lvlText w:val="-"/>
      <w:lvlJc w:val="left"/>
      <w:pPr>
        <w:tabs>
          <w:tab w:val="num" w:pos="680"/>
        </w:tabs>
        <w:ind w:left="680" w:hanging="340"/>
      </w:pPr>
      <w:rPr>
        <w:rFonts w:ascii="Courier New" w:hAnsi="Courier New" w:cs="Times New Roman" w:hint="default"/>
      </w:rPr>
    </w:lvl>
    <w:lvl w:ilvl="2">
      <w:start w:val="1"/>
      <w:numFmt w:val="bullet"/>
      <w:lvlText w:val=""/>
      <w:lvlJc w:val="left"/>
      <w:pPr>
        <w:tabs>
          <w:tab w:val="num" w:pos="1021"/>
        </w:tabs>
        <w:ind w:left="1021" w:hanging="341"/>
      </w:pPr>
      <w:rPr>
        <w:rFonts w:ascii="Wingdings" w:hAnsi="Wingdings" w:hint="default"/>
      </w:rPr>
    </w:lvl>
    <w:lvl w:ilvl="3">
      <w:start w:val="1"/>
      <w:numFmt w:val="bullet"/>
      <w:lvlText w:val="-"/>
      <w:lvlJc w:val="left"/>
      <w:pPr>
        <w:tabs>
          <w:tab w:val="num" w:pos="1361"/>
        </w:tabs>
        <w:ind w:left="1361" w:hanging="340"/>
      </w:pPr>
      <w:rPr>
        <w:rFonts w:ascii="Courier New" w:hAnsi="Courier New" w:cs="Times New Roman" w:hint="default"/>
      </w:rPr>
    </w:lvl>
    <w:lvl w:ilvl="4">
      <w:start w:val="1"/>
      <w:numFmt w:val="bullet"/>
      <w:lvlText w:val="o"/>
      <w:lvlJc w:val="left"/>
      <w:pPr>
        <w:tabs>
          <w:tab w:val="num" w:pos="1701"/>
        </w:tabs>
        <w:ind w:left="1701" w:hanging="340"/>
      </w:pPr>
      <w:rPr>
        <w:rFonts w:ascii="Courier New" w:hAnsi="Courier New" w:cs="Times New Roman" w:hint="default"/>
      </w:rPr>
    </w:lvl>
    <w:lvl w:ilvl="5">
      <w:start w:val="1"/>
      <w:numFmt w:val="bullet"/>
      <w:lvlText w:val="-"/>
      <w:lvlJc w:val="left"/>
      <w:pPr>
        <w:tabs>
          <w:tab w:val="num" w:pos="2041"/>
        </w:tabs>
        <w:ind w:left="2041" w:hanging="340"/>
      </w:pPr>
      <w:rPr>
        <w:rFonts w:ascii="Courier New" w:hAnsi="Courier New" w:cs="Times New Roman" w:hint="default"/>
      </w:rPr>
    </w:lvl>
    <w:lvl w:ilvl="6">
      <w:start w:val="1"/>
      <w:numFmt w:val="bullet"/>
      <w:lvlText w:val=""/>
      <w:lvlJc w:val="left"/>
      <w:pPr>
        <w:tabs>
          <w:tab w:val="num" w:pos="2381"/>
        </w:tabs>
        <w:ind w:left="2381" w:hanging="340"/>
      </w:pPr>
      <w:rPr>
        <w:rFonts w:ascii="Symbol" w:hAnsi="Symbol" w:hint="default"/>
      </w:rPr>
    </w:lvl>
    <w:lvl w:ilvl="7">
      <w:start w:val="1"/>
      <w:numFmt w:val="bullet"/>
      <w:lvlText w:val="-"/>
      <w:lvlJc w:val="left"/>
      <w:pPr>
        <w:tabs>
          <w:tab w:val="num" w:pos="2722"/>
        </w:tabs>
        <w:ind w:left="2722" w:hanging="341"/>
      </w:pPr>
      <w:rPr>
        <w:rFonts w:ascii="Courier New" w:hAnsi="Courier New" w:cs="Times New Roman" w:hint="default"/>
      </w:rPr>
    </w:lvl>
    <w:lvl w:ilvl="8">
      <w:start w:val="1"/>
      <w:numFmt w:val="bullet"/>
      <w:lvlText w:val=""/>
      <w:lvlJc w:val="left"/>
      <w:pPr>
        <w:tabs>
          <w:tab w:val="num" w:pos="3062"/>
        </w:tabs>
        <w:ind w:left="3062" w:hanging="340"/>
      </w:pPr>
      <w:rPr>
        <w:rFonts w:ascii="Wingdings" w:hAnsi="Wingdings" w:hint="default"/>
      </w:rPr>
    </w:lvl>
  </w:abstractNum>
  <w:abstractNum w:abstractNumId="54" w15:restartNumberingAfterBreak="0">
    <w:nsid w:val="7CF513B2"/>
    <w:multiLevelType w:val="multilevel"/>
    <w:tmpl w:val="280CA9BA"/>
    <w:lvl w:ilvl="0">
      <w:start w:val="1"/>
      <w:numFmt w:val="decimal"/>
      <w:pStyle w:val="Nagwek1"/>
      <w:lvlText w:val="%1."/>
      <w:lvlJc w:val="right"/>
      <w:pPr>
        <w:ind w:left="1850" w:hanging="144"/>
      </w:pPr>
      <w:rPr>
        <w:rFonts w:hint="default"/>
      </w:rPr>
    </w:lvl>
    <w:lvl w:ilvl="1">
      <w:start w:val="1"/>
      <w:numFmt w:val="decimal"/>
      <w:pStyle w:val="Nagwek2"/>
      <w:lvlText w:val="%1.%2."/>
      <w:lvlJc w:val="right"/>
      <w:pPr>
        <w:ind w:left="1994" w:hanging="288"/>
      </w:pPr>
      <w:rPr>
        <w:rFonts w:hint="default"/>
      </w:rPr>
    </w:lvl>
    <w:lvl w:ilvl="2">
      <w:start w:val="1"/>
      <w:numFmt w:val="decimal"/>
      <w:pStyle w:val="Nagwek3"/>
      <w:lvlText w:val="%1.%2.%3."/>
      <w:lvlJc w:val="right"/>
      <w:pPr>
        <w:ind w:left="2138" w:hanging="432"/>
      </w:pPr>
      <w:rPr>
        <w:rFonts w:hint="default"/>
      </w:rPr>
    </w:lvl>
    <w:lvl w:ilvl="3">
      <w:start w:val="1"/>
      <w:numFmt w:val="decimal"/>
      <w:pStyle w:val="Nagwek4"/>
      <w:lvlText w:val="%1.%2.%3.%4."/>
      <w:lvlJc w:val="right"/>
      <w:pPr>
        <w:ind w:left="2282" w:hanging="576"/>
      </w:pPr>
      <w:rPr>
        <w:rFonts w:hint="default"/>
      </w:rPr>
    </w:lvl>
    <w:lvl w:ilvl="4">
      <w:start w:val="1"/>
      <w:numFmt w:val="decimal"/>
      <w:pStyle w:val="Nagwek5"/>
      <w:lvlText w:val="%1.%2.%3.%4.%5."/>
      <w:lvlJc w:val="right"/>
      <w:pPr>
        <w:ind w:left="2426" w:hanging="720"/>
      </w:pPr>
      <w:rPr>
        <w:rFonts w:hint="default"/>
      </w:rPr>
    </w:lvl>
    <w:lvl w:ilvl="5">
      <w:start w:val="1"/>
      <w:numFmt w:val="decimal"/>
      <w:lvlText w:val="%1.%2.%3.%4.%5.%6."/>
      <w:lvlJc w:val="right"/>
      <w:pPr>
        <w:ind w:left="2570" w:hanging="864"/>
      </w:pPr>
      <w:rPr>
        <w:rFonts w:hint="default"/>
      </w:rPr>
    </w:lvl>
    <w:lvl w:ilvl="6">
      <w:start w:val="1"/>
      <w:numFmt w:val="decimal"/>
      <w:lvlText w:val="%1.%2.%3.%4.%5.%6.%7."/>
      <w:lvlJc w:val="right"/>
      <w:pPr>
        <w:ind w:left="2714" w:hanging="1008"/>
      </w:pPr>
      <w:rPr>
        <w:rFonts w:hint="default"/>
      </w:rPr>
    </w:lvl>
    <w:lvl w:ilvl="7">
      <w:start w:val="1"/>
      <w:numFmt w:val="decimal"/>
      <w:lvlText w:val="%1.%2.%3.%4.%5.%6.%7.%8."/>
      <w:lvlJc w:val="right"/>
      <w:pPr>
        <w:ind w:left="2858" w:hanging="1152"/>
      </w:pPr>
      <w:rPr>
        <w:rFonts w:hint="default"/>
      </w:rPr>
    </w:lvl>
    <w:lvl w:ilvl="8">
      <w:start w:val="1"/>
      <w:numFmt w:val="decimal"/>
      <w:lvlText w:val="%1.%2.%3.%4.%5.%6.%7.%8.%9."/>
      <w:lvlJc w:val="right"/>
      <w:pPr>
        <w:ind w:left="3002" w:hanging="1296"/>
      </w:pPr>
      <w:rPr>
        <w:rFonts w:hint="default"/>
      </w:rPr>
    </w:lvl>
  </w:abstractNum>
  <w:abstractNum w:abstractNumId="55" w15:restartNumberingAfterBreak="0">
    <w:nsid w:val="7F6F2A45"/>
    <w:multiLevelType w:val="hybridMultilevel"/>
    <w:tmpl w:val="9D1003A8"/>
    <w:lvl w:ilvl="0" w:tplc="89B0A8A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F8A1758"/>
    <w:multiLevelType w:val="hybridMultilevel"/>
    <w:tmpl w:val="9432C27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54"/>
  </w:num>
  <w:num w:numId="2">
    <w:abstractNumId w:val="41"/>
  </w:num>
  <w:num w:numId="3">
    <w:abstractNumId w:val="40"/>
  </w:num>
  <w:num w:numId="4">
    <w:abstractNumId w:val="31"/>
  </w:num>
  <w:num w:numId="5">
    <w:abstractNumId w:val="3"/>
  </w:num>
  <w:num w:numId="6">
    <w:abstractNumId w:val="33"/>
  </w:num>
  <w:num w:numId="7">
    <w:abstractNumId w:val="37"/>
  </w:num>
  <w:num w:numId="8">
    <w:abstractNumId w:val="20"/>
  </w:num>
  <w:num w:numId="9">
    <w:abstractNumId w:val="19"/>
  </w:num>
  <w:num w:numId="10">
    <w:abstractNumId w:val="21"/>
  </w:num>
  <w:num w:numId="11">
    <w:abstractNumId w:val="18"/>
  </w:num>
  <w:num w:numId="12">
    <w:abstractNumId w:val="15"/>
  </w:num>
  <w:num w:numId="13">
    <w:abstractNumId w:val="32"/>
  </w:num>
  <w:num w:numId="14">
    <w:abstractNumId w:val="46"/>
  </w:num>
  <w:num w:numId="15">
    <w:abstractNumId w:val="53"/>
  </w:num>
  <w:num w:numId="16">
    <w:abstractNumId w:val="4"/>
  </w:num>
  <w:num w:numId="17">
    <w:abstractNumId w:val="36"/>
  </w:num>
  <w:num w:numId="18">
    <w:abstractNumId w:val="7"/>
  </w:num>
  <w:num w:numId="19">
    <w:abstractNumId w:val="10"/>
  </w:num>
  <w:num w:numId="20">
    <w:abstractNumId w:val="44"/>
  </w:num>
  <w:num w:numId="21">
    <w:abstractNumId w:val="47"/>
  </w:num>
  <w:num w:numId="22">
    <w:abstractNumId w:val="11"/>
  </w:num>
  <w:num w:numId="23">
    <w:abstractNumId w:val="50"/>
  </w:num>
  <w:num w:numId="24">
    <w:abstractNumId w:val="23"/>
  </w:num>
  <w:num w:numId="25">
    <w:abstractNumId w:val="17"/>
  </w:num>
  <w:num w:numId="26">
    <w:abstractNumId w:val="56"/>
  </w:num>
  <w:num w:numId="27">
    <w:abstractNumId w:val="34"/>
  </w:num>
  <w:num w:numId="28">
    <w:abstractNumId w:val="6"/>
  </w:num>
  <w:num w:numId="29">
    <w:abstractNumId w:val="8"/>
  </w:num>
  <w:num w:numId="30">
    <w:abstractNumId w:val="14"/>
  </w:num>
  <w:num w:numId="31">
    <w:abstractNumId w:val="1"/>
  </w:num>
  <w:num w:numId="32">
    <w:abstractNumId w:val="38"/>
  </w:num>
  <w:num w:numId="33">
    <w:abstractNumId w:val="35"/>
  </w:num>
  <w:num w:numId="34">
    <w:abstractNumId w:val="22"/>
  </w:num>
  <w:num w:numId="35">
    <w:abstractNumId w:val="9"/>
  </w:num>
  <w:num w:numId="36">
    <w:abstractNumId w:val="42"/>
  </w:num>
  <w:num w:numId="37">
    <w:abstractNumId w:val="30"/>
  </w:num>
  <w:num w:numId="38">
    <w:abstractNumId w:val="16"/>
  </w:num>
  <w:num w:numId="39">
    <w:abstractNumId w:val="55"/>
  </w:num>
  <w:num w:numId="40">
    <w:abstractNumId w:val="27"/>
  </w:num>
  <w:num w:numId="41">
    <w:abstractNumId w:val="39"/>
  </w:num>
  <w:num w:numId="42">
    <w:abstractNumId w:val="28"/>
  </w:num>
  <w:num w:numId="43">
    <w:abstractNumId w:val="24"/>
  </w:num>
  <w:num w:numId="44">
    <w:abstractNumId w:val="25"/>
  </w:num>
  <w:num w:numId="45">
    <w:abstractNumId w:val="26"/>
  </w:num>
  <w:num w:numId="46">
    <w:abstractNumId w:val="51"/>
  </w:num>
  <w:num w:numId="47">
    <w:abstractNumId w:val="29"/>
  </w:num>
  <w:num w:numId="48">
    <w:abstractNumId w:val="45"/>
  </w:num>
  <w:num w:numId="49">
    <w:abstractNumId w:val="52"/>
  </w:num>
  <w:num w:numId="50">
    <w:abstractNumId w:val="13"/>
  </w:num>
  <w:num w:numId="51">
    <w:abstractNumId w:val="43"/>
  </w:num>
  <w:num w:numId="52">
    <w:abstractNumId w:val="48"/>
  </w:num>
  <w:num w:numId="53">
    <w:abstractNumId w:val="12"/>
  </w:num>
  <w:num w:numId="54">
    <w:abstractNumId w:val="5"/>
  </w:num>
  <w:num w:numId="55">
    <w:abstractNumId w:val="2"/>
  </w:num>
  <w:num w:numId="56">
    <w:abstractNumId w:val="49"/>
  </w:num>
  <w:num w:numId="57">
    <w:abstractNumId w:val="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TrueTypeFonts/>
  <w:embedSystemFont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4352"/>
    <w:rsid w:val="00000DDD"/>
    <w:rsid w:val="0000122F"/>
    <w:rsid w:val="00001990"/>
    <w:rsid w:val="00001B5C"/>
    <w:rsid w:val="00002073"/>
    <w:rsid w:val="00002B95"/>
    <w:rsid w:val="00002FD4"/>
    <w:rsid w:val="000045AF"/>
    <w:rsid w:val="00005ACE"/>
    <w:rsid w:val="00005B2E"/>
    <w:rsid w:val="00006072"/>
    <w:rsid w:val="0000688C"/>
    <w:rsid w:val="0000769C"/>
    <w:rsid w:val="00007D35"/>
    <w:rsid w:val="00010840"/>
    <w:rsid w:val="00010F65"/>
    <w:rsid w:val="00011A88"/>
    <w:rsid w:val="00011F29"/>
    <w:rsid w:val="00012384"/>
    <w:rsid w:val="000124A4"/>
    <w:rsid w:val="00013258"/>
    <w:rsid w:val="00013997"/>
    <w:rsid w:val="00013E95"/>
    <w:rsid w:val="00014BCA"/>
    <w:rsid w:val="00015723"/>
    <w:rsid w:val="00015F2F"/>
    <w:rsid w:val="00017DA5"/>
    <w:rsid w:val="00017E2E"/>
    <w:rsid w:val="000205AE"/>
    <w:rsid w:val="000207F0"/>
    <w:rsid w:val="00020F9B"/>
    <w:rsid w:val="000214CC"/>
    <w:rsid w:val="000223DF"/>
    <w:rsid w:val="000231AC"/>
    <w:rsid w:val="00023590"/>
    <w:rsid w:val="0002360F"/>
    <w:rsid w:val="00023F08"/>
    <w:rsid w:val="000247D1"/>
    <w:rsid w:val="00024ECA"/>
    <w:rsid w:val="00024FA9"/>
    <w:rsid w:val="00025C28"/>
    <w:rsid w:val="0002609A"/>
    <w:rsid w:val="0002610A"/>
    <w:rsid w:val="0002674B"/>
    <w:rsid w:val="00026FA9"/>
    <w:rsid w:val="00027A16"/>
    <w:rsid w:val="0003040D"/>
    <w:rsid w:val="000319ED"/>
    <w:rsid w:val="000320FE"/>
    <w:rsid w:val="00032108"/>
    <w:rsid w:val="00032FD9"/>
    <w:rsid w:val="00033F51"/>
    <w:rsid w:val="000342F0"/>
    <w:rsid w:val="0003485D"/>
    <w:rsid w:val="000353D7"/>
    <w:rsid w:val="00035523"/>
    <w:rsid w:val="00035FF9"/>
    <w:rsid w:val="00036309"/>
    <w:rsid w:val="000369D6"/>
    <w:rsid w:val="00036C00"/>
    <w:rsid w:val="000374E3"/>
    <w:rsid w:val="0003786F"/>
    <w:rsid w:val="00037937"/>
    <w:rsid w:val="00037A67"/>
    <w:rsid w:val="0004050D"/>
    <w:rsid w:val="0004147C"/>
    <w:rsid w:val="000415F0"/>
    <w:rsid w:val="00043E95"/>
    <w:rsid w:val="00044F2A"/>
    <w:rsid w:val="0004509A"/>
    <w:rsid w:val="00045FAB"/>
    <w:rsid w:val="0005411F"/>
    <w:rsid w:val="00055BCA"/>
    <w:rsid w:val="00055CA3"/>
    <w:rsid w:val="00056C20"/>
    <w:rsid w:val="00056F8D"/>
    <w:rsid w:val="0005750B"/>
    <w:rsid w:val="000579F9"/>
    <w:rsid w:val="00057EE4"/>
    <w:rsid w:val="0006247E"/>
    <w:rsid w:val="00062889"/>
    <w:rsid w:val="00062DDC"/>
    <w:rsid w:val="00063AC6"/>
    <w:rsid w:val="0006465C"/>
    <w:rsid w:val="00066267"/>
    <w:rsid w:val="0006683C"/>
    <w:rsid w:val="00066BC6"/>
    <w:rsid w:val="00067877"/>
    <w:rsid w:val="00071A66"/>
    <w:rsid w:val="00072196"/>
    <w:rsid w:val="000733ED"/>
    <w:rsid w:val="00073A86"/>
    <w:rsid w:val="00073D8B"/>
    <w:rsid w:val="000758C9"/>
    <w:rsid w:val="00077570"/>
    <w:rsid w:val="000810CF"/>
    <w:rsid w:val="00081CE3"/>
    <w:rsid w:val="00083025"/>
    <w:rsid w:val="00084357"/>
    <w:rsid w:val="00084BDD"/>
    <w:rsid w:val="0008755C"/>
    <w:rsid w:val="00087731"/>
    <w:rsid w:val="000878C2"/>
    <w:rsid w:val="00087C0C"/>
    <w:rsid w:val="00087DA4"/>
    <w:rsid w:val="00091839"/>
    <w:rsid w:val="00092311"/>
    <w:rsid w:val="00092A47"/>
    <w:rsid w:val="00093729"/>
    <w:rsid w:val="000939BB"/>
    <w:rsid w:val="00094A99"/>
    <w:rsid w:val="00096D20"/>
    <w:rsid w:val="000976D4"/>
    <w:rsid w:val="00097DD0"/>
    <w:rsid w:val="000A11F1"/>
    <w:rsid w:val="000A12CF"/>
    <w:rsid w:val="000A16EB"/>
    <w:rsid w:val="000A1D85"/>
    <w:rsid w:val="000A2215"/>
    <w:rsid w:val="000A2C47"/>
    <w:rsid w:val="000A38D1"/>
    <w:rsid w:val="000A4913"/>
    <w:rsid w:val="000A61F6"/>
    <w:rsid w:val="000A6B26"/>
    <w:rsid w:val="000A7413"/>
    <w:rsid w:val="000A7479"/>
    <w:rsid w:val="000A7D06"/>
    <w:rsid w:val="000B0AA5"/>
    <w:rsid w:val="000B0F7F"/>
    <w:rsid w:val="000B2E35"/>
    <w:rsid w:val="000B3C30"/>
    <w:rsid w:val="000B5588"/>
    <w:rsid w:val="000B56A7"/>
    <w:rsid w:val="000B5A2E"/>
    <w:rsid w:val="000B5F7D"/>
    <w:rsid w:val="000B647F"/>
    <w:rsid w:val="000B7166"/>
    <w:rsid w:val="000B7861"/>
    <w:rsid w:val="000B7D88"/>
    <w:rsid w:val="000C029D"/>
    <w:rsid w:val="000C02D5"/>
    <w:rsid w:val="000C0BDC"/>
    <w:rsid w:val="000C11C6"/>
    <w:rsid w:val="000C1290"/>
    <w:rsid w:val="000C16C3"/>
    <w:rsid w:val="000C17C6"/>
    <w:rsid w:val="000C2B99"/>
    <w:rsid w:val="000C4247"/>
    <w:rsid w:val="000C64DE"/>
    <w:rsid w:val="000C6ED0"/>
    <w:rsid w:val="000C76D0"/>
    <w:rsid w:val="000C7E78"/>
    <w:rsid w:val="000D07B6"/>
    <w:rsid w:val="000D12F9"/>
    <w:rsid w:val="000D441B"/>
    <w:rsid w:val="000D4A59"/>
    <w:rsid w:val="000D4A74"/>
    <w:rsid w:val="000D4EA2"/>
    <w:rsid w:val="000D50BD"/>
    <w:rsid w:val="000D6277"/>
    <w:rsid w:val="000D639B"/>
    <w:rsid w:val="000D6753"/>
    <w:rsid w:val="000D7377"/>
    <w:rsid w:val="000E0054"/>
    <w:rsid w:val="000E0AC7"/>
    <w:rsid w:val="000E1958"/>
    <w:rsid w:val="000E2CE5"/>
    <w:rsid w:val="000E312F"/>
    <w:rsid w:val="000E35A6"/>
    <w:rsid w:val="000E44C5"/>
    <w:rsid w:val="000E56F8"/>
    <w:rsid w:val="000E5A09"/>
    <w:rsid w:val="000E6655"/>
    <w:rsid w:val="000E6DBE"/>
    <w:rsid w:val="000E7679"/>
    <w:rsid w:val="000E7AD3"/>
    <w:rsid w:val="000F03A3"/>
    <w:rsid w:val="000F10A4"/>
    <w:rsid w:val="000F17D9"/>
    <w:rsid w:val="000F1BC6"/>
    <w:rsid w:val="000F2F17"/>
    <w:rsid w:val="000F3397"/>
    <w:rsid w:val="000F4141"/>
    <w:rsid w:val="000F4D69"/>
    <w:rsid w:val="000F4F28"/>
    <w:rsid w:val="000F5060"/>
    <w:rsid w:val="000F54BD"/>
    <w:rsid w:val="000F62CE"/>
    <w:rsid w:val="000F6353"/>
    <w:rsid w:val="000F7C2A"/>
    <w:rsid w:val="00100637"/>
    <w:rsid w:val="00101206"/>
    <w:rsid w:val="00101761"/>
    <w:rsid w:val="00101AF0"/>
    <w:rsid w:val="00101C3E"/>
    <w:rsid w:val="001027E6"/>
    <w:rsid w:val="001030D7"/>
    <w:rsid w:val="00103C73"/>
    <w:rsid w:val="00104531"/>
    <w:rsid w:val="001052D3"/>
    <w:rsid w:val="00105708"/>
    <w:rsid w:val="00105891"/>
    <w:rsid w:val="00106552"/>
    <w:rsid w:val="00107DB7"/>
    <w:rsid w:val="0011026F"/>
    <w:rsid w:val="001110D4"/>
    <w:rsid w:val="0011247C"/>
    <w:rsid w:val="00113396"/>
    <w:rsid w:val="00113C74"/>
    <w:rsid w:val="0011426B"/>
    <w:rsid w:val="00115813"/>
    <w:rsid w:val="00116FB2"/>
    <w:rsid w:val="00117905"/>
    <w:rsid w:val="00117CA8"/>
    <w:rsid w:val="00117D60"/>
    <w:rsid w:val="00117EE9"/>
    <w:rsid w:val="00121265"/>
    <w:rsid w:val="0012173A"/>
    <w:rsid w:val="00121B5D"/>
    <w:rsid w:val="00121F73"/>
    <w:rsid w:val="00122769"/>
    <w:rsid w:val="001227AF"/>
    <w:rsid w:val="00124944"/>
    <w:rsid w:val="00124B7D"/>
    <w:rsid w:val="0012567E"/>
    <w:rsid w:val="001263B0"/>
    <w:rsid w:val="00126DBE"/>
    <w:rsid w:val="0012719E"/>
    <w:rsid w:val="0013066F"/>
    <w:rsid w:val="001306A5"/>
    <w:rsid w:val="00130A2F"/>
    <w:rsid w:val="001316DB"/>
    <w:rsid w:val="00133AFF"/>
    <w:rsid w:val="0013466E"/>
    <w:rsid w:val="001358E9"/>
    <w:rsid w:val="00135BB5"/>
    <w:rsid w:val="00135DF8"/>
    <w:rsid w:val="00137258"/>
    <w:rsid w:val="001375A8"/>
    <w:rsid w:val="001402A8"/>
    <w:rsid w:val="00140D18"/>
    <w:rsid w:val="00142846"/>
    <w:rsid w:val="00142F2B"/>
    <w:rsid w:val="00143D14"/>
    <w:rsid w:val="001449FD"/>
    <w:rsid w:val="001456CB"/>
    <w:rsid w:val="00146EE1"/>
    <w:rsid w:val="00147547"/>
    <w:rsid w:val="00147825"/>
    <w:rsid w:val="00147B88"/>
    <w:rsid w:val="00147BAE"/>
    <w:rsid w:val="00150020"/>
    <w:rsid w:val="00150659"/>
    <w:rsid w:val="00150848"/>
    <w:rsid w:val="00150BBE"/>
    <w:rsid w:val="001515A4"/>
    <w:rsid w:val="001521FD"/>
    <w:rsid w:val="00153703"/>
    <w:rsid w:val="0015451D"/>
    <w:rsid w:val="001547D9"/>
    <w:rsid w:val="00154C17"/>
    <w:rsid w:val="001552B0"/>
    <w:rsid w:val="001568D9"/>
    <w:rsid w:val="00156BD7"/>
    <w:rsid w:val="00157231"/>
    <w:rsid w:val="001575E4"/>
    <w:rsid w:val="00157BD8"/>
    <w:rsid w:val="001607DD"/>
    <w:rsid w:val="0016148C"/>
    <w:rsid w:val="00161F67"/>
    <w:rsid w:val="00162A42"/>
    <w:rsid w:val="001633D6"/>
    <w:rsid w:val="00164C34"/>
    <w:rsid w:val="001653A4"/>
    <w:rsid w:val="00165FCD"/>
    <w:rsid w:val="001663E8"/>
    <w:rsid w:val="00167155"/>
    <w:rsid w:val="00167779"/>
    <w:rsid w:val="001703EA"/>
    <w:rsid w:val="001726E4"/>
    <w:rsid w:val="0017272B"/>
    <w:rsid w:val="00173344"/>
    <w:rsid w:val="00173EEF"/>
    <w:rsid w:val="00176366"/>
    <w:rsid w:val="001773F1"/>
    <w:rsid w:val="001775E9"/>
    <w:rsid w:val="0017793B"/>
    <w:rsid w:val="00177E17"/>
    <w:rsid w:val="00180249"/>
    <w:rsid w:val="001807DA"/>
    <w:rsid w:val="00180A8C"/>
    <w:rsid w:val="00180E76"/>
    <w:rsid w:val="001811AD"/>
    <w:rsid w:val="001812A0"/>
    <w:rsid w:val="001825DD"/>
    <w:rsid w:val="00182A03"/>
    <w:rsid w:val="00182F51"/>
    <w:rsid w:val="00184DAD"/>
    <w:rsid w:val="00185128"/>
    <w:rsid w:val="00185AB1"/>
    <w:rsid w:val="00187261"/>
    <w:rsid w:val="00187822"/>
    <w:rsid w:val="00192715"/>
    <w:rsid w:val="00192E35"/>
    <w:rsid w:val="00193E74"/>
    <w:rsid w:val="00194306"/>
    <w:rsid w:val="001946D8"/>
    <w:rsid w:val="001949D0"/>
    <w:rsid w:val="00194F47"/>
    <w:rsid w:val="00195832"/>
    <w:rsid w:val="00195E4D"/>
    <w:rsid w:val="00196E46"/>
    <w:rsid w:val="00197C3B"/>
    <w:rsid w:val="001A0A03"/>
    <w:rsid w:val="001A0A57"/>
    <w:rsid w:val="001A252C"/>
    <w:rsid w:val="001A34B5"/>
    <w:rsid w:val="001A40DC"/>
    <w:rsid w:val="001A5DC1"/>
    <w:rsid w:val="001A6334"/>
    <w:rsid w:val="001A6891"/>
    <w:rsid w:val="001A6B87"/>
    <w:rsid w:val="001A6C9D"/>
    <w:rsid w:val="001A7297"/>
    <w:rsid w:val="001A75FC"/>
    <w:rsid w:val="001A7EAF"/>
    <w:rsid w:val="001B0611"/>
    <w:rsid w:val="001B087E"/>
    <w:rsid w:val="001B17C4"/>
    <w:rsid w:val="001B2A4E"/>
    <w:rsid w:val="001B2BE0"/>
    <w:rsid w:val="001B3014"/>
    <w:rsid w:val="001B3E45"/>
    <w:rsid w:val="001B424D"/>
    <w:rsid w:val="001B4775"/>
    <w:rsid w:val="001B48E0"/>
    <w:rsid w:val="001B5905"/>
    <w:rsid w:val="001B5B78"/>
    <w:rsid w:val="001B6076"/>
    <w:rsid w:val="001B613A"/>
    <w:rsid w:val="001B61C9"/>
    <w:rsid w:val="001B682A"/>
    <w:rsid w:val="001B707D"/>
    <w:rsid w:val="001B7E44"/>
    <w:rsid w:val="001C0BFE"/>
    <w:rsid w:val="001C1B1C"/>
    <w:rsid w:val="001C1BF4"/>
    <w:rsid w:val="001C200E"/>
    <w:rsid w:val="001C27E2"/>
    <w:rsid w:val="001C2FE8"/>
    <w:rsid w:val="001C40B4"/>
    <w:rsid w:val="001C45F1"/>
    <w:rsid w:val="001C4FF8"/>
    <w:rsid w:val="001C558C"/>
    <w:rsid w:val="001C6AA9"/>
    <w:rsid w:val="001C7AA1"/>
    <w:rsid w:val="001C7F35"/>
    <w:rsid w:val="001D04B0"/>
    <w:rsid w:val="001D1187"/>
    <w:rsid w:val="001D137F"/>
    <w:rsid w:val="001D1A25"/>
    <w:rsid w:val="001D1D09"/>
    <w:rsid w:val="001D1E07"/>
    <w:rsid w:val="001D2168"/>
    <w:rsid w:val="001D21F6"/>
    <w:rsid w:val="001D2242"/>
    <w:rsid w:val="001D23CC"/>
    <w:rsid w:val="001D3B9C"/>
    <w:rsid w:val="001D3D45"/>
    <w:rsid w:val="001D494A"/>
    <w:rsid w:val="001D503A"/>
    <w:rsid w:val="001D54FC"/>
    <w:rsid w:val="001D6368"/>
    <w:rsid w:val="001E1173"/>
    <w:rsid w:val="001E1A75"/>
    <w:rsid w:val="001E2267"/>
    <w:rsid w:val="001E232C"/>
    <w:rsid w:val="001E26B1"/>
    <w:rsid w:val="001E304C"/>
    <w:rsid w:val="001E349E"/>
    <w:rsid w:val="001E3CDD"/>
    <w:rsid w:val="001E4D57"/>
    <w:rsid w:val="001E4DEF"/>
    <w:rsid w:val="001E4E7E"/>
    <w:rsid w:val="001E5135"/>
    <w:rsid w:val="001E6B11"/>
    <w:rsid w:val="001E6BB9"/>
    <w:rsid w:val="001E726C"/>
    <w:rsid w:val="001E727E"/>
    <w:rsid w:val="001F0B3B"/>
    <w:rsid w:val="001F0F07"/>
    <w:rsid w:val="001F3059"/>
    <w:rsid w:val="001F3093"/>
    <w:rsid w:val="001F3BAA"/>
    <w:rsid w:val="001F4CEC"/>
    <w:rsid w:val="001F4F96"/>
    <w:rsid w:val="001F56E8"/>
    <w:rsid w:val="001F5A52"/>
    <w:rsid w:val="001F6CF4"/>
    <w:rsid w:val="001F7CB0"/>
    <w:rsid w:val="0020072D"/>
    <w:rsid w:val="002031BC"/>
    <w:rsid w:val="00203983"/>
    <w:rsid w:val="0020431F"/>
    <w:rsid w:val="002046FC"/>
    <w:rsid w:val="002062F2"/>
    <w:rsid w:val="0020678F"/>
    <w:rsid w:val="00206A6A"/>
    <w:rsid w:val="002071E4"/>
    <w:rsid w:val="002078C0"/>
    <w:rsid w:val="00207B6F"/>
    <w:rsid w:val="00211FAE"/>
    <w:rsid w:val="002127E8"/>
    <w:rsid w:val="00212A0B"/>
    <w:rsid w:val="0021605C"/>
    <w:rsid w:val="002166A9"/>
    <w:rsid w:val="00216954"/>
    <w:rsid w:val="00216FDA"/>
    <w:rsid w:val="002171F4"/>
    <w:rsid w:val="00217361"/>
    <w:rsid w:val="002173A6"/>
    <w:rsid w:val="002176A9"/>
    <w:rsid w:val="0021793A"/>
    <w:rsid w:val="00220665"/>
    <w:rsid w:val="00220704"/>
    <w:rsid w:val="002207FA"/>
    <w:rsid w:val="002226DF"/>
    <w:rsid w:val="00222878"/>
    <w:rsid w:val="00222907"/>
    <w:rsid w:val="00222D33"/>
    <w:rsid w:val="00224790"/>
    <w:rsid w:val="00224AC0"/>
    <w:rsid w:val="00225A24"/>
    <w:rsid w:val="00225D4D"/>
    <w:rsid w:val="002274BB"/>
    <w:rsid w:val="00227DCE"/>
    <w:rsid w:val="002305CE"/>
    <w:rsid w:val="00230766"/>
    <w:rsid w:val="00230C78"/>
    <w:rsid w:val="00230C8A"/>
    <w:rsid w:val="002313FD"/>
    <w:rsid w:val="002328F1"/>
    <w:rsid w:val="0023338B"/>
    <w:rsid w:val="00234DE1"/>
    <w:rsid w:val="00235D1E"/>
    <w:rsid w:val="0023654C"/>
    <w:rsid w:val="0023705B"/>
    <w:rsid w:val="00240B5F"/>
    <w:rsid w:val="00240E00"/>
    <w:rsid w:val="00242444"/>
    <w:rsid w:val="00243C52"/>
    <w:rsid w:val="00244E13"/>
    <w:rsid w:val="00245102"/>
    <w:rsid w:val="00245EB4"/>
    <w:rsid w:val="002460FB"/>
    <w:rsid w:val="00247140"/>
    <w:rsid w:val="00247377"/>
    <w:rsid w:val="002477F7"/>
    <w:rsid w:val="00247CB7"/>
    <w:rsid w:val="002502F6"/>
    <w:rsid w:val="00251ED5"/>
    <w:rsid w:val="002520A8"/>
    <w:rsid w:val="00252E73"/>
    <w:rsid w:val="0025450D"/>
    <w:rsid w:val="00255CC4"/>
    <w:rsid w:val="0025697E"/>
    <w:rsid w:val="00257C54"/>
    <w:rsid w:val="00257D12"/>
    <w:rsid w:val="002619F9"/>
    <w:rsid w:val="00261C36"/>
    <w:rsid w:val="0026211A"/>
    <w:rsid w:val="002633EC"/>
    <w:rsid w:val="00263617"/>
    <w:rsid w:val="002637D2"/>
    <w:rsid w:val="0026385B"/>
    <w:rsid w:val="0026702F"/>
    <w:rsid w:val="00267A8C"/>
    <w:rsid w:val="00270172"/>
    <w:rsid w:val="002731B2"/>
    <w:rsid w:val="00273BFD"/>
    <w:rsid w:val="00273DAC"/>
    <w:rsid w:val="00274086"/>
    <w:rsid w:val="00274909"/>
    <w:rsid w:val="002752BB"/>
    <w:rsid w:val="00275573"/>
    <w:rsid w:val="00276F26"/>
    <w:rsid w:val="002776DB"/>
    <w:rsid w:val="00277A22"/>
    <w:rsid w:val="002804A7"/>
    <w:rsid w:val="00280642"/>
    <w:rsid w:val="00280A0E"/>
    <w:rsid w:val="00280AA7"/>
    <w:rsid w:val="00280F67"/>
    <w:rsid w:val="00281563"/>
    <w:rsid w:val="002819E2"/>
    <w:rsid w:val="00281B13"/>
    <w:rsid w:val="00281FDE"/>
    <w:rsid w:val="002821E0"/>
    <w:rsid w:val="00282324"/>
    <w:rsid w:val="0028263A"/>
    <w:rsid w:val="002827BA"/>
    <w:rsid w:val="00282C37"/>
    <w:rsid w:val="00284885"/>
    <w:rsid w:val="00284CDD"/>
    <w:rsid w:val="002855C3"/>
    <w:rsid w:val="00285E36"/>
    <w:rsid w:val="00285F80"/>
    <w:rsid w:val="0028672F"/>
    <w:rsid w:val="002876A0"/>
    <w:rsid w:val="00287A7D"/>
    <w:rsid w:val="00287ADF"/>
    <w:rsid w:val="002900F4"/>
    <w:rsid w:val="00292965"/>
    <w:rsid w:val="00293531"/>
    <w:rsid w:val="00295245"/>
    <w:rsid w:val="00295305"/>
    <w:rsid w:val="00295B8A"/>
    <w:rsid w:val="0029606A"/>
    <w:rsid w:val="00296774"/>
    <w:rsid w:val="00297D1B"/>
    <w:rsid w:val="002A0A81"/>
    <w:rsid w:val="002A273B"/>
    <w:rsid w:val="002A2BCE"/>
    <w:rsid w:val="002A2BDA"/>
    <w:rsid w:val="002A5411"/>
    <w:rsid w:val="002A5D2B"/>
    <w:rsid w:val="002A6B2C"/>
    <w:rsid w:val="002A761B"/>
    <w:rsid w:val="002A76CB"/>
    <w:rsid w:val="002B0D90"/>
    <w:rsid w:val="002B0E7D"/>
    <w:rsid w:val="002B1811"/>
    <w:rsid w:val="002B44D5"/>
    <w:rsid w:val="002B4972"/>
    <w:rsid w:val="002B4C15"/>
    <w:rsid w:val="002B5194"/>
    <w:rsid w:val="002B528A"/>
    <w:rsid w:val="002B59D7"/>
    <w:rsid w:val="002B64D9"/>
    <w:rsid w:val="002B65D3"/>
    <w:rsid w:val="002B6917"/>
    <w:rsid w:val="002C072A"/>
    <w:rsid w:val="002C07AA"/>
    <w:rsid w:val="002C0DA5"/>
    <w:rsid w:val="002C1BC7"/>
    <w:rsid w:val="002C34CF"/>
    <w:rsid w:val="002C3BC5"/>
    <w:rsid w:val="002C571B"/>
    <w:rsid w:val="002C5D2D"/>
    <w:rsid w:val="002C6E0D"/>
    <w:rsid w:val="002C75A3"/>
    <w:rsid w:val="002C772B"/>
    <w:rsid w:val="002D065C"/>
    <w:rsid w:val="002D0E2B"/>
    <w:rsid w:val="002D15DB"/>
    <w:rsid w:val="002D263F"/>
    <w:rsid w:val="002D27CD"/>
    <w:rsid w:val="002D2B8F"/>
    <w:rsid w:val="002D2DFD"/>
    <w:rsid w:val="002D42A0"/>
    <w:rsid w:val="002D6100"/>
    <w:rsid w:val="002D63E9"/>
    <w:rsid w:val="002D6F46"/>
    <w:rsid w:val="002D766C"/>
    <w:rsid w:val="002E11C3"/>
    <w:rsid w:val="002E1569"/>
    <w:rsid w:val="002E25DD"/>
    <w:rsid w:val="002E41A9"/>
    <w:rsid w:val="002E4529"/>
    <w:rsid w:val="002E6592"/>
    <w:rsid w:val="002E6DD3"/>
    <w:rsid w:val="002E73DD"/>
    <w:rsid w:val="002E756D"/>
    <w:rsid w:val="002E778B"/>
    <w:rsid w:val="002E7CE9"/>
    <w:rsid w:val="002F0E35"/>
    <w:rsid w:val="002F24AB"/>
    <w:rsid w:val="002F2581"/>
    <w:rsid w:val="002F2864"/>
    <w:rsid w:val="002F313C"/>
    <w:rsid w:val="002F3627"/>
    <w:rsid w:val="002F4892"/>
    <w:rsid w:val="002F4AF4"/>
    <w:rsid w:val="002F4D70"/>
    <w:rsid w:val="002F603F"/>
    <w:rsid w:val="00300618"/>
    <w:rsid w:val="00300D9A"/>
    <w:rsid w:val="00301629"/>
    <w:rsid w:val="00302066"/>
    <w:rsid w:val="00303AA8"/>
    <w:rsid w:val="00303C57"/>
    <w:rsid w:val="00303CBC"/>
    <w:rsid w:val="00304798"/>
    <w:rsid w:val="003049F4"/>
    <w:rsid w:val="00305752"/>
    <w:rsid w:val="003060BC"/>
    <w:rsid w:val="0030766A"/>
    <w:rsid w:val="00307D9D"/>
    <w:rsid w:val="00307E9E"/>
    <w:rsid w:val="00307F12"/>
    <w:rsid w:val="00310035"/>
    <w:rsid w:val="00310D6A"/>
    <w:rsid w:val="00311689"/>
    <w:rsid w:val="00311B51"/>
    <w:rsid w:val="00311C7B"/>
    <w:rsid w:val="00311EFF"/>
    <w:rsid w:val="003135A2"/>
    <w:rsid w:val="0031390C"/>
    <w:rsid w:val="00313A09"/>
    <w:rsid w:val="00313AA8"/>
    <w:rsid w:val="003140E3"/>
    <w:rsid w:val="00314686"/>
    <w:rsid w:val="00314CAA"/>
    <w:rsid w:val="003155E9"/>
    <w:rsid w:val="00317329"/>
    <w:rsid w:val="00320E6A"/>
    <w:rsid w:val="00321CBB"/>
    <w:rsid w:val="00321CE3"/>
    <w:rsid w:val="003235FE"/>
    <w:rsid w:val="003239B8"/>
    <w:rsid w:val="00323AE4"/>
    <w:rsid w:val="00325393"/>
    <w:rsid w:val="00325459"/>
    <w:rsid w:val="003254AC"/>
    <w:rsid w:val="003256CE"/>
    <w:rsid w:val="0032580C"/>
    <w:rsid w:val="003301E7"/>
    <w:rsid w:val="00330736"/>
    <w:rsid w:val="00330D68"/>
    <w:rsid w:val="00331C22"/>
    <w:rsid w:val="00332D98"/>
    <w:rsid w:val="0033376B"/>
    <w:rsid w:val="003357BC"/>
    <w:rsid w:val="0033617B"/>
    <w:rsid w:val="00336AF9"/>
    <w:rsid w:val="00337003"/>
    <w:rsid w:val="0033788F"/>
    <w:rsid w:val="00337BD3"/>
    <w:rsid w:val="003408CB"/>
    <w:rsid w:val="00340BB4"/>
    <w:rsid w:val="00342342"/>
    <w:rsid w:val="003429B2"/>
    <w:rsid w:val="003439C9"/>
    <w:rsid w:val="00345896"/>
    <w:rsid w:val="003466A1"/>
    <w:rsid w:val="0034724A"/>
    <w:rsid w:val="0034729B"/>
    <w:rsid w:val="00347C17"/>
    <w:rsid w:val="003519DD"/>
    <w:rsid w:val="00352A4C"/>
    <w:rsid w:val="0035330B"/>
    <w:rsid w:val="003539B4"/>
    <w:rsid w:val="00353D84"/>
    <w:rsid w:val="003549F0"/>
    <w:rsid w:val="00355FD1"/>
    <w:rsid w:val="00356E82"/>
    <w:rsid w:val="003578B0"/>
    <w:rsid w:val="00361507"/>
    <w:rsid w:val="00362B1D"/>
    <w:rsid w:val="00362FC1"/>
    <w:rsid w:val="00364463"/>
    <w:rsid w:val="003646F4"/>
    <w:rsid w:val="00365696"/>
    <w:rsid w:val="00365A92"/>
    <w:rsid w:val="00365FF6"/>
    <w:rsid w:val="0036607F"/>
    <w:rsid w:val="00370ADB"/>
    <w:rsid w:val="00370BD2"/>
    <w:rsid w:val="00372058"/>
    <w:rsid w:val="00372850"/>
    <w:rsid w:val="0037390C"/>
    <w:rsid w:val="00373AD2"/>
    <w:rsid w:val="00373B2B"/>
    <w:rsid w:val="00374367"/>
    <w:rsid w:val="003748D3"/>
    <w:rsid w:val="0037497C"/>
    <w:rsid w:val="00376CBB"/>
    <w:rsid w:val="00376CDA"/>
    <w:rsid w:val="003772DF"/>
    <w:rsid w:val="0037745F"/>
    <w:rsid w:val="00377AD2"/>
    <w:rsid w:val="00380ACA"/>
    <w:rsid w:val="00380EEC"/>
    <w:rsid w:val="00381E42"/>
    <w:rsid w:val="0038206C"/>
    <w:rsid w:val="0038287E"/>
    <w:rsid w:val="00383A44"/>
    <w:rsid w:val="00383ED1"/>
    <w:rsid w:val="003846A2"/>
    <w:rsid w:val="00385B11"/>
    <w:rsid w:val="00385C5C"/>
    <w:rsid w:val="003865EA"/>
    <w:rsid w:val="003869B6"/>
    <w:rsid w:val="00390D3B"/>
    <w:rsid w:val="00390FB3"/>
    <w:rsid w:val="00391608"/>
    <w:rsid w:val="00391B05"/>
    <w:rsid w:val="003940EE"/>
    <w:rsid w:val="003944BA"/>
    <w:rsid w:val="00394D8A"/>
    <w:rsid w:val="00396012"/>
    <w:rsid w:val="0039624C"/>
    <w:rsid w:val="00397227"/>
    <w:rsid w:val="003976ED"/>
    <w:rsid w:val="00397C11"/>
    <w:rsid w:val="00397D86"/>
    <w:rsid w:val="003A01BA"/>
    <w:rsid w:val="003A11A5"/>
    <w:rsid w:val="003A23AA"/>
    <w:rsid w:val="003A3BF3"/>
    <w:rsid w:val="003A3C01"/>
    <w:rsid w:val="003A3E46"/>
    <w:rsid w:val="003A4B67"/>
    <w:rsid w:val="003A4C1B"/>
    <w:rsid w:val="003A57A0"/>
    <w:rsid w:val="003A7608"/>
    <w:rsid w:val="003B1F80"/>
    <w:rsid w:val="003B27DE"/>
    <w:rsid w:val="003B3AA9"/>
    <w:rsid w:val="003B3E74"/>
    <w:rsid w:val="003B47EF"/>
    <w:rsid w:val="003B585F"/>
    <w:rsid w:val="003B5A42"/>
    <w:rsid w:val="003B6613"/>
    <w:rsid w:val="003B6E32"/>
    <w:rsid w:val="003C1D07"/>
    <w:rsid w:val="003C20BE"/>
    <w:rsid w:val="003C2386"/>
    <w:rsid w:val="003C27E3"/>
    <w:rsid w:val="003C2D77"/>
    <w:rsid w:val="003C2F20"/>
    <w:rsid w:val="003C36DC"/>
    <w:rsid w:val="003C4CC2"/>
    <w:rsid w:val="003C5595"/>
    <w:rsid w:val="003C6DA4"/>
    <w:rsid w:val="003C7379"/>
    <w:rsid w:val="003C7450"/>
    <w:rsid w:val="003C785F"/>
    <w:rsid w:val="003D018F"/>
    <w:rsid w:val="003D0E9D"/>
    <w:rsid w:val="003D1D6F"/>
    <w:rsid w:val="003D2B8A"/>
    <w:rsid w:val="003D2F42"/>
    <w:rsid w:val="003D32F8"/>
    <w:rsid w:val="003D4458"/>
    <w:rsid w:val="003D6A7B"/>
    <w:rsid w:val="003D6EBE"/>
    <w:rsid w:val="003E0223"/>
    <w:rsid w:val="003E0236"/>
    <w:rsid w:val="003E19AD"/>
    <w:rsid w:val="003E2236"/>
    <w:rsid w:val="003E2398"/>
    <w:rsid w:val="003E2C7D"/>
    <w:rsid w:val="003E319A"/>
    <w:rsid w:val="003E33A4"/>
    <w:rsid w:val="003E39A1"/>
    <w:rsid w:val="003E3BCF"/>
    <w:rsid w:val="003E40D7"/>
    <w:rsid w:val="003E47D5"/>
    <w:rsid w:val="003E4C40"/>
    <w:rsid w:val="003E4D5F"/>
    <w:rsid w:val="003E4F54"/>
    <w:rsid w:val="003E5AC0"/>
    <w:rsid w:val="003E613A"/>
    <w:rsid w:val="003E6527"/>
    <w:rsid w:val="003E6C6A"/>
    <w:rsid w:val="003E7CF2"/>
    <w:rsid w:val="003F14F2"/>
    <w:rsid w:val="004014A9"/>
    <w:rsid w:val="004015DC"/>
    <w:rsid w:val="00401A87"/>
    <w:rsid w:val="004021C0"/>
    <w:rsid w:val="00402A6C"/>
    <w:rsid w:val="00402C6F"/>
    <w:rsid w:val="00404973"/>
    <w:rsid w:val="00405681"/>
    <w:rsid w:val="00410C73"/>
    <w:rsid w:val="00411DF3"/>
    <w:rsid w:val="00412F18"/>
    <w:rsid w:val="00414D03"/>
    <w:rsid w:val="00415000"/>
    <w:rsid w:val="0041559C"/>
    <w:rsid w:val="0041728C"/>
    <w:rsid w:val="004172F0"/>
    <w:rsid w:val="00417C6C"/>
    <w:rsid w:val="00417CEB"/>
    <w:rsid w:val="00417E25"/>
    <w:rsid w:val="004214B9"/>
    <w:rsid w:val="004215E1"/>
    <w:rsid w:val="00422698"/>
    <w:rsid w:val="00422E7E"/>
    <w:rsid w:val="00423558"/>
    <w:rsid w:val="00423746"/>
    <w:rsid w:val="0042477A"/>
    <w:rsid w:val="00424811"/>
    <w:rsid w:val="004253D4"/>
    <w:rsid w:val="004271D4"/>
    <w:rsid w:val="00430DEC"/>
    <w:rsid w:val="00431057"/>
    <w:rsid w:val="00431371"/>
    <w:rsid w:val="004339B5"/>
    <w:rsid w:val="00434371"/>
    <w:rsid w:val="00434439"/>
    <w:rsid w:val="004344CD"/>
    <w:rsid w:val="0043509C"/>
    <w:rsid w:val="004364A8"/>
    <w:rsid w:val="004369F6"/>
    <w:rsid w:val="00437129"/>
    <w:rsid w:val="0044038D"/>
    <w:rsid w:val="004410AA"/>
    <w:rsid w:val="004410CB"/>
    <w:rsid w:val="00441334"/>
    <w:rsid w:val="00441921"/>
    <w:rsid w:val="0044490D"/>
    <w:rsid w:val="00446287"/>
    <w:rsid w:val="004466B6"/>
    <w:rsid w:val="00446E9F"/>
    <w:rsid w:val="00447D9B"/>
    <w:rsid w:val="00450934"/>
    <w:rsid w:val="00450C73"/>
    <w:rsid w:val="00451C1C"/>
    <w:rsid w:val="0045383E"/>
    <w:rsid w:val="00455227"/>
    <w:rsid w:val="00455587"/>
    <w:rsid w:val="0045591A"/>
    <w:rsid w:val="004564F3"/>
    <w:rsid w:val="004573A3"/>
    <w:rsid w:val="004606D5"/>
    <w:rsid w:val="0046127C"/>
    <w:rsid w:val="00461BD0"/>
    <w:rsid w:val="00461F5C"/>
    <w:rsid w:val="004628A8"/>
    <w:rsid w:val="00462C15"/>
    <w:rsid w:val="00462DA7"/>
    <w:rsid w:val="00462EE2"/>
    <w:rsid w:val="00463097"/>
    <w:rsid w:val="0046463F"/>
    <w:rsid w:val="00464B87"/>
    <w:rsid w:val="00464BAC"/>
    <w:rsid w:val="00464C4B"/>
    <w:rsid w:val="00464F2A"/>
    <w:rsid w:val="004655B5"/>
    <w:rsid w:val="00465F3C"/>
    <w:rsid w:val="00466403"/>
    <w:rsid w:val="00467564"/>
    <w:rsid w:val="00471660"/>
    <w:rsid w:val="0047205A"/>
    <w:rsid w:val="004726A7"/>
    <w:rsid w:val="004731F0"/>
    <w:rsid w:val="00474881"/>
    <w:rsid w:val="004802E7"/>
    <w:rsid w:val="004822B9"/>
    <w:rsid w:val="00482367"/>
    <w:rsid w:val="00482E82"/>
    <w:rsid w:val="00483CCD"/>
    <w:rsid w:val="00484838"/>
    <w:rsid w:val="00484DD1"/>
    <w:rsid w:val="004850A1"/>
    <w:rsid w:val="00486064"/>
    <w:rsid w:val="00486366"/>
    <w:rsid w:val="00487373"/>
    <w:rsid w:val="00490C4B"/>
    <w:rsid w:val="004914F5"/>
    <w:rsid w:val="004915A0"/>
    <w:rsid w:val="00491614"/>
    <w:rsid w:val="004918C2"/>
    <w:rsid w:val="0049234D"/>
    <w:rsid w:val="00492C4A"/>
    <w:rsid w:val="004949B5"/>
    <w:rsid w:val="004949F8"/>
    <w:rsid w:val="00494E6C"/>
    <w:rsid w:val="004954F0"/>
    <w:rsid w:val="0049575B"/>
    <w:rsid w:val="00495F8C"/>
    <w:rsid w:val="004969C2"/>
    <w:rsid w:val="00496D2A"/>
    <w:rsid w:val="00496F50"/>
    <w:rsid w:val="004971FC"/>
    <w:rsid w:val="004A129C"/>
    <w:rsid w:val="004A20B6"/>
    <w:rsid w:val="004A2615"/>
    <w:rsid w:val="004A26DC"/>
    <w:rsid w:val="004A3F23"/>
    <w:rsid w:val="004A41C4"/>
    <w:rsid w:val="004A4A62"/>
    <w:rsid w:val="004A5196"/>
    <w:rsid w:val="004A6314"/>
    <w:rsid w:val="004A64CE"/>
    <w:rsid w:val="004A7541"/>
    <w:rsid w:val="004A79F1"/>
    <w:rsid w:val="004B088F"/>
    <w:rsid w:val="004B1003"/>
    <w:rsid w:val="004B12C8"/>
    <w:rsid w:val="004B3880"/>
    <w:rsid w:val="004B47A8"/>
    <w:rsid w:val="004B5249"/>
    <w:rsid w:val="004B5E81"/>
    <w:rsid w:val="004B5FCB"/>
    <w:rsid w:val="004B79E0"/>
    <w:rsid w:val="004C11DA"/>
    <w:rsid w:val="004C3828"/>
    <w:rsid w:val="004C3998"/>
    <w:rsid w:val="004C39AB"/>
    <w:rsid w:val="004C3B51"/>
    <w:rsid w:val="004C45B7"/>
    <w:rsid w:val="004C4BF9"/>
    <w:rsid w:val="004C4C96"/>
    <w:rsid w:val="004C57E5"/>
    <w:rsid w:val="004C5B4F"/>
    <w:rsid w:val="004C5ECB"/>
    <w:rsid w:val="004C5F93"/>
    <w:rsid w:val="004C7572"/>
    <w:rsid w:val="004C7A5B"/>
    <w:rsid w:val="004D088C"/>
    <w:rsid w:val="004D09BF"/>
    <w:rsid w:val="004D1273"/>
    <w:rsid w:val="004D150F"/>
    <w:rsid w:val="004D24F6"/>
    <w:rsid w:val="004D25CC"/>
    <w:rsid w:val="004D3837"/>
    <w:rsid w:val="004D3D51"/>
    <w:rsid w:val="004D475B"/>
    <w:rsid w:val="004D4784"/>
    <w:rsid w:val="004D47AA"/>
    <w:rsid w:val="004D547C"/>
    <w:rsid w:val="004D6B87"/>
    <w:rsid w:val="004D6C38"/>
    <w:rsid w:val="004D7162"/>
    <w:rsid w:val="004D74AD"/>
    <w:rsid w:val="004D79A3"/>
    <w:rsid w:val="004E02B1"/>
    <w:rsid w:val="004E084B"/>
    <w:rsid w:val="004E1F53"/>
    <w:rsid w:val="004E2CE2"/>
    <w:rsid w:val="004E2DC3"/>
    <w:rsid w:val="004E32C0"/>
    <w:rsid w:val="004E3D13"/>
    <w:rsid w:val="004E3F20"/>
    <w:rsid w:val="004E434A"/>
    <w:rsid w:val="004E45E4"/>
    <w:rsid w:val="004E4B48"/>
    <w:rsid w:val="004E50AE"/>
    <w:rsid w:val="004E5B69"/>
    <w:rsid w:val="004E5D7E"/>
    <w:rsid w:val="004E645D"/>
    <w:rsid w:val="004E6470"/>
    <w:rsid w:val="004E6862"/>
    <w:rsid w:val="004E7509"/>
    <w:rsid w:val="004E7A99"/>
    <w:rsid w:val="004F0C5C"/>
    <w:rsid w:val="004F0C67"/>
    <w:rsid w:val="004F2B44"/>
    <w:rsid w:val="004F5379"/>
    <w:rsid w:val="004F591E"/>
    <w:rsid w:val="004F59B5"/>
    <w:rsid w:val="004F5C51"/>
    <w:rsid w:val="004F6D88"/>
    <w:rsid w:val="00500A41"/>
    <w:rsid w:val="00501EB9"/>
    <w:rsid w:val="00502969"/>
    <w:rsid w:val="00503900"/>
    <w:rsid w:val="00504793"/>
    <w:rsid w:val="00505691"/>
    <w:rsid w:val="00507C93"/>
    <w:rsid w:val="005101FB"/>
    <w:rsid w:val="00510DEB"/>
    <w:rsid w:val="005111CF"/>
    <w:rsid w:val="005118E6"/>
    <w:rsid w:val="005126EC"/>
    <w:rsid w:val="00513152"/>
    <w:rsid w:val="00513310"/>
    <w:rsid w:val="00513DD4"/>
    <w:rsid w:val="0051455B"/>
    <w:rsid w:val="00514E34"/>
    <w:rsid w:val="00515E3C"/>
    <w:rsid w:val="005171C2"/>
    <w:rsid w:val="00517C52"/>
    <w:rsid w:val="00517DA1"/>
    <w:rsid w:val="00517FE5"/>
    <w:rsid w:val="005214A4"/>
    <w:rsid w:val="0052160C"/>
    <w:rsid w:val="00522B3D"/>
    <w:rsid w:val="00522C0D"/>
    <w:rsid w:val="00524FD3"/>
    <w:rsid w:val="005256E9"/>
    <w:rsid w:val="005259AE"/>
    <w:rsid w:val="00527588"/>
    <w:rsid w:val="005278F9"/>
    <w:rsid w:val="00530780"/>
    <w:rsid w:val="00530C8C"/>
    <w:rsid w:val="0053104D"/>
    <w:rsid w:val="00531279"/>
    <w:rsid w:val="00532766"/>
    <w:rsid w:val="00533A00"/>
    <w:rsid w:val="0053471A"/>
    <w:rsid w:val="005354BA"/>
    <w:rsid w:val="0054002E"/>
    <w:rsid w:val="005400C2"/>
    <w:rsid w:val="00540144"/>
    <w:rsid w:val="00540898"/>
    <w:rsid w:val="00540BB6"/>
    <w:rsid w:val="00540C48"/>
    <w:rsid w:val="005413BC"/>
    <w:rsid w:val="00541C79"/>
    <w:rsid w:val="00543DE8"/>
    <w:rsid w:val="00545286"/>
    <w:rsid w:val="0054539F"/>
    <w:rsid w:val="0054568E"/>
    <w:rsid w:val="005471CD"/>
    <w:rsid w:val="00547B04"/>
    <w:rsid w:val="00547D4C"/>
    <w:rsid w:val="00547DF0"/>
    <w:rsid w:val="00547F9C"/>
    <w:rsid w:val="00550CB7"/>
    <w:rsid w:val="00551C71"/>
    <w:rsid w:val="0055204B"/>
    <w:rsid w:val="00552334"/>
    <w:rsid w:val="0055268E"/>
    <w:rsid w:val="00552C08"/>
    <w:rsid w:val="0055336F"/>
    <w:rsid w:val="00553448"/>
    <w:rsid w:val="00553928"/>
    <w:rsid w:val="00553BC2"/>
    <w:rsid w:val="00554391"/>
    <w:rsid w:val="00554502"/>
    <w:rsid w:val="0055543F"/>
    <w:rsid w:val="00555C8B"/>
    <w:rsid w:val="00556214"/>
    <w:rsid w:val="00556F5B"/>
    <w:rsid w:val="00557F62"/>
    <w:rsid w:val="0056099E"/>
    <w:rsid w:val="00560BA1"/>
    <w:rsid w:val="00560DB8"/>
    <w:rsid w:val="00561492"/>
    <w:rsid w:val="005620B0"/>
    <w:rsid w:val="00562DD6"/>
    <w:rsid w:val="00562F87"/>
    <w:rsid w:val="00565444"/>
    <w:rsid w:val="00566069"/>
    <w:rsid w:val="00566A2C"/>
    <w:rsid w:val="005678B4"/>
    <w:rsid w:val="00567D57"/>
    <w:rsid w:val="0057009A"/>
    <w:rsid w:val="005707A8"/>
    <w:rsid w:val="00570B3E"/>
    <w:rsid w:val="00571071"/>
    <w:rsid w:val="0057183B"/>
    <w:rsid w:val="0057270A"/>
    <w:rsid w:val="00573E67"/>
    <w:rsid w:val="005750F6"/>
    <w:rsid w:val="00575498"/>
    <w:rsid w:val="00575FA8"/>
    <w:rsid w:val="00576996"/>
    <w:rsid w:val="00576D4F"/>
    <w:rsid w:val="00577439"/>
    <w:rsid w:val="0057753D"/>
    <w:rsid w:val="005778F3"/>
    <w:rsid w:val="005802F4"/>
    <w:rsid w:val="005812F6"/>
    <w:rsid w:val="005816D7"/>
    <w:rsid w:val="00581A2E"/>
    <w:rsid w:val="005841E2"/>
    <w:rsid w:val="005845CF"/>
    <w:rsid w:val="00584D08"/>
    <w:rsid w:val="00584D11"/>
    <w:rsid w:val="00586176"/>
    <w:rsid w:val="005866CA"/>
    <w:rsid w:val="00587B89"/>
    <w:rsid w:val="0059034B"/>
    <w:rsid w:val="00590760"/>
    <w:rsid w:val="005920E0"/>
    <w:rsid w:val="00593D29"/>
    <w:rsid w:val="00593F1A"/>
    <w:rsid w:val="00594A82"/>
    <w:rsid w:val="00595290"/>
    <w:rsid w:val="00595713"/>
    <w:rsid w:val="00596980"/>
    <w:rsid w:val="005A075E"/>
    <w:rsid w:val="005A07D9"/>
    <w:rsid w:val="005A17C0"/>
    <w:rsid w:val="005A2403"/>
    <w:rsid w:val="005A444D"/>
    <w:rsid w:val="005A4D92"/>
    <w:rsid w:val="005A51DA"/>
    <w:rsid w:val="005A67DE"/>
    <w:rsid w:val="005A72B4"/>
    <w:rsid w:val="005B32F5"/>
    <w:rsid w:val="005B47E6"/>
    <w:rsid w:val="005B4BFF"/>
    <w:rsid w:val="005B6528"/>
    <w:rsid w:val="005C088C"/>
    <w:rsid w:val="005C1AE6"/>
    <w:rsid w:val="005C1BB6"/>
    <w:rsid w:val="005C1FEC"/>
    <w:rsid w:val="005C2D5A"/>
    <w:rsid w:val="005C3FED"/>
    <w:rsid w:val="005C41F7"/>
    <w:rsid w:val="005C58B3"/>
    <w:rsid w:val="005C5C89"/>
    <w:rsid w:val="005C65EB"/>
    <w:rsid w:val="005C667E"/>
    <w:rsid w:val="005C7035"/>
    <w:rsid w:val="005C75DD"/>
    <w:rsid w:val="005C7B74"/>
    <w:rsid w:val="005D0003"/>
    <w:rsid w:val="005D14C4"/>
    <w:rsid w:val="005D1783"/>
    <w:rsid w:val="005D2A50"/>
    <w:rsid w:val="005D2F5B"/>
    <w:rsid w:val="005D340F"/>
    <w:rsid w:val="005D36E5"/>
    <w:rsid w:val="005D446A"/>
    <w:rsid w:val="005D4788"/>
    <w:rsid w:val="005D4CA9"/>
    <w:rsid w:val="005D4FC3"/>
    <w:rsid w:val="005D5909"/>
    <w:rsid w:val="005D68A3"/>
    <w:rsid w:val="005D6EFE"/>
    <w:rsid w:val="005D736C"/>
    <w:rsid w:val="005D7521"/>
    <w:rsid w:val="005D7B7A"/>
    <w:rsid w:val="005D7E91"/>
    <w:rsid w:val="005E05F8"/>
    <w:rsid w:val="005E166A"/>
    <w:rsid w:val="005E1BC9"/>
    <w:rsid w:val="005E37F3"/>
    <w:rsid w:val="005E4614"/>
    <w:rsid w:val="005E4AEE"/>
    <w:rsid w:val="005E52A9"/>
    <w:rsid w:val="005E66B3"/>
    <w:rsid w:val="005F0947"/>
    <w:rsid w:val="005F1676"/>
    <w:rsid w:val="005F3030"/>
    <w:rsid w:val="005F4574"/>
    <w:rsid w:val="005F45D6"/>
    <w:rsid w:val="005F4CB3"/>
    <w:rsid w:val="005F5186"/>
    <w:rsid w:val="005F5569"/>
    <w:rsid w:val="005F6539"/>
    <w:rsid w:val="005F6C99"/>
    <w:rsid w:val="005F76F8"/>
    <w:rsid w:val="005F7AFF"/>
    <w:rsid w:val="005F7FCB"/>
    <w:rsid w:val="006001C3"/>
    <w:rsid w:val="00600A19"/>
    <w:rsid w:val="00600D5D"/>
    <w:rsid w:val="00602B98"/>
    <w:rsid w:val="00602BC1"/>
    <w:rsid w:val="00602F6F"/>
    <w:rsid w:val="00603F83"/>
    <w:rsid w:val="006040C5"/>
    <w:rsid w:val="006044E7"/>
    <w:rsid w:val="00605011"/>
    <w:rsid w:val="006057FC"/>
    <w:rsid w:val="00605A18"/>
    <w:rsid w:val="006071AF"/>
    <w:rsid w:val="0060727E"/>
    <w:rsid w:val="00611579"/>
    <w:rsid w:val="006128F3"/>
    <w:rsid w:val="006137A9"/>
    <w:rsid w:val="00614219"/>
    <w:rsid w:val="006142AD"/>
    <w:rsid w:val="00614327"/>
    <w:rsid w:val="00615552"/>
    <w:rsid w:val="00615946"/>
    <w:rsid w:val="00615CDA"/>
    <w:rsid w:val="00615DA9"/>
    <w:rsid w:val="00616123"/>
    <w:rsid w:val="0061745E"/>
    <w:rsid w:val="00620323"/>
    <w:rsid w:val="006207A3"/>
    <w:rsid w:val="006215EB"/>
    <w:rsid w:val="00623A22"/>
    <w:rsid w:val="006248F2"/>
    <w:rsid w:val="00624AFB"/>
    <w:rsid w:val="00625F37"/>
    <w:rsid w:val="00626CAA"/>
    <w:rsid w:val="00626FFB"/>
    <w:rsid w:val="00631401"/>
    <w:rsid w:val="0063175C"/>
    <w:rsid w:val="00631961"/>
    <w:rsid w:val="0063212B"/>
    <w:rsid w:val="0063376C"/>
    <w:rsid w:val="00633C00"/>
    <w:rsid w:val="0063425F"/>
    <w:rsid w:val="00634797"/>
    <w:rsid w:val="00634D6E"/>
    <w:rsid w:val="00634EE8"/>
    <w:rsid w:val="00635931"/>
    <w:rsid w:val="00640622"/>
    <w:rsid w:val="00641DDD"/>
    <w:rsid w:val="006429EE"/>
    <w:rsid w:val="00642D29"/>
    <w:rsid w:val="00644390"/>
    <w:rsid w:val="00644A72"/>
    <w:rsid w:val="00644A96"/>
    <w:rsid w:val="006458CA"/>
    <w:rsid w:val="00646C12"/>
    <w:rsid w:val="0064732D"/>
    <w:rsid w:val="00647501"/>
    <w:rsid w:val="00647E6E"/>
    <w:rsid w:val="00650BC3"/>
    <w:rsid w:val="00651787"/>
    <w:rsid w:val="00653260"/>
    <w:rsid w:val="006538F5"/>
    <w:rsid w:val="00653C60"/>
    <w:rsid w:val="0065412D"/>
    <w:rsid w:val="00654B95"/>
    <w:rsid w:val="00654FB4"/>
    <w:rsid w:val="006550F5"/>
    <w:rsid w:val="006568D7"/>
    <w:rsid w:val="00657A4A"/>
    <w:rsid w:val="00660E0A"/>
    <w:rsid w:val="00660F56"/>
    <w:rsid w:val="00663060"/>
    <w:rsid w:val="00663320"/>
    <w:rsid w:val="006633B1"/>
    <w:rsid w:val="00665AF5"/>
    <w:rsid w:val="00667100"/>
    <w:rsid w:val="00667ECF"/>
    <w:rsid w:val="00670E14"/>
    <w:rsid w:val="00671EAE"/>
    <w:rsid w:val="006723C0"/>
    <w:rsid w:val="00674A61"/>
    <w:rsid w:val="00674A86"/>
    <w:rsid w:val="006753BC"/>
    <w:rsid w:val="006758D6"/>
    <w:rsid w:val="0067592D"/>
    <w:rsid w:val="00675998"/>
    <w:rsid w:val="00676AAC"/>
    <w:rsid w:val="00676DC0"/>
    <w:rsid w:val="00677AF5"/>
    <w:rsid w:val="006816D5"/>
    <w:rsid w:val="006817C0"/>
    <w:rsid w:val="00681C4C"/>
    <w:rsid w:val="00682264"/>
    <w:rsid w:val="00682B1D"/>
    <w:rsid w:val="00683929"/>
    <w:rsid w:val="00684519"/>
    <w:rsid w:val="00684F9D"/>
    <w:rsid w:val="0068529E"/>
    <w:rsid w:val="00685CE7"/>
    <w:rsid w:val="00686503"/>
    <w:rsid w:val="00690BA0"/>
    <w:rsid w:val="0069233F"/>
    <w:rsid w:val="0069306F"/>
    <w:rsid w:val="0069327B"/>
    <w:rsid w:val="006934B1"/>
    <w:rsid w:val="0069364A"/>
    <w:rsid w:val="00693E18"/>
    <w:rsid w:val="0069475A"/>
    <w:rsid w:val="00694A39"/>
    <w:rsid w:val="00695F80"/>
    <w:rsid w:val="006979BC"/>
    <w:rsid w:val="00697BC2"/>
    <w:rsid w:val="00697F69"/>
    <w:rsid w:val="006A0710"/>
    <w:rsid w:val="006A10F8"/>
    <w:rsid w:val="006A283B"/>
    <w:rsid w:val="006A2E01"/>
    <w:rsid w:val="006A301B"/>
    <w:rsid w:val="006A3DAB"/>
    <w:rsid w:val="006A429B"/>
    <w:rsid w:val="006A51EF"/>
    <w:rsid w:val="006A542B"/>
    <w:rsid w:val="006A603C"/>
    <w:rsid w:val="006A62EE"/>
    <w:rsid w:val="006B0894"/>
    <w:rsid w:val="006B1068"/>
    <w:rsid w:val="006B14C9"/>
    <w:rsid w:val="006B29FA"/>
    <w:rsid w:val="006B2DDB"/>
    <w:rsid w:val="006B32BB"/>
    <w:rsid w:val="006B3531"/>
    <w:rsid w:val="006B6F37"/>
    <w:rsid w:val="006B702F"/>
    <w:rsid w:val="006C0110"/>
    <w:rsid w:val="006C17B2"/>
    <w:rsid w:val="006C1DE3"/>
    <w:rsid w:val="006C2336"/>
    <w:rsid w:val="006C2F90"/>
    <w:rsid w:val="006C4480"/>
    <w:rsid w:val="006C4A06"/>
    <w:rsid w:val="006C4E94"/>
    <w:rsid w:val="006C6445"/>
    <w:rsid w:val="006C6495"/>
    <w:rsid w:val="006C710B"/>
    <w:rsid w:val="006C74F5"/>
    <w:rsid w:val="006D007D"/>
    <w:rsid w:val="006D1F58"/>
    <w:rsid w:val="006D252D"/>
    <w:rsid w:val="006D27B2"/>
    <w:rsid w:val="006D2FA4"/>
    <w:rsid w:val="006D333F"/>
    <w:rsid w:val="006D35F1"/>
    <w:rsid w:val="006D41F7"/>
    <w:rsid w:val="006D4BE9"/>
    <w:rsid w:val="006D4BFA"/>
    <w:rsid w:val="006D4F0F"/>
    <w:rsid w:val="006D5120"/>
    <w:rsid w:val="006D688A"/>
    <w:rsid w:val="006D6D48"/>
    <w:rsid w:val="006D6FD7"/>
    <w:rsid w:val="006D7912"/>
    <w:rsid w:val="006E1C05"/>
    <w:rsid w:val="006E26C3"/>
    <w:rsid w:val="006E546A"/>
    <w:rsid w:val="006E6789"/>
    <w:rsid w:val="006E6A82"/>
    <w:rsid w:val="006E7392"/>
    <w:rsid w:val="006F1843"/>
    <w:rsid w:val="006F34DE"/>
    <w:rsid w:val="006F3ADC"/>
    <w:rsid w:val="006F61FE"/>
    <w:rsid w:val="006F636E"/>
    <w:rsid w:val="006F6F18"/>
    <w:rsid w:val="006F71B6"/>
    <w:rsid w:val="00700B0E"/>
    <w:rsid w:val="00701B17"/>
    <w:rsid w:val="007023A8"/>
    <w:rsid w:val="00702E6A"/>
    <w:rsid w:val="007037D3"/>
    <w:rsid w:val="0070404F"/>
    <w:rsid w:val="00704DD2"/>
    <w:rsid w:val="007051F5"/>
    <w:rsid w:val="00705F16"/>
    <w:rsid w:val="00706DBB"/>
    <w:rsid w:val="00710427"/>
    <w:rsid w:val="0071066A"/>
    <w:rsid w:val="00710B14"/>
    <w:rsid w:val="00710B56"/>
    <w:rsid w:val="00710D64"/>
    <w:rsid w:val="007110BB"/>
    <w:rsid w:val="00711B88"/>
    <w:rsid w:val="007126B9"/>
    <w:rsid w:val="00713CA6"/>
    <w:rsid w:val="00714C1B"/>
    <w:rsid w:val="00715346"/>
    <w:rsid w:val="00715B16"/>
    <w:rsid w:val="00716DCE"/>
    <w:rsid w:val="00716F84"/>
    <w:rsid w:val="00717168"/>
    <w:rsid w:val="0072098D"/>
    <w:rsid w:val="00720A1B"/>
    <w:rsid w:val="00720B19"/>
    <w:rsid w:val="0072389F"/>
    <w:rsid w:val="0072598B"/>
    <w:rsid w:val="00726621"/>
    <w:rsid w:val="00730501"/>
    <w:rsid w:val="007305D6"/>
    <w:rsid w:val="00730BD4"/>
    <w:rsid w:val="00730D6F"/>
    <w:rsid w:val="00731344"/>
    <w:rsid w:val="00731D0C"/>
    <w:rsid w:val="0073213A"/>
    <w:rsid w:val="0073471B"/>
    <w:rsid w:val="00734C19"/>
    <w:rsid w:val="00734C1C"/>
    <w:rsid w:val="0073525A"/>
    <w:rsid w:val="00735806"/>
    <w:rsid w:val="00735B14"/>
    <w:rsid w:val="00735D52"/>
    <w:rsid w:val="00740079"/>
    <w:rsid w:val="00740130"/>
    <w:rsid w:val="00740C75"/>
    <w:rsid w:val="0074145B"/>
    <w:rsid w:val="007427EC"/>
    <w:rsid w:val="007429F2"/>
    <w:rsid w:val="00742C25"/>
    <w:rsid w:val="00742CBC"/>
    <w:rsid w:val="00744859"/>
    <w:rsid w:val="00744BB2"/>
    <w:rsid w:val="007456D6"/>
    <w:rsid w:val="0074722A"/>
    <w:rsid w:val="00751125"/>
    <w:rsid w:val="00751A88"/>
    <w:rsid w:val="007525FF"/>
    <w:rsid w:val="0075270A"/>
    <w:rsid w:val="007529D5"/>
    <w:rsid w:val="007539AD"/>
    <w:rsid w:val="00753CF2"/>
    <w:rsid w:val="007547C0"/>
    <w:rsid w:val="00754CFB"/>
    <w:rsid w:val="007552CD"/>
    <w:rsid w:val="007556AB"/>
    <w:rsid w:val="007564C6"/>
    <w:rsid w:val="00757E11"/>
    <w:rsid w:val="00760011"/>
    <w:rsid w:val="00760E00"/>
    <w:rsid w:val="00761675"/>
    <w:rsid w:val="00764B54"/>
    <w:rsid w:val="00764BC8"/>
    <w:rsid w:val="00764FC7"/>
    <w:rsid w:val="00765571"/>
    <w:rsid w:val="00767009"/>
    <w:rsid w:val="007672F3"/>
    <w:rsid w:val="00767A64"/>
    <w:rsid w:val="00770E1E"/>
    <w:rsid w:val="0077152A"/>
    <w:rsid w:val="007728D4"/>
    <w:rsid w:val="0077349A"/>
    <w:rsid w:val="0077367D"/>
    <w:rsid w:val="00773B9C"/>
    <w:rsid w:val="0077402E"/>
    <w:rsid w:val="00775C20"/>
    <w:rsid w:val="00775ECB"/>
    <w:rsid w:val="00776A45"/>
    <w:rsid w:val="00776A48"/>
    <w:rsid w:val="007773AA"/>
    <w:rsid w:val="00777982"/>
    <w:rsid w:val="007807D4"/>
    <w:rsid w:val="00780EEE"/>
    <w:rsid w:val="0078173A"/>
    <w:rsid w:val="00781C79"/>
    <w:rsid w:val="007829D2"/>
    <w:rsid w:val="00783D67"/>
    <w:rsid w:val="007843FB"/>
    <w:rsid w:val="00784FBA"/>
    <w:rsid w:val="00785CCE"/>
    <w:rsid w:val="00785F37"/>
    <w:rsid w:val="00790555"/>
    <w:rsid w:val="00792545"/>
    <w:rsid w:val="00792FD1"/>
    <w:rsid w:val="007940A1"/>
    <w:rsid w:val="00794F51"/>
    <w:rsid w:val="007951D9"/>
    <w:rsid w:val="0079584E"/>
    <w:rsid w:val="0079596B"/>
    <w:rsid w:val="007966FB"/>
    <w:rsid w:val="007A0E52"/>
    <w:rsid w:val="007A1637"/>
    <w:rsid w:val="007A1C97"/>
    <w:rsid w:val="007A287C"/>
    <w:rsid w:val="007A3C0E"/>
    <w:rsid w:val="007A44E3"/>
    <w:rsid w:val="007A59C9"/>
    <w:rsid w:val="007B014D"/>
    <w:rsid w:val="007B1725"/>
    <w:rsid w:val="007B1A9F"/>
    <w:rsid w:val="007B25D8"/>
    <w:rsid w:val="007B2F10"/>
    <w:rsid w:val="007B3A2A"/>
    <w:rsid w:val="007B4615"/>
    <w:rsid w:val="007B5EA5"/>
    <w:rsid w:val="007C0652"/>
    <w:rsid w:val="007C150F"/>
    <w:rsid w:val="007C17DC"/>
    <w:rsid w:val="007C2448"/>
    <w:rsid w:val="007C309B"/>
    <w:rsid w:val="007C375F"/>
    <w:rsid w:val="007C3C51"/>
    <w:rsid w:val="007C3E82"/>
    <w:rsid w:val="007C4144"/>
    <w:rsid w:val="007C5C91"/>
    <w:rsid w:val="007C5F29"/>
    <w:rsid w:val="007C6535"/>
    <w:rsid w:val="007C659B"/>
    <w:rsid w:val="007C68CE"/>
    <w:rsid w:val="007C6D2B"/>
    <w:rsid w:val="007C6E49"/>
    <w:rsid w:val="007C7075"/>
    <w:rsid w:val="007C7EE2"/>
    <w:rsid w:val="007D03CE"/>
    <w:rsid w:val="007D10CE"/>
    <w:rsid w:val="007D3630"/>
    <w:rsid w:val="007D3821"/>
    <w:rsid w:val="007D3C8E"/>
    <w:rsid w:val="007D426F"/>
    <w:rsid w:val="007D4940"/>
    <w:rsid w:val="007D50DF"/>
    <w:rsid w:val="007D56F8"/>
    <w:rsid w:val="007D5978"/>
    <w:rsid w:val="007D5A71"/>
    <w:rsid w:val="007D5E88"/>
    <w:rsid w:val="007D6908"/>
    <w:rsid w:val="007D74C7"/>
    <w:rsid w:val="007D763B"/>
    <w:rsid w:val="007E1141"/>
    <w:rsid w:val="007E117B"/>
    <w:rsid w:val="007E2098"/>
    <w:rsid w:val="007E2EB0"/>
    <w:rsid w:val="007E4250"/>
    <w:rsid w:val="007E45EF"/>
    <w:rsid w:val="007E4D86"/>
    <w:rsid w:val="007E6290"/>
    <w:rsid w:val="007E7DCA"/>
    <w:rsid w:val="007F0987"/>
    <w:rsid w:val="007F1122"/>
    <w:rsid w:val="007F14BF"/>
    <w:rsid w:val="007F1F66"/>
    <w:rsid w:val="007F2B81"/>
    <w:rsid w:val="007F3B3B"/>
    <w:rsid w:val="007F3C63"/>
    <w:rsid w:val="007F47AA"/>
    <w:rsid w:val="007F5765"/>
    <w:rsid w:val="007F5F98"/>
    <w:rsid w:val="007F7E3C"/>
    <w:rsid w:val="0080067C"/>
    <w:rsid w:val="00800D59"/>
    <w:rsid w:val="00801363"/>
    <w:rsid w:val="00802FD8"/>
    <w:rsid w:val="008041B7"/>
    <w:rsid w:val="00804831"/>
    <w:rsid w:val="00805356"/>
    <w:rsid w:val="00805589"/>
    <w:rsid w:val="008057F5"/>
    <w:rsid w:val="00805A1D"/>
    <w:rsid w:val="00806E01"/>
    <w:rsid w:val="00806FD6"/>
    <w:rsid w:val="008119D5"/>
    <w:rsid w:val="00812421"/>
    <w:rsid w:val="00812FBA"/>
    <w:rsid w:val="00813B5D"/>
    <w:rsid w:val="00814470"/>
    <w:rsid w:val="00814B3B"/>
    <w:rsid w:val="0081510A"/>
    <w:rsid w:val="00815273"/>
    <w:rsid w:val="00815865"/>
    <w:rsid w:val="00816F30"/>
    <w:rsid w:val="00817254"/>
    <w:rsid w:val="00817F47"/>
    <w:rsid w:val="00820D94"/>
    <w:rsid w:val="00821B9C"/>
    <w:rsid w:val="00821BA8"/>
    <w:rsid w:val="00821DDD"/>
    <w:rsid w:val="008222CD"/>
    <w:rsid w:val="00822A82"/>
    <w:rsid w:val="0082301F"/>
    <w:rsid w:val="008233C7"/>
    <w:rsid w:val="008234E5"/>
    <w:rsid w:val="0082414E"/>
    <w:rsid w:val="0082492F"/>
    <w:rsid w:val="00824A8E"/>
    <w:rsid w:val="008252E6"/>
    <w:rsid w:val="008255C5"/>
    <w:rsid w:val="008278F8"/>
    <w:rsid w:val="008279DA"/>
    <w:rsid w:val="00827A02"/>
    <w:rsid w:val="00827A4F"/>
    <w:rsid w:val="00827E52"/>
    <w:rsid w:val="00832319"/>
    <w:rsid w:val="0083324B"/>
    <w:rsid w:val="00834A7B"/>
    <w:rsid w:val="00834ED4"/>
    <w:rsid w:val="008363B0"/>
    <w:rsid w:val="00836CB8"/>
    <w:rsid w:val="00836FE3"/>
    <w:rsid w:val="008379EE"/>
    <w:rsid w:val="00840BB8"/>
    <w:rsid w:val="00841DCD"/>
    <w:rsid w:val="00841F3B"/>
    <w:rsid w:val="0084257B"/>
    <w:rsid w:val="008431E6"/>
    <w:rsid w:val="00843BB1"/>
    <w:rsid w:val="00844FFD"/>
    <w:rsid w:val="00846108"/>
    <w:rsid w:val="00847083"/>
    <w:rsid w:val="008500FA"/>
    <w:rsid w:val="0085090F"/>
    <w:rsid w:val="00851244"/>
    <w:rsid w:val="00851311"/>
    <w:rsid w:val="00851357"/>
    <w:rsid w:val="00854BFD"/>
    <w:rsid w:val="00854C59"/>
    <w:rsid w:val="00855111"/>
    <w:rsid w:val="0085622E"/>
    <w:rsid w:val="00856E9D"/>
    <w:rsid w:val="00857F31"/>
    <w:rsid w:val="0086007D"/>
    <w:rsid w:val="00860A01"/>
    <w:rsid w:val="00861657"/>
    <w:rsid w:val="008619EB"/>
    <w:rsid w:val="00861A96"/>
    <w:rsid w:val="008628F4"/>
    <w:rsid w:val="008629CC"/>
    <w:rsid w:val="0086378F"/>
    <w:rsid w:val="00864602"/>
    <w:rsid w:val="0086553B"/>
    <w:rsid w:val="008657D8"/>
    <w:rsid w:val="0086580D"/>
    <w:rsid w:val="00866152"/>
    <w:rsid w:val="0086617A"/>
    <w:rsid w:val="00867484"/>
    <w:rsid w:val="0086780F"/>
    <w:rsid w:val="00867FCB"/>
    <w:rsid w:val="008719F7"/>
    <w:rsid w:val="00871B88"/>
    <w:rsid w:val="00872663"/>
    <w:rsid w:val="008726EC"/>
    <w:rsid w:val="0087309D"/>
    <w:rsid w:val="00873132"/>
    <w:rsid w:val="00874875"/>
    <w:rsid w:val="00875E4B"/>
    <w:rsid w:val="00876306"/>
    <w:rsid w:val="008770A0"/>
    <w:rsid w:val="008777F4"/>
    <w:rsid w:val="00880151"/>
    <w:rsid w:val="00880CB4"/>
    <w:rsid w:val="00881032"/>
    <w:rsid w:val="008838E5"/>
    <w:rsid w:val="00884C17"/>
    <w:rsid w:val="00886682"/>
    <w:rsid w:val="00886D38"/>
    <w:rsid w:val="00887076"/>
    <w:rsid w:val="00891BE2"/>
    <w:rsid w:val="00893D16"/>
    <w:rsid w:val="00893E34"/>
    <w:rsid w:val="00893E5A"/>
    <w:rsid w:val="00894121"/>
    <w:rsid w:val="008A02E8"/>
    <w:rsid w:val="008A112B"/>
    <w:rsid w:val="008A1D87"/>
    <w:rsid w:val="008A21B4"/>
    <w:rsid w:val="008A2784"/>
    <w:rsid w:val="008A2D03"/>
    <w:rsid w:val="008A3E33"/>
    <w:rsid w:val="008A4245"/>
    <w:rsid w:val="008A4739"/>
    <w:rsid w:val="008A658F"/>
    <w:rsid w:val="008A6B3B"/>
    <w:rsid w:val="008A70F5"/>
    <w:rsid w:val="008A732C"/>
    <w:rsid w:val="008A79A2"/>
    <w:rsid w:val="008A7AD1"/>
    <w:rsid w:val="008B2084"/>
    <w:rsid w:val="008B45DC"/>
    <w:rsid w:val="008B4CB1"/>
    <w:rsid w:val="008B4F82"/>
    <w:rsid w:val="008B6417"/>
    <w:rsid w:val="008B76AC"/>
    <w:rsid w:val="008B76BB"/>
    <w:rsid w:val="008C0127"/>
    <w:rsid w:val="008C05C2"/>
    <w:rsid w:val="008C0B68"/>
    <w:rsid w:val="008C1D0B"/>
    <w:rsid w:val="008C2048"/>
    <w:rsid w:val="008C2AB5"/>
    <w:rsid w:val="008C2F03"/>
    <w:rsid w:val="008C4A7F"/>
    <w:rsid w:val="008C4CBD"/>
    <w:rsid w:val="008C52BD"/>
    <w:rsid w:val="008C588E"/>
    <w:rsid w:val="008C652B"/>
    <w:rsid w:val="008C69E1"/>
    <w:rsid w:val="008C6BE4"/>
    <w:rsid w:val="008C6C1C"/>
    <w:rsid w:val="008C71DA"/>
    <w:rsid w:val="008C7CBD"/>
    <w:rsid w:val="008D00B1"/>
    <w:rsid w:val="008D0BBA"/>
    <w:rsid w:val="008D1F20"/>
    <w:rsid w:val="008D24EB"/>
    <w:rsid w:val="008D2AD1"/>
    <w:rsid w:val="008D2FD7"/>
    <w:rsid w:val="008D310C"/>
    <w:rsid w:val="008D64B1"/>
    <w:rsid w:val="008D6FC3"/>
    <w:rsid w:val="008E056B"/>
    <w:rsid w:val="008E0D24"/>
    <w:rsid w:val="008E1494"/>
    <w:rsid w:val="008E18D0"/>
    <w:rsid w:val="008E1C49"/>
    <w:rsid w:val="008E2B0C"/>
    <w:rsid w:val="008E38D4"/>
    <w:rsid w:val="008E3C06"/>
    <w:rsid w:val="008F0921"/>
    <w:rsid w:val="008F0F1A"/>
    <w:rsid w:val="008F185F"/>
    <w:rsid w:val="008F1F89"/>
    <w:rsid w:val="008F338F"/>
    <w:rsid w:val="008F3409"/>
    <w:rsid w:val="008F3B82"/>
    <w:rsid w:val="008F4E1B"/>
    <w:rsid w:val="008F6E08"/>
    <w:rsid w:val="008F6E7C"/>
    <w:rsid w:val="008F6F2E"/>
    <w:rsid w:val="008F71C5"/>
    <w:rsid w:val="008F7EC3"/>
    <w:rsid w:val="009000EC"/>
    <w:rsid w:val="00900331"/>
    <w:rsid w:val="00900E58"/>
    <w:rsid w:val="009012F5"/>
    <w:rsid w:val="00901D4A"/>
    <w:rsid w:val="00903109"/>
    <w:rsid w:val="00904CCD"/>
    <w:rsid w:val="00904F79"/>
    <w:rsid w:val="00906383"/>
    <w:rsid w:val="009063C6"/>
    <w:rsid w:val="0091019C"/>
    <w:rsid w:val="00911928"/>
    <w:rsid w:val="00912F15"/>
    <w:rsid w:val="00913BA5"/>
    <w:rsid w:val="00913F4C"/>
    <w:rsid w:val="009141FC"/>
    <w:rsid w:val="00915246"/>
    <w:rsid w:val="0091584B"/>
    <w:rsid w:val="009178C5"/>
    <w:rsid w:val="00917BB8"/>
    <w:rsid w:val="00920050"/>
    <w:rsid w:val="00920127"/>
    <w:rsid w:val="00920939"/>
    <w:rsid w:val="00920C06"/>
    <w:rsid w:val="009217C7"/>
    <w:rsid w:val="00921FD2"/>
    <w:rsid w:val="00922199"/>
    <w:rsid w:val="00922F63"/>
    <w:rsid w:val="00922F9A"/>
    <w:rsid w:val="00924257"/>
    <w:rsid w:val="00924B8A"/>
    <w:rsid w:val="00924ED5"/>
    <w:rsid w:val="00925E60"/>
    <w:rsid w:val="00926D4B"/>
    <w:rsid w:val="00931778"/>
    <w:rsid w:val="00931873"/>
    <w:rsid w:val="00931B04"/>
    <w:rsid w:val="00932073"/>
    <w:rsid w:val="0093266C"/>
    <w:rsid w:val="00932DC0"/>
    <w:rsid w:val="009333CA"/>
    <w:rsid w:val="00934816"/>
    <w:rsid w:val="00934821"/>
    <w:rsid w:val="00934ECE"/>
    <w:rsid w:val="00936F36"/>
    <w:rsid w:val="00937558"/>
    <w:rsid w:val="00937B74"/>
    <w:rsid w:val="009418EB"/>
    <w:rsid w:val="00942661"/>
    <w:rsid w:val="009426CC"/>
    <w:rsid w:val="00942741"/>
    <w:rsid w:val="00942E2F"/>
    <w:rsid w:val="009436AD"/>
    <w:rsid w:val="009436CC"/>
    <w:rsid w:val="009449E2"/>
    <w:rsid w:val="00944C93"/>
    <w:rsid w:val="00946E78"/>
    <w:rsid w:val="00950002"/>
    <w:rsid w:val="00950B16"/>
    <w:rsid w:val="00950BAF"/>
    <w:rsid w:val="00950F24"/>
    <w:rsid w:val="00952E38"/>
    <w:rsid w:val="00953805"/>
    <w:rsid w:val="0095591C"/>
    <w:rsid w:val="00957F9F"/>
    <w:rsid w:val="009629DF"/>
    <w:rsid w:val="00962BE5"/>
    <w:rsid w:val="00964902"/>
    <w:rsid w:val="00964960"/>
    <w:rsid w:val="009675EA"/>
    <w:rsid w:val="009678A1"/>
    <w:rsid w:val="009679E4"/>
    <w:rsid w:val="009679F6"/>
    <w:rsid w:val="00967D28"/>
    <w:rsid w:val="00970119"/>
    <w:rsid w:val="009707CB"/>
    <w:rsid w:val="00971656"/>
    <w:rsid w:val="0097165E"/>
    <w:rsid w:val="00971C92"/>
    <w:rsid w:val="00971CDD"/>
    <w:rsid w:val="009720A7"/>
    <w:rsid w:val="00973DA5"/>
    <w:rsid w:val="009773AF"/>
    <w:rsid w:val="009775BD"/>
    <w:rsid w:val="00977651"/>
    <w:rsid w:val="00980768"/>
    <w:rsid w:val="00981793"/>
    <w:rsid w:val="00983306"/>
    <w:rsid w:val="00983CBA"/>
    <w:rsid w:val="00983E07"/>
    <w:rsid w:val="0098499B"/>
    <w:rsid w:val="00986011"/>
    <w:rsid w:val="00986500"/>
    <w:rsid w:val="00986AD7"/>
    <w:rsid w:val="00987502"/>
    <w:rsid w:val="00990748"/>
    <w:rsid w:val="00991791"/>
    <w:rsid w:val="00991C23"/>
    <w:rsid w:val="00992B1F"/>
    <w:rsid w:val="00992C5F"/>
    <w:rsid w:val="00993E02"/>
    <w:rsid w:val="00993EAA"/>
    <w:rsid w:val="00996E9F"/>
    <w:rsid w:val="00996FDD"/>
    <w:rsid w:val="00997047"/>
    <w:rsid w:val="00997C7D"/>
    <w:rsid w:val="00997D45"/>
    <w:rsid w:val="009A0B6A"/>
    <w:rsid w:val="009A0BAB"/>
    <w:rsid w:val="009A0ED2"/>
    <w:rsid w:val="009A12DF"/>
    <w:rsid w:val="009A18A2"/>
    <w:rsid w:val="009A1C17"/>
    <w:rsid w:val="009A29A9"/>
    <w:rsid w:val="009A3364"/>
    <w:rsid w:val="009A38A5"/>
    <w:rsid w:val="009A40F8"/>
    <w:rsid w:val="009A49AF"/>
    <w:rsid w:val="009A4F78"/>
    <w:rsid w:val="009A5978"/>
    <w:rsid w:val="009A6CBD"/>
    <w:rsid w:val="009A7188"/>
    <w:rsid w:val="009A721C"/>
    <w:rsid w:val="009B1336"/>
    <w:rsid w:val="009B1520"/>
    <w:rsid w:val="009B18ED"/>
    <w:rsid w:val="009B1CC0"/>
    <w:rsid w:val="009B3546"/>
    <w:rsid w:val="009B477A"/>
    <w:rsid w:val="009B4D41"/>
    <w:rsid w:val="009B4D4E"/>
    <w:rsid w:val="009B5DE8"/>
    <w:rsid w:val="009B77C5"/>
    <w:rsid w:val="009B7DD3"/>
    <w:rsid w:val="009B7FB9"/>
    <w:rsid w:val="009C0486"/>
    <w:rsid w:val="009C1FB8"/>
    <w:rsid w:val="009C347E"/>
    <w:rsid w:val="009C3BAF"/>
    <w:rsid w:val="009C454D"/>
    <w:rsid w:val="009C5460"/>
    <w:rsid w:val="009C5DBC"/>
    <w:rsid w:val="009C69FF"/>
    <w:rsid w:val="009C6E53"/>
    <w:rsid w:val="009C6EC5"/>
    <w:rsid w:val="009C78A0"/>
    <w:rsid w:val="009C7CEA"/>
    <w:rsid w:val="009D0B44"/>
    <w:rsid w:val="009D0C6E"/>
    <w:rsid w:val="009D3311"/>
    <w:rsid w:val="009D3A8A"/>
    <w:rsid w:val="009D6FA2"/>
    <w:rsid w:val="009D7637"/>
    <w:rsid w:val="009E0299"/>
    <w:rsid w:val="009E052D"/>
    <w:rsid w:val="009E24EA"/>
    <w:rsid w:val="009E2C6F"/>
    <w:rsid w:val="009E2FD3"/>
    <w:rsid w:val="009E32F0"/>
    <w:rsid w:val="009E372A"/>
    <w:rsid w:val="009E5795"/>
    <w:rsid w:val="009E5FD1"/>
    <w:rsid w:val="009E63D0"/>
    <w:rsid w:val="009E6C26"/>
    <w:rsid w:val="009E6D42"/>
    <w:rsid w:val="009E7F92"/>
    <w:rsid w:val="009F272B"/>
    <w:rsid w:val="009F2761"/>
    <w:rsid w:val="009F3B4C"/>
    <w:rsid w:val="009F3CFD"/>
    <w:rsid w:val="009F61FE"/>
    <w:rsid w:val="009F6417"/>
    <w:rsid w:val="009F6449"/>
    <w:rsid w:val="009F6823"/>
    <w:rsid w:val="00A008F3"/>
    <w:rsid w:val="00A00B3B"/>
    <w:rsid w:val="00A00D91"/>
    <w:rsid w:val="00A04237"/>
    <w:rsid w:val="00A050E7"/>
    <w:rsid w:val="00A05544"/>
    <w:rsid w:val="00A05BFD"/>
    <w:rsid w:val="00A06009"/>
    <w:rsid w:val="00A066FD"/>
    <w:rsid w:val="00A1016F"/>
    <w:rsid w:val="00A1024D"/>
    <w:rsid w:val="00A10F9C"/>
    <w:rsid w:val="00A1108E"/>
    <w:rsid w:val="00A1113D"/>
    <w:rsid w:val="00A1354F"/>
    <w:rsid w:val="00A1451B"/>
    <w:rsid w:val="00A14802"/>
    <w:rsid w:val="00A1484C"/>
    <w:rsid w:val="00A14E36"/>
    <w:rsid w:val="00A15407"/>
    <w:rsid w:val="00A15A65"/>
    <w:rsid w:val="00A15DE2"/>
    <w:rsid w:val="00A162FD"/>
    <w:rsid w:val="00A173EC"/>
    <w:rsid w:val="00A17CC1"/>
    <w:rsid w:val="00A17D03"/>
    <w:rsid w:val="00A22738"/>
    <w:rsid w:val="00A2291A"/>
    <w:rsid w:val="00A23B54"/>
    <w:rsid w:val="00A24EEB"/>
    <w:rsid w:val="00A256A0"/>
    <w:rsid w:val="00A259C7"/>
    <w:rsid w:val="00A25D4E"/>
    <w:rsid w:val="00A26A48"/>
    <w:rsid w:val="00A2731B"/>
    <w:rsid w:val="00A27DC4"/>
    <w:rsid w:val="00A30808"/>
    <w:rsid w:val="00A31471"/>
    <w:rsid w:val="00A32051"/>
    <w:rsid w:val="00A3257C"/>
    <w:rsid w:val="00A328ED"/>
    <w:rsid w:val="00A32CAF"/>
    <w:rsid w:val="00A336E9"/>
    <w:rsid w:val="00A341AF"/>
    <w:rsid w:val="00A34A03"/>
    <w:rsid w:val="00A379B9"/>
    <w:rsid w:val="00A414D6"/>
    <w:rsid w:val="00A42109"/>
    <w:rsid w:val="00A4222C"/>
    <w:rsid w:val="00A423D6"/>
    <w:rsid w:val="00A425F9"/>
    <w:rsid w:val="00A42BAC"/>
    <w:rsid w:val="00A42CD3"/>
    <w:rsid w:val="00A433DB"/>
    <w:rsid w:val="00A439E1"/>
    <w:rsid w:val="00A453EB"/>
    <w:rsid w:val="00A4654C"/>
    <w:rsid w:val="00A465F9"/>
    <w:rsid w:val="00A46D07"/>
    <w:rsid w:val="00A50D6D"/>
    <w:rsid w:val="00A51749"/>
    <w:rsid w:val="00A51EAA"/>
    <w:rsid w:val="00A5232D"/>
    <w:rsid w:val="00A53DBD"/>
    <w:rsid w:val="00A5439E"/>
    <w:rsid w:val="00A54720"/>
    <w:rsid w:val="00A54CC6"/>
    <w:rsid w:val="00A54EB4"/>
    <w:rsid w:val="00A550FD"/>
    <w:rsid w:val="00A55E48"/>
    <w:rsid w:val="00A560D0"/>
    <w:rsid w:val="00A56B1F"/>
    <w:rsid w:val="00A56E87"/>
    <w:rsid w:val="00A61008"/>
    <w:rsid w:val="00A623E5"/>
    <w:rsid w:val="00A62881"/>
    <w:rsid w:val="00A63898"/>
    <w:rsid w:val="00A65992"/>
    <w:rsid w:val="00A67431"/>
    <w:rsid w:val="00A72230"/>
    <w:rsid w:val="00A725D0"/>
    <w:rsid w:val="00A72FEE"/>
    <w:rsid w:val="00A73350"/>
    <w:rsid w:val="00A734F4"/>
    <w:rsid w:val="00A73946"/>
    <w:rsid w:val="00A74171"/>
    <w:rsid w:val="00A74FB6"/>
    <w:rsid w:val="00A75F09"/>
    <w:rsid w:val="00A765B8"/>
    <w:rsid w:val="00A76FB6"/>
    <w:rsid w:val="00A773A7"/>
    <w:rsid w:val="00A81BC0"/>
    <w:rsid w:val="00A82684"/>
    <w:rsid w:val="00A83C7A"/>
    <w:rsid w:val="00A83DAA"/>
    <w:rsid w:val="00A8473E"/>
    <w:rsid w:val="00A85B1D"/>
    <w:rsid w:val="00A87341"/>
    <w:rsid w:val="00A90816"/>
    <w:rsid w:val="00A90EA8"/>
    <w:rsid w:val="00A9129F"/>
    <w:rsid w:val="00A9183F"/>
    <w:rsid w:val="00A9252C"/>
    <w:rsid w:val="00A930BD"/>
    <w:rsid w:val="00A937C5"/>
    <w:rsid w:val="00A93DF2"/>
    <w:rsid w:val="00A93E13"/>
    <w:rsid w:val="00A945E4"/>
    <w:rsid w:val="00A950A0"/>
    <w:rsid w:val="00A9576B"/>
    <w:rsid w:val="00A959D2"/>
    <w:rsid w:val="00A9648F"/>
    <w:rsid w:val="00A96C4A"/>
    <w:rsid w:val="00A97522"/>
    <w:rsid w:val="00A97A90"/>
    <w:rsid w:val="00A97DA5"/>
    <w:rsid w:val="00AA023A"/>
    <w:rsid w:val="00AA05EB"/>
    <w:rsid w:val="00AA0D63"/>
    <w:rsid w:val="00AA1140"/>
    <w:rsid w:val="00AA1340"/>
    <w:rsid w:val="00AA143C"/>
    <w:rsid w:val="00AA1987"/>
    <w:rsid w:val="00AA38C8"/>
    <w:rsid w:val="00AA4956"/>
    <w:rsid w:val="00AA5547"/>
    <w:rsid w:val="00AA5D43"/>
    <w:rsid w:val="00AB0518"/>
    <w:rsid w:val="00AB0834"/>
    <w:rsid w:val="00AB1AA3"/>
    <w:rsid w:val="00AB1ECC"/>
    <w:rsid w:val="00AB2AAA"/>
    <w:rsid w:val="00AB2C03"/>
    <w:rsid w:val="00AB33E4"/>
    <w:rsid w:val="00AB3864"/>
    <w:rsid w:val="00AB3931"/>
    <w:rsid w:val="00AB3CB7"/>
    <w:rsid w:val="00AB4256"/>
    <w:rsid w:val="00AB4A50"/>
    <w:rsid w:val="00AB5835"/>
    <w:rsid w:val="00AB6004"/>
    <w:rsid w:val="00AB626C"/>
    <w:rsid w:val="00AB698D"/>
    <w:rsid w:val="00AB7BBF"/>
    <w:rsid w:val="00AB7DFF"/>
    <w:rsid w:val="00AC020D"/>
    <w:rsid w:val="00AC03FF"/>
    <w:rsid w:val="00AC0A56"/>
    <w:rsid w:val="00AC22F8"/>
    <w:rsid w:val="00AC246C"/>
    <w:rsid w:val="00AC2962"/>
    <w:rsid w:val="00AC2E8B"/>
    <w:rsid w:val="00AC34F9"/>
    <w:rsid w:val="00AC3CAD"/>
    <w:rsid w:val="00AC43F0"/>
    <w:rsid w:val="00AC5889"/>
    <w:rsid w:val="00AC6306"/>
    <w:rsid w:val="00AC7EB6"/>
    <w:rsid w:val="00AD2B6E"/>
    <w:rsid w:val="00AD2EFE"/>
    <w:rsid w:val="00AD403D"/>
    <w:rsid w:val="00AD50EE"/>
    <w:rsid w:val="00AD680F"/>
    <w:rsid w:val="00AD7106"/>
    <w:rsid w:val="00AD727F"/>
    <w:rsid w:val="00AE0208"/>
    <w:rsid w:val="00AE04BA"/>
    <w:rsid w:val="00AE08F4"/>
    <w:rsid w:val="00AE0FD0"/>
    <w:rsid w:val="00AE1D7F"/>
    <w:rsid w:val="00AE21D2"/>
    <w:rsid w:val="00AE274E"/>
    <w:rsid w:val="00AE283A"/>
    <w:rsid w:val="00AE52FD"/>
    <w:rsid w:val="00AE555E"/>
    <w:rsid w:val="00AE6154"/>
    <w:rsid w:val="00AE63D7"/>
    <w:rsid w:val="00AE796A"/>
    <w:rsid w:val="00AF129C"/>
    <w:rsid w:val="00AF2E09"/>
    <w:rsid w:val="00AF35C9"/>
    <w:rsid w:val="00AF3888"/>
    <w:rsid w:val="00AF393E"/>
    <w:rsid w:val="00AF4850"/>
    <w:rsid w:val="00AF5005"/>
    <w:rsid w:val="00AF63DC"/>
    <w:rsid w:val="00AF7FEB"/>
    <w:rsid w:val="00B006E9"/>
    <w:rsid w:val="00B0179E"/>
    <w:rsid w:val="00B02070"/>
    <w:rsid w:val="00B02093"/>
    <w:rsid w:val="00B0276C"/>
    <w:rsid w:val="00B0298D"/>
    <w:rsid w:val="00B033FD"/>
    <w:rsid w:val="00B038E7"/>
    <w:rsid w:val="00B04351"/>
    <w:rsid w:val="00B04D17"/>
    <w:rsid w:val="00B04F7B"/>
    <w:rsid w:val="00B058A9"/>
    <w:rsid w:val="00B05A07"/>
    <w:rsid w:val="00B05D65"/>
    <w:rsid w:val="00B05ED3"/>
    <w:rsid w:val="00B06C8D"/>
    <w:rsid w:val="00B06E38"/>
    <w:rsid w:val="00B1154E"/>
    <w:rsid w:val="00B1400A"/>
    <w:rsid w:val="00B1406D"/>
    <w:rsid w:val="00B156F9"/>
    <w:rsid w:val="00B15FA3"/>
    <w:rsid w:val="00B1631C"/>
    <w:rsid w:val="00B17F1F"/>
    <w:rsid w:val="00B20C92"/>
    <w:rsid w:val="00B20FD5"/>
    <w:rsid w:val="00B215B5"/>
    <w:rsid w:val="00B230BA"/>
    <w:rsid w:val="00B23457"/>
    <w:rsid w:val="00B23A90"/>
    <w:rsid w:val="00B24D3F"/>
    <w:rsid w:val="00B25090"/>
    <w:rsid w:val="00B25301"/>
    <w:rsid w:val="00B2610A"/>
    <w:rsid w:val="00B26969"/>
    <w:rsid w:val="00B2716D"/>
    <w:rsid w:val="00B27640"/>
    <w:rsid w:val="00B30645"/>
    <w:rsid w:val="00B3126B"/>
    <w:rsid w:val="00B320B7"/>
    <w:rsid w:val="00B324EA"/>
    <w:rsid w:val="00B32789"/>
    <w:rsid w:val="00B33406"/>
    <w:rsid w:val="00B33875"/>
    <w:rsid w:val="00B33A7F"/>
    <w:rsid w:val="00B33AF0"/>
    <w:rsid w:val="00B344B9"/>
    <w:rsid w:val="00B34A24"/>
    <w:rsid w:val="00B34B10"/>
    <w:rsid w:val="00B3561C"/>
    <w:rsid w:val="00B35750"/>
    <w:rsid w:val="00B36C77"/>
    <w:rsid w:val="00B378DF"/>
    <w:rsid w:val="00B37AA1"/>
    <w:rsid w:val="00B37FB6"/>
    <w:rsid w:val="00B416EE"/>
    <w:rsid w:val="00B41CCA"/>
    <w:rsid w:val="00B42D14"/>
    <w:rsid w:val="00B42FA1"/>
    <w:rsid w:val="00B42FAF"/>
    <w:rsid w:val="00B4359E"/>
    <w:rsid w:val="00B45827"/>
    <w:rsid w:val="00B45830"/>
    <w:rsid w:val="00B46606"/>
    <w:rsid w:val="00B46B18"/>
    <w:rsid w:val="00B509C5"/>
    <w:rsid w:val="00B51FA9"/>
    <w:rsid w:val="00B5331C"/>
    <w:rsid w:val="00B53792"/>
    <w:rsid w:val="00B53C91"/>
    <w:rsid w:val="00B53DF1"/>
    <w:rsid w:val="00B53F35"/>
    <w:rsid w:val="00B547DD"/>
    <w:rsid w:val="00B549BF"/>
    <w:rsid w:val="00B54A34"/>
    <w:rsid w:val="00B54CD9"/>
    <w:rsid w:val="00B5579A"/>
    <w:rsid w:val="00B5579F"/>
    <w:rsid w:val="00B567C7"/>
    <w:rsid w:val="00B57095"/>
    <w:rsid w:val="00B5756A"/>
    <w:rsid w:val="00B57592"/>
    <w:rsid w:val="00B57752"/>
    <w:rsid w:val="00B6011F"/>
    <w:rsid w:val="00B61738"/>
    <w:rsid w:val="00B61798"/>
    <w:rsid w:val="00B61945"/>
    <w:rsid w:val="00B63E15"/>
    <w:rsid w:val="00B65346"/>
    <w:rsid w:val="00B65A46"/>
    <w:rsid w:val="00B65D7E"/>
    <w:rsid w:val="00B6630C"/>
    <w:rsid w:val="00B6680A"/>
    <w:rsid w:val="00B673E3"/>
    <w:rsid w:val="00B67811"/>
    <w:rsid w:val="00B703E5"/>
    <w:rsid w:val="00B70828"/>
    <w:rsid w:val="00B710B3"/>
    <w:rsid w:val="00B72185"/>
    <w:rsid w:val="00B721F6"/>
    <w:rsid w:val="00B72E15"/>
    <w:rsid w:val="00B735B8"/>
    <w:rsid w:val="00B737DD"/>
    <w:rsid w:val="00B7391B"/>
    <w:rsid w:val="00B75026"/>
    <w:rsid w:val="00B75AC2"/>
    <w:rsid w:val="00B76826"/>
    <w:rsid w:val="00B76BD9"/>
    <w:rsid w:val="00B76C01"/>
    <w:rsid w:val="00B7720B"/>
    <w:rsid w:val="00B77D22"/>
    <w:rsid w:val="00B8046C"/>
    <w:rsid w:val="00B80A61"/>
    <w:rsid w:val="00B80C53"/>
    <w:rsid w:val="00B819A4"/>
    <w:rsid w:val="00B82489"/>
    <w:rsid w:val="00B82B99"/>
    <w:rsid w:val="00B83BF0"/>
    <w:rsid w:val="00B84199"/>
    <w:rsid w:val="00B8420A"/>
    <w:rsid w:val="00B850B3"/>
    <w:rsid w:val="00B90256"/>
    <w:rsid w:val="00B9081A"/>
    <w:rsid w:val="00B90AE5"/>
    <w:rsid w:val="00B915DE"/>
    <w:rsid w:val="00B936FA"/>
    <w:rsid w:val="00B93B7C"/>
    <w:rsid w:val="00B94A7F"/>
    <w:rsid w:val="00B950C9"/>
    <w:rsid w:val="00B95B8B"/>
    <w:rsid w:val="00B95D0B"/>
    <w:rsid w:val="00B967D9"/>
    <w:rsid w:val="00B968A2"/>
    <w:rsid w:val="00BA028F"/>
    <w:rsid w:val="00BA02CD"/>
    <w:rsid w:val="00BA040C"/>
    <w:rsid w:val="00BA147D"/>
    <w:rsid w:val="00BA32EA"/>
    <w:rsid w:val="00BA37DB"/>
    <w:rsid w:val="00BA3D96"/>
    <w:rsid w:val="00BA6824"/>
    <w:rsid w:val="00BA6909"/>
    <w:rsid w:val="00BA6F24"/>
    <w:rsid w:val="00BA71A3"/>
    <w:rsid w:val="00BB0269"/>
    <w:rsid w:val="00BB1267"/>
    <w:rsid w:val="00BB15C1"/>
    <w:rsid w:val="00BB2614"/>
    <w:rsid w:val="00BB2C68"/>
    <w:rsid w:val="00BB3454"/>
    <w:rsid w:val="00BB36B5"/>
    <w:rsid w:val="00BB3899"/>
    <w:rsid w:val="00BB45DE"/>
    <w:rsid w:val="00BB564F"/>
    <w:rsid w:val="00BB5E10"/>
    <w:rsid w:val="00BB7B4E"/>
    <w:rsid w:val="00BB7BD0"/>
    <w:rsid w:val="00BC03EF"/>
    <w:rsid w:val="00BC08A1"/>
    <w:rsid w:val="00BC1171"/>
    <w:rsid w:val="00BC1369"/>
    <w:rsid w:val="00BC1691"/>
    <w:rsid w:val="00BC1AC6"/>
    <w:rsid w:val="00BC2A91"/>
    <w:rsid w:val="00BC2AE9"/>
    <w:rsid w:val="00BC3D69"/>
    <w:rsid w:val="00BC408E"/>
    <w:rsid w:val="00BC44DC"/>
    <w:rsid w:val="00BC54D8"/>
    <w:rsid w:val="00BC736D"/>
    <w:rsid w:val="00BC7FCC"/>
    <w:rsid w:val="00BD02D9"/>
    <w:rsid w:val="00BD053E"/>
    <w:rsid w:val="00BD07EA"/>
    <w:rsid w:val="00BD0AE5"/>
    <w:rsid w:val="00BD0CA8"/>
    <w:rsid w:val="00BD1C88"/>
    <w:rsid w:val="00BD26EC"/>
    <w:rsid w:val="00BD37D2"/>
    <w:rsid w:val="00BD3D4D"/>
    <w:rsid w:val="00BD3EEE"/>
    <w:rsid w:val="00BD435A"/>
    <w:rsid w:val="00BD48D4"/>
    <w:rsid w:val="00BD4BC2"/>
    <w:rsid w:val="00BD5484"/>
    <w:rsid w:val="00BD5B2B"/>
    <w:rsid w:val="00BD6991"/>
    <w:rsid w:val="00BD6B41"/>
    <w:rsid w:val="00BD6E53"/>
    <w:rsid w:val="00BD79B2"/>
    <w:rsid w:val="00BD7CA8"/>
    <w:rsid w:val="00BE007E"/>
    <w:rsid w:val="00BE0317"/>
    <w:rsid w:val="00BE0C61"/>
    <w:rsid w:val="00BE0E64"/>
    <w:rsid w:val="00BE1848"/>
    <w:rsid w:val="00BE3B42"/>
    <w:rsid w:val="00BE46C0"/>
    <w:rsid w:val="00BE4B1F"/>
    <w:rsid w:val="00BE6187"/>
    <w:rsid w:val="00BE64BC"/>
    <w:rsid w:val="00BE6D29"/>
    <w:rsid w:val="00BE7E52"/>
    <w:rsid w:val="00BF09E0"/>
    <w:rsid w:val="00BF1379"/>
    <w:rsid w:val="00BF13B5"/>
    <w:rsid w:val="00BF32F6"/>
    <w:rsid w:val="00BF3C6A"/>
    <w:rsid w:val="00C01BBB"/>
    <w:rsid w:val="00C0247F"/>
    <w:rsid w:val="00C02FF5"/>
    <w:rsid w:val="00C03A30"/>
    <w:rsid w:val="00C04C97"/>
    <w:rsid w:val="00C053CC"/>
    <w:rsid w:val="00C053DE"/>
    <w:rsid w:val="00C05618"/>
    <w:rsid w:val="00C0739C"/>
    <w:rsid w:val="00C07AF4"/>
    <w:rsid w:val="00C07C0C"/>
    <w:rsid w:val="00C1384B"/>
    <w:rsid w:val="00C15087"/>
    <w:rsid w:val="00C15B25"/>
    <w:rsid w:val="00C161FB"/>
    <w:rsid w:val="00C162BF"/>
    <w:rsid w:val="00C177A2"/>
    <w:rsid w:val="00C17BA9"/>
    <w:rsid w:val="00C2075E"/>
    <w:rsid w:val="00C21871"/>
    <w:rsid w:val="00C22313"/>
    <w:rsid w:val="00C2274E"/>
    <w:rsid w:val="00C244D3"/>
    <w:rsid w:val="00C24C59"/>
    <w:rsid w:val="00C250C0"/>
    <w:rsid w:val="00C259C7"/>
    <w:rsid w:val="00C26544"/>
    <w:rsid w:val="00C26B3B"/>
    <w:rsid w:val="00C26BAA"/>
    <w:rsid w:val="00C275F4"/>
    <w:rsid w:val="00C277F9"/>
    <w:rsid w:val="00C27948"/>
    <w:rsid w:val="00C312E5"/>
    <w:rsid w:val="00C32213"/>
    <w:rsid w:val="00C344A9"/>
    <w:rsid w:val="00C3486C"/>
    <w:rsid w:val="00C34B0B"/>
    <w:rsid w:val="00C37A57"/>
    <w:rsid w:val="00C37C2C"/>
    <w:rsid w:val="00C40D8E"/>
    <w:rsid w:val="00C43102"/>
    <w:rsid w:val="00C4316A"/>
    <w:rsid w:val="00C439AF"/>
    <w:rsid w:val="00C44352"/>
    <w:rsid w:val="00C44955"/>
    <w:rsid w:val="00C44BE9"/>
    <w:rsid w:val="00C462E6"/>
    <w:rsid w:val="00C47B91"/>
    <w:rsid w:val="00C50448"/>
    <w:rsid w:val="00C51925"/>
    <w:rsid w:val="00C531FB"/>
    <w:rsid w:val="00C53EC9"/>
    <w:rsid w:val="00C54F8C"/>
    <w:rsid w:val="00C551F9"/>
    <w:rsid w:val="00C55FC9"/>
    <w:rsid w:val="00C5634A"/>
    <w:rsid w:val="00C605CC"/>
    <w:rsid w:val="00C61289"/>
    <w:rsid w:val="00C612C3"/>
    <w:rsid w:val="00C61AEA"/>
    <w:rsid w:val="00C61EFA"/>
    <w:rsid w:val="00C62016"/>
    <w:rsid w:val="00C62AAD"/>
    <w:rsid w:val="00C64FA1"/>
    <w:rsid w:val="00C65C24"/>
    <w:rsid w:val="00C72F99"/>
    <w:rsid w:val="00C73F81"/>
    <w:rsid w:val="00C74659"/>
    <w:rsid w:val="00C74888"/>
    <w:rsid w:val="00C74944"/>
    <w:rsid w:val="00C7517E"/>
    <w:rsid w:val="00C75A8C"/>
    <w:rsid w:val="00C7645A"/>
    <w:rsid w:val="00C7694E"/>
    <w:rsid w:val="00C76E99"/>
    <w:rsid w:val="00C77A66"/>
    <w:rsid w:val="00C80097"/>
    <w:rsid w:val="00C802A1"/>
    <w:rsid w:val="00C809F0"/>
    <w:rsid w:val="00C81E73"/>
    <w:rsid w:val="00C833B0"/>
    <w:rsid w:val="00C83587"/>
    <w:rsid w:val="00C83CE1"/>
    <w:rsid w:val="00C84057"/>
    <w:rsid w:val="00C840AE"/>
    <w:rsid w:val="00C850A0"/>
    <w:rsid w:val="00C85DE7"/>
    <w:rsid w:val="00C86F4D"/>
    <w:rsid w:val="00C879E6"/>
    <w:rsid w:val="00C90E4A"/>
    <w:rsid w:val="00C91014"/>
    <w:rsid w:val="00C92666"/>
    <w:rsid w:val="00C9346C"/>
    <w:rsid w:val="00C93597"/>
    <w:rsid w:val="00C93FD7"/>
    <w:rsid w:val="00C94990"/>
    <w:rsid w:val="00C9548A"/>
    <w:rsid w:val="00C958E8"/>
    <w:rsid w:val="00C95E92"/>
    <w:rsid w:val="00C96446"/>
    <w:rsid w:val="00C9710D"/>
    <w:rsid w:val="00C97194"/>
    <w:rsid w:val="00CA01C8"/>
    <w:rsid w:val="00CA07C8"/>
    <w:rsid w:val="00CA0E11"/>
    <w:rsid w:val="00CA108A"/>
    <w:rsid w:val="00CA11FE"/>
    <w:rsid w:val="00CA1E01"/>
    <w:rsid w:val="00CA1EA4"/>
    <w:rsid w:val="00CA26B5"/>
    <w:rsid w:val="00CA38EB"/>
    <w:rsid w:val="00CA451A"/>
    <w:rsid w:val="00CA570E"/>
    <w:rsid w:val="00CA5BB7"/>
    <w:rsid w:val="00CA7330"/>
    <w:rsid w:val="00CB0614"/>
    <w:rsid w:val="00CB3FF0"/>
    <w:rsid w:val="00CB7CA4"/>
    <w:rsid w:val="00CC0C24"/>
    <w:rsid w:val="00CC1A11"/>
    <w:rsid w:val="00CC2230"/>
    <w:rsid w:val="00CC3200"/>
    <w:rsid w:val="00CC34CF"/>
    <w:rsid w:val="00CC545D"/>
    <w:rsid w:val="00CC6132"/>
    <w:rsid w:val="00CC62CF"/>
    <w:rsid w:val="00CC6387"/>
    <w:rsid w:val="00CC650F"/>
    <w:rsid w:val="00CD15B4"/>
    <w:rsid w:val="00CD2A0F"/>
    <w:rsid w:val="00CD3B5B"/>
    <w:rsid w:val="00CD4469"/>
    <w:rsid w:val="00CD4C40"/>
    <w:rsid w:val="00CD55A0"/>
    <w:rsid w:val="00CD6C29"/>
    <w:rsid w:val="00CD6F88"/>
    <w:rsid w:val="00CD7854"/>
    <w:rsid w:val="00CE02DC"/>
    <w:rsid w:val="00CE2D16"/>
    <w:rsid w:val="00CE2E03"/>
    <w:rsid w:val="00CE3280"/>
    <w:rsid w:val="00CE3BA8"/>
    <w:rsid w:val="00CE3F97"/>
    <w:rsid w:val="00CE4F4F"/>
    <w:rsid w:val="00CE56F5"/>
    <w:rsid w:val="00CE65CD"/>
    <w:rsid w:val="00CE6B59"/>
    <w:rsid w:val="00CE72DE"/>
    <w:rsid w:val="00CE73F2"/>
    <w:rsid w:val="00CE763E"/>
    <w:rsid w:val="00CE7E38"/>
    <w:rsid w:val="00CF0C0D"/>
    <w:rsid w:val="00CF2F17"/>
    <w:rsid w:val="00CF36B4"/>
    <w:rsid w:val="00CF3B70"/>
    <w:rsid w:val="00CF4D3C"/>
    <w:rsid w:val="00CF5571"/>
    <w:rsid w:val="00CF5FB9"/>
    <w:rsid w:val="00CF7B40"/>
    <w:rsid w:val="00D01352"/>
    <w:rsid w:val="00D01553"/>
    <w:rsid w:val="00D0157B"/>
    <w:rsid w:val="00D023F6"/>
    <w:rsid w:val="00D025CF"/>
    <w:rsid w:val="00D03C4E"/>
    <w:rsid w:val="00D046F5"/>
    <w:rsid w:val="00D04C77"/>
    <w:rsid w:val="00D0531A"/>
    <w:rsid w:val="00D06149"/>
    <w:rsid w:val="00D068BA"/>
    <w:rsid w:val="00D06B62"/>
    <w:rsid w:val="00D100C5"/>
    <w:rsid w:val="00D10D34"/>
    <w:rsid w:val="00D11EC8"/>
    <w:rsid w:val="00D12807"/>
    <w:rsid w:val="00D12DDC"/>
    <w:rsid w:val="00D1319E"/>
    <w:rsid w:val="00D13432"/>
    <w:rsid w:val="00D13EB3"/>
    <w:rsid w:val="00D16C5B"/>
    <w:rsid w:val="00D17414"/>
    <w:rsid w:val="00D207A4"/>
    <w:rsid w:val="00D20C34"/>
    <w:rsid w:val="00D20EFE"/>
    <w:rsid w:val="00D22E1E"/>
    <w:rsid w:val="00D233E3"/>
    <w:rsid w:val="00D23C0A"/>
    <w:rsid w:val="00D244CB"/>
    <w:rsid w:val="00D24915"/>
    <w:rsid w:val="00D25390"/>
    <w:rsid w:val="00D25818"/>
    <w:rsid w:val="00D258B5"/>
    <w:rsid w:val="00D2725B"/>
    <w:rsid w:val="00D3178B"/>
    <w:rsid w:val="00D31A3D"/>
    <w:rsid w:val="00D31B0F"/>
    <w:rsid w:val="00D324B7"/>
    <w:rsid w:val="00D329D1"/>
    <w:rsid w:val="00D33A66"/>
    <w:rsid w:val="00D33C32"/>
    <w:rsid w:val="00D33CEF"/>
    <w:rsid w:val="00D34669"/>
    <w:rsid w:val="00D360A2"/>
    <w:rsid w:val="00D36232"/>
    <w:rsid w:val="00D36256"/>
    <w:rsid w:val="00D365E5"/>
    <w:rsid w:val="00D36740"/>
    <w:rsid w:val="00D373C4"/>
    <w:rsid w:val="00D40117"/>
    <w:rsid w:val="00D40CD4"/>
    <w:rsid w:val="00D4103F"/>
    <w:rsid w:val="00D415F4"/>
    <w:rsid w:val="00D42027"/>
    <w:rsid w:val="00D4305F"/>
    <w:rsid w:val="00D4367A"/>
    <w:rsid w:val="00D43957"/>
    <w:rsid w:val="00D443F0"/>
    <w:rsid w:val="00D463E2"/>
    <w:rsid w:val="00D46731"/>
    <w:rsid w:val="00D471AB"/>
    <w:rsid w:val="00D477F2"/>
    <w:rsid w:val="00D50692"/>
    <w:rsid w:val="00D511FD"/>
    <w:rsid w:val="00D51280"/>
    <w:rsid w:val="00D51AE8"/>
    <w:rsid w:val="00D51E8D"/>
    <w:rsid w:val="00D52583"/>
    <w:rsid w:val="00D52653"/>
    <w:rsid w:val="00D52E9A"/>
    <w:rsid w:val="00D53A04"/>
    <w:rsid w:val="00D53A21"/>
    <w:rsid w:val="00D54A08"/>
    <w:rsid w:val="00D54B3E"/>
    <w:rsid w:val="00D54FD1"/>
    <w:rsid w:val="00D56620"/>
    <w:rsid w:val="00D56D62"/>
    <w:rsid w:val="00D57526"/>
    <w:rsid w:val="00D5787F"/>
    <w:rsid w:val="00D6018D"/>
    <w:rsid w:val="00D626EF"/>
    <w:rsid w:val="00D629B4"/>
    <w:rsid w:val="00D63EDF"/>
    <w:rsid w:val="00D64163"/>
    <w:rsid w:val="00D6477C"/>
    <w:rsid w:val="00D64E75"/>
    <w:rsid w:val="00D663B5"/>
    <w:rsid w:val="00D6643B"/>
    <w:rsid w:val="00D67C62"/>
    <w:rsid w:val="00D712AC"/>
    <w:rsid w:val="00D7194A"/>
    <w:rsid w:val="00D72F03"/>
    <w:rsid w:val="00D7302F"/>
    <w:rsid w:val="00D74A9A"/>
    <w:rsid w:val="00D768D1"/>
    <w:rsid w:val="00D802CF"/>
    <w:rsid w:val="00D80F61"/>
    <w:rsid w:val="00D812A6"/>
    <w:rsid w:val="00D829F7"/>
    <w:rsid w:val="00D82EED"/>
    <w:rsid w:val="00D83862"/>
    <w:rsid w:val="00D84512"/>
    <w:rsid w:val="00D851DB"/>
    <w:rsid w:val="00D8585F"/>
    <w:rsid w:val="00D85B1A"/>
    <w:rsid w:val="00D85BFF"/>
    <w:rsid w:val="00D85ED9"/>
    <w:rsid w:val="00D9197F"/>
    <w:rsid w:val="00D91FD4"/>
    <w:rsid w:val="00D92C2F"/>
    <w:rsid w:val="00D934AE"/>
    <w:rsid w:val="00D93604"/>
    <w:rsid w:val="00D93958"/>
    <w:rsid w:val="00D93A00"/>
    <w:rsid w:val="00D9437C"/>
    <w:rsid w:val="00D944C4"/>
    <w:rsid w:val="00D94DDA"/>
    <w:rsid w:val="00D95EAD"/>
    <w:rsid w:val="00D9602A"/>
    <w:rsid w:val="00D96579"/>
    <w:rsid w:val="00D96C79"/>
    <w:rsid w:val="00DA004A"/>
    <w:rsid w:val="00DA2DB5"/>
    <w:rsid w:val="00DA345C"/>
    <w:rsid w:val="00DA38B7"/>
    <w:rsid w:val="00DA3E8D"/>
    <w:rsid w:val="00DA4E4E"/>
    <w:rsid w:val="00DA5622"/>
    <w:rsid w:val="00DA5829"/>
    <w:rsid w:val="00DA604C"/>
    <w:rsid w:val="00DA67B9"/>
    <w:rsid w:val="00DA6E51"/>
    <w:rsid w:val="00DA6FFE"/>
    <w:rsid w:val="00DA75A9"/>
    <w:rsid w:val="00DA768A"/>
    <w:rsid w:val="00DA7BE2"/>
    <w:rsid w:val="00DB1CCA"/>
    <w:rsid w:val="00DB3C50"/>
    <w:rsid w:val="00DB661E"/>
    <w:rsid w:val="00DB687A"/>
    <w:rsid w:val="00DB765C"/>
    <w:rsid w:val="00DB7CF1"/>
    <w:rsid w:val="00DC0486"/>
    <w:rsid w:val="00DC0F60"/>
    <w:rsid w:val="00DC1693"/>
    <w:rsid w:val="00DC2890"/>
    <w:rsid w:val="00DC2A7A"/>
    <w:rsid w:val="00DC37C2"/>
    <w:rsid w:val="00DC3B21"/>
    <w:rsid w:val="00DC454E"/>
    <w:rsid w:val="00DC4E59"/>
    <w:rsid w:val="00DC545F"/>
    <w:rsid w:val="00DC5EE9"/>
    <w:rsid w:val="00DC61AC"/>
    <w:rsid w:val="00DC6A69"/>
    <w:rsid w:val="00DC75B3"/>
    <w:rsid w:val="00DC75C5"/>
    <w:rsid w:val="00DC7C34"/>
    <w:rsid w:val="00DD0A6D"/>
    <w:rsid w:val="00DD573E"/>
    <w:rsid w:val="00DD5C9D"/>
    <w:rsid w:val="00DD6D13"/>
    <w:rsid w:val="00DD74F2"/>
    <w:rsid w:val="00DD783F"/>
    <w:rsid w:val="00DE116A"/>
    <w:rsid w:val="00DE1397"/>
    <w:rsid w:val="00DE1A82"/>
    <w:rsid w:val="00DE2781"/>
    <w:rsid w:val="00DE4AB7"/>
    <w:rsid w:val="00DE4EAE"/>
    <w:rsid w:val="00DE55FC"/>
    <w:rsid w:val="00DE598F"/>
    <w:rsid w:val="00DE5C6A"/>
    <w:rsid w:val="00DE61D2"/>
    <w:rsid w:val="00DE710E"/>
    <w:rsid w:val="00DE7F44"/>
    <w:rsid w:val="00DF265F"/>
    <w:rsid w:val="00DF26CD"/>
    <w:rsid w:val="00DF610B"/>
    <w:rsid w:val="00DF6E08"/>
    <w:rsid w:val="00E01600"/>
    <w:rsid w:val="00E025B3"/>
    <w:rsid w:val="00E041B2"/>
    <w:rsid w:val="00E05086"/>
    <w:rsid w:val="00E06137"/>
    <w:rsid w:val="00E0727C"/>
    <w:rsid w:val="00E07928"/>
    <w:rsid w:val="00E07A09"/>
    <w:rsid w:val="00E07AA1"/>
    <w:rsid w:val="00E101BC"/>
    <w:rsid w:val="00E10945"/>
    <w:rsid w:val="00E127A7"/>
    <w:rsid w:val="00E12AB3"/>
    <w:rsid w:val="00E13D50"/>
    <w:rsid w:val="00E14240"/>
    <w:rsid w:val="00E159D1"/>
    <w:rsid w:val="00E16E47"/>
    <w:rsid w:val="00E17AA1"/>
    <w:rsid w:val="00E201D7"/>
    <w:rsid w:val="00E204F2"/>
    <w:rsid w:val="00E2125D"/>
    <w:rsid w:val="00E24213"/>
    <w:rsid w:val="00E246EF"/>
    <w:rsid w:val="00E248ED"/>
    <w:rsid w:val="00E24CEE"/>
    <w:rsid w:val="00E2507A"/>
    <w:rsid w:val="00E25E89"/>
    <w:rsid w:val="00E25F9A"/>
    <w:rsid w:val="00E26521"/>
    <w:rsid w:val="00E27AF3"/>
    <w:rsid w:val="00E30265"/>
    <w:rsid w:val="00E32557"/>
    <w:rsid w:val="00E32BDB"/>
    <w:rsid w:val="00E33AC7"/>
    <w:rsid w:val="00E34817"/>
    <w:rsid w:val="00E34F0F"/>
    <w:rsid w:val="00E364D9"/>
    <w:rsid w:val="00E37A6F"/>
    <w:rsid w:val="00E40353"/>
    <w:rsid w:val="00E40CA0"/>
    <w:rsid w:val="00E410D1"/>
    <w:rsid w:val="00E41C01"/>
    <w:rsid w:val="00E42128"/>
    <w:rsid w:val="00E4257A"/>
    <w:rsid w:val="00E427E2"/>
    <w:rsid w:val="00E431F8"/>
    <w:rsid w:val="00E43AF9"/>
    <w:rsid w:val="00E43DB0"/>
    <w:rsid w:val="00E44A4C"/>
    <w:rsid w:val="00E4572E"/>
    <w:rsid w:val="00E457D0"/>
    <w:rsid w:val="00E46BDA"/>
    <w:rsid w:val="00E46CA6"/>
    <w:rsid w:val="00E47C1B"/>
    <w:rsid w:val="00E5052A"/>
    <w:rsid w:val="00E50697"/>
    <w:rsid w:val="00E51940"/>
    <w:rsid w:val="00E524EB"/>
    <w:rsid w:val="00E5292D"/>
    <w:rsid w:val="00E53228"/>
    <w:rsid w:val="00E53841"/>
    <w:rsid w:val="00E53ABE"/>
    <w:rsid w:val="00E54DD8"/>
    <w:rsid w:val="00E54F36"/>
    <w:rsid w:val="00E54FCA"/>
    <w:rsid w:val="00E55D78"/>
    <w:rsid w:val="00E56107"/>
    <w:rsid w:val="00E56EF2"/>
    <w:rsid w:val="00E607F7"/>
    <w:rsid w:val="00E62A56"/>
    <w:rsid w:val="00E62B1B"/>
    <w:rsid w:val="00E62C3F"/>
    <w:rsid w:val="00E62D29"/>
    <w:rsid w:val="00E63902"/>
    <w:rsid w:val="00E66314"/>
    <w:rsid w:val="00E66CFD"/>
    <w:rsid w:val="00E67786"/>
    <w:rsid w:val="00E67A1B"/>
    <w:rsid w:val="00E70F1E"/>
    <w:rsid w:val="00E710ED"/>
    <w:rsid w:val="00E716EE"/>
    <w:rsid w:val="00E72CF0"/>
    <w:rsid w:val="00E73080"/>
    <w:rsid w:val="00E759E3"/>
    <w:rsid w:val="00E777DE"/>
    <w:rsid w:val="00E84C5F"/>
    <w:rsid w:val="00E8507B"/>
    <w:rsid w:val="00E8533C"/>
    <w:rsid w:val="00E86D6B"/>
    <w:rsid w:val="00E914A3"/>
    <w:rsid w:val="00E91B7A"/>
    <w:rsid w:val="00E91C70"/>
    <w:rsid w:val="00E91D43"/>
    <w:rsid w:val="00E94482"/>
    <w:rsid w:val="00E96662"/>
    <w:rsid w:val="00E9731E"/>
    <w:rsid w:val="00EA1344"/>
    <w:rsid w:val="00EA13FA"/>
    <w:rsid w:val="00EA222F"/>
    <w:rsid w:val="00EA2CB2"/>
    <w:rsid w:val="00EA2EED"/>
    <w:rsid w:val="00EA3821"/>
    <w:rsid w:val="00EA3998"/>
    <w:rsid w:val="00EA3A4E"/>
    <w:rsid w:val="00EA3B45"/>
    <w:rsid w:val="00EA3F66"/>
    <w:rsid w:val="00EA4770"/>
    <w:rsid w:val="00EA4892"/>
    <w:rsid w:val="00EA4E03"/>
    <w:rsid w:val="00EA607C"/>
    <w:rsid w:val="00EA6D92"/>
    <w:rsid w:val="00EA7122"/>
    <w:rsid w:val="00EA78A4"/>
    <w:rsid w:val="00EA7BBC"/>
    <w:rsid w:val="00EB011C"/>
    <w:rsid w:val="00EB09A4"/>
    <w:rsid w:val="00EB0B42"/>
    <w:rsid w:val="00EB11CA"/>
    <w:rsid w:val="00EB3B04"/>
    <w:rsid w:val="00EB3F56"/>
    <w:rsid w:val="00EB453C"/>
    <w:rsid w:val="00EB57FC"/>
    <w:rsid w:val="00EB6699"/>
    <w:rsid w:val="00EB7EAD"/>
    <w:rsid w:val="00EC197F"/>
    <w:rsid w:val="00EC534A"/>
    <w:rsid w:val="00EC5E14"/>
    <w:rsid w:val="00EC771A"/>
    <w:rsid w:val="00EC7772"/>
    <w:rsid w:val="00ED042C"/>
    <w:rsid w:val="00ED06D6"/>
    <w:rsid w:val="00ED0A8A"/>
    <w:rsid w:val="00ED0C3E"/>
    <w:rsid w:val="00ED231E"/>
    <w:rsid w:val="00ED240A"/>
    <w:rsid w:val="00ED3ACA"/>
    <w:rsid w:val="00ED3BFE"/>
    <w:rsid w:val="00ED4C78"/>
    <w:rsid w:val="00ED5398"/>
    <w:rsid w:val="00ED6124"/>
    <w:rsid w:val="00ED63BC"/>
    <w:rsid w:val="00ED7494"/>
    <w:rsid w:val="00ED74CB"/>
    <w:rsid w:val="00EE0068"/>
    <w:rsid w:val="00EE06AD"/>
    <w:rsid w:val="00EE0D7D"/>
    <w:rsid w:val="00EE16CB"/>
    <w:rsid w:val="00EE2762"/>
    <w:rsid w:val="00EE38B6"/>
    <w:rsid w:val="00EE3BB2"/>
    <w:rsid w:val="00EE4820"/>
    <w:rsid w:val="00EE4A44"/>
    <w:rsid w:val="00EE606F"/>
    <w:rsid w:val="00EE68F0"/>
    <w:rsid w:val="00EE6B8D"/>
    <w:rsid w:val="00EE7293"/>
    <w:rsid w:val="00EF09A0"/>
    <w:rsid w:val="00EF09DE"/>
    <w:rsid w:val="00EF0AA4"/>
    <w:rsid w:val="00EF0CC4"/>
    <w:rsid w:val="00EF1144"/>
    <w:rsid w:val="00EF1AE1"/>
    <w:rsid w:val="00EF21CC"/>
    <w:rsid w:val="00EF2563"/>
    <w:rsid w:val="00EF2D73"/>
    <w:rsid w:val="00EF40E5"/>
    <w:rsid w:val="00EF40E9"/>
    <w:rsid w:val="00EF4422"/>
    <w:rsid w:val="00EF4816"/>
    <w:rsid w:val="00EF61FE"/>
    <w:rsid w:val="00EF75C3"/>
    <w:rsid w:val="00EF788A"/>
    <w:rsid w:val="00EF7FE1"/>
    <w:rsid w:val="00F01662"/>
    <w:rsid w:val="00F0168A"/>
    <w:rsid w:val="00F01E48"/>
    <w:rsid w:val="00F020FB"/>
    <w:rsid w:val="00F02F53"/>
    <w:rsid w:val="00F036CE"/>
    <w:rsid w:val="00F043D1"/>
    <w:rsid w:val="00F04F88"/>
    <w:rsid w:val="00F05030"/>
    <w:rsid w:val="00F053B7"/>
    <w:rsid w:val="00F058C9"/>
    <w:rsid w:val="00F05E63"/>
    <w:rsid w:val="00F06201"/>
    <w:rsid w:val="00F06605"/>
    <w:rsid w:val="00F0689B"/>
    <w:rsid w:val="00F06D0A"/>
    <w:rsid w:val="00F103CA"/>
    <w:rsid w:val="00F103CC"/>
    <w:rsid w:val="00F10840"/>
    <w:rsid w:val="00F10E4F"/>
    <w:rsid w:val="00F120E2"/>
    <w:rsid w:val="00F12806"/>
    <w:rsid w:val="00F139B2"/>
    <w:rsid w:val="00F14924"/>
    <w:rsid w:val="00F14BB7"/>
    <w:rsid w:val="00F165D8"/>
    <w:rsid w:val="00F17A10"/>
    <w:rsid w:val="00F17E60"/>
    <w:rsid w:val="00F20163"/>
    <w:rsid w:val="00F20C3F"/>
    <w:rsid w:val="00F21172"/>
    <w:rsid w:val="00F21DB8"/>
    <w:rsid w:val="00F2264D"/>
    <w:rsid w:val="00F22D22"/>
    <w:rsid w:val="00F23947"/>
    <w:rsid w:val="00F24DCD"/>
    <w:rsid w:val="00F26292"/>
    <w:rsid w:val="00F26626"/>
    <w:rsid w:val="00F26906"/>
    <w:rsid w:val="00F269D5"/>
    <w:rsid w:val="00F26A20"/>
    <w:rsid w:val="00F27A84"/>
    <w:rsid w:val="00F27CA6"/>
    <w:rsid w:val="00F27DCF"/>
    <w:rsid w:val="00F313E7"/>
    <w:rsid w:val="00F31654"/>
    <w:rsid w:val="00F34118"/>
    <w:rsid w:val="00F34C8D"/>
    <w:rsid w:val="00F3783B"/>
    <w:rsid w:val="00F4097F"/>
    <w:rsid w:val="00F41262"/>
    <w:rsid w:val="00F42C9D"/>
    <w:rsid w:val="00F430EC"/>
    <w:rsid w:val="00F4356D"/>
    <w:rsid w:val="00F43F48"/>
    <w:rsid w:val="00F43F6D"/>
    <w:rsid w:val="00F443B3"/>
    <w:rsid w:val="00F44E6F"/>
    <w:rsid w:val="00F44EF9"/>
    <w:rsid w:val="00F462AD"/>
    <w:rsid w:val="00F473BF"/>
    <w:rsid w:val="00F50209"/>
    <w:rsid w:val="00F51165"/>
    <w:rsid w:val="00F51841"/>
    <w:rsid w:val="00F51D1F"/>
    <w:rsid w:val="00F51DF2"/>
    <w:rsid w:val="00F52A08"/>
    <w:rsid w:val="00F5322D"/>
    <w:rsid w:val="00F536F6"/>
    <w:rsid w:val="00F53B1A"/>
    <w:rsid w:val="00F5511A"/>
    <w:rsid w:val="00F56380"/>
    <w:rsid w:val="00F56725"/>
    <w:rsid w:val="00F568FE"/>
    <w:rsid w:val="00F60F7B"/>
    <w:rsid w:val="00F61661"/>
    <w:rsid w:val="00F61A40"/>
    <w:rsid w:val="00F62949"/>
    <w:rsid w:val="00F62D14"/>
    <w:rsid w:val="00F63752"/>
    <w:rsid w:val="00F63A16"/>
    <w:rsid w:val="00F63F27"/>
    <w:rsid w:val="00F63FB2"/>
    <w:rsid w:val="00F641FF"/>
    <w:rsid w:val="00F64682"/>
    <w:rsid w:val="00F64A4E"/>
    <w:rsid w:val="00F64D5A"/>
    <w:rsid w:val="00F65DB3"/>
    <w:rsid w:val="00F66DEF"/>
    <w:rsid w:val="00F677E8"/>
    <w:rsid w:val="00F71A0F"/>
    <w:rsid w:val="00F71AD2"/>
    <w:rsid w:val="00F752A4"/>
    <w:rsid w:val="00F75945"/>
    <w:rsid w:val="00F75A21"/>
    <w:rsid w:val="00F76595"/>
    <w:rsid w:val="00F765E2"/>
    <w:rsid w:val="00F76D22"/>
    <w:rsid w:val="00F77364"/>
    <w:rsid w:val="00F77698"/>
    <w:rsid w:val="00F7798E"/>
    <w:rsid w:val="00F77CE1"/>
    <w:rsid w:val="00F77F31"/>
    <w:rsid w:val="00F80ACF"/>
    <w:rsid w:val="00F82CC9"/>
    <w:rsid w:val="00F82F37"/>
    <w:rsid w:val="00F82FED"/>
    <w:rsid w:val="00F84C90"/>
    <w:rsid w:val="00F85045"/>
    <w:rsid w:val="00F85B5A"/>
    <w:rsid w:val="00F85E7C"/>
    <w:rsid w:val="00F863D3"/>
    <w:rsid w:val="00F8676D"/>
    <w:rsid w:val="00F869CD"/>
    <w:rsid w:val="00F87146"/>
    <w:rsid w:val="00F87691"/>
    <w:rsid w:val="00F87FE2"/>
    <w:rsid w:val="00F9046C"/>
    <w:rsid w:val="00F9133D"/>
    <w:rsid w:val="00F914B7"/>
    <w:rsid w:val="00F91911"/>
    <w:rsid w:val="00F91D88"/>
    <w:rsid w:val="00F91ED6"/>
    <w:rsid w:val="00F93BD2"/>
    <w:rsid w:val="00F94DC0"/>
    <w:rsid w:val="00F96A1A"/>
    <w:rsid w:val="00F96B3F"/>
    <w:rsid w:val="00F96C01"/>
    <w:rsid w:val="00F97374"/>
    <w:rsid w:val="00F97893"/>
    <w:rsid w:val="00F97AAD"/>
    <w:rsid w:val="00F97D61"/>
    <w:rsid w:val="00F97E5E"/>
    <w:rsid w:val="00FA1FE6"/>
    <w:rsid w:val="00FA320D"/>
    <w:rsid w:val="00FA3422"/>
    <w:rsid w:val="00FA38DF"/>
    <w:rsid w:val="00FA45A7"/>
    <w:rsid w:val="00FA535C"/>
    <w:rsid w:val="00FA539E"/>
    <w:rsid w:val="00FA7E39"/>
    <w:rsid w:val="00FB1044"/>
    <w:rsid w:val="00FB19AF"/>
    <w:rsid w:val="00FB1E46"/>
    <w:rsid w:val="00FB2961"/>
    <w:rsid w:val="00FB3E38"/>
    <w:rsid w:val="00FB5241"/>
    <w:rsid w:val="00FB5991"/>
    <w:rsid w:val="00FB59E8"/>
    <w:rsid w:val="00FB6054"/>
    <w:rsid w:val="00FB61FD"/>
    <w:rsid w:val="00FB7141"/>
    <w:rsid w:val="00FC120D"/>
    <w:rsid w:val="00FC309D"/>
    <w:rsid w:val="00FC4258"/>
    <w:rsid w:val="00FC4A7B"/>
    <w:rsid w:val="00FC5926"/>
    <w:rsid w:val="00FC5A93"/>
    <w:rsid w:val="00FC644D"/>
    <w:rsid w:val="00FC6695"/>
    <w:rsid w:val="00FC69D5"/>
    <w:rsid w:val="00FC770D"/>
    <w:rsid w:val="00FC7BAE"/>
    <w:rsid w:val="00FD0EB6"/>
    <w:rsid w:val="00FD107C"/>
    <w:rsid w:val="00FD2146"/>
    <w:rsid w:val="00FD39CD"/>
    <w:rsid w:val="00FD4262"/>
    <w:rsid w:val="00FD51BF"/>
    <w:rsid w:val="00FE000B"/>
    <w:rsid w:val="00FE0660"/>
    <w:rsid w:val="00FE0877"/>
    <w:rsid w:val="00FE0D6D"/>
    <w:rsid w:val="00FE349F"/>
    <w:rsid w:val="00FE3B8F"/>
    <w:rsid w:val="00FE3D2B"/>
    <w:rsid w:val="00FE5D20"/>
    <w:rsid w:val="00FE6181"/>
    <w:rsid w:val="00FE6553"/>
    <w:rsid w:val="00FE6EF8"/>
    <w:rsid w:val="00FF08AB"/>
    <w:rsid w:val="00FF0BAC"/>
    <w:rsid w:val="00FF1230"/>
    <w:rsid w:val="00FF19C0"/>
    <w:rsid w:val="00FF2E64"/>
    <w:rsid w:val="00FF3E42"/>
    <w:rsid w:val="00FF3F06"/>
    <w:rsid w:val="00FF4937"/>
    <w:rsid w:val="00FF4CD9"/>
    <w:rsid w:val="00FF6456"/>
    <w:rsid w:val="00FF668B"/>
    <w:rsid w:val="00FF6698"/>
    <w:rsid w:val="00FF67C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22BD4B"/>
  <w15:docId w15:val="{7784E94B-C73A-4491-9FFE-2AA61C9C2C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CA7330"/>
    <w:pPr>
      <w:spacing w:before="160" w:line="276" w:lineRule="auto"/>
      <w:jc w:val="both"/>
    </w:pPr>
    <w:rPr>
      <w:sz w:val="20"/>
    </w:rPr>
  </w:style>
  <w:style w:type="paragraph" w:styleId="Nagwek1">
    <w:name w:val="heading 1"/>
    <w:basedOn w:val="Normalny"/>
    <w:next w:val="Normalny"/>
    <w:link w:val="Nagwek1Znak"/>
    <w:uiPriority w:val="9"/>
    <w:qFormat/>
    <w:rsid w:val="00F06D0A"/>
    <w:pPr>
      <w:keepNext/>
      <w:keepLines/>
      <w:pageBreakBefore/>
      <w:numPr>
        <w:numId w:val="1"/>
      </w:numPr>
      <w:spacing w:before="0" w:line="312" w:lineRule="auto"/>
      <w:ind w:left="0" w:firstLine="0"/>
      <w:jc w:val="left"/>
      <w:outlineLvl w:val="0"/>
    </w:pPr>
    <w:rPr>
      <w:rFonts w:asciiTheme="majorHAnsi" w:eastAsiaTheme="majorEastAsia" w:hAnsiTheme="majorHAnsi" w:cstheme="majorBidi"/>
      <w:caps/>
      <w:spacing w:val="20"/>
      <w:sz w:val="36"/>
      <w:szCs w:val="32"/>
    </w:rPr>
  </w:style>
  <w:style w:type="paragraph" w:styleId="Nagwek2">
    <w:name w:val="heading 2"/>
    <w:basedOn w:val="Normalny"/>
    <w:next w:val="Normalny"/>
    <w:link w:val="Nagwek2Znak"/>
    <w:uiPriority w:val="9"/>
    <w:unhideWhenUsed/>
    <w:qFormat/>
    <w:rsid w:val="00F06D0A"/>
    <w:pPr>
      <w:keepNext/>
      <w:keepLines/>
      <w:numPr>
        <w:ilvl w:val="1"/>
        <w:numId w:val="1"/>
      </w:numPr>
      <w:spacing w:before="200" w:after="40"/>
      <w:ind w:left="0" w:firstLine="0"/>
      <w:jc w:val="left"/>
      <w:outlineLvl w:val="1"/>
    </w:pPr>
    <w:rPr>
      <w:rFonts w:asciiTheme="majorHAnsi" w:eastAsiaTheme="majorEastAsia" w:hAnsiTheme="majorHAnsi" w:cstheme="majorBidi"/>
      <w:caps/>
      <w:color w:val="000000" w:themeColor="text1"/>
      <w:spacing w:val="20"/>
      <w:sz w:val="26"/>
      <w:szCs w:val="26"/>
    </w:rPr>
  </w:style>
  <w:style w:type="paragraph" w:styleId="Nagwek3">
    <w:name w:val="heading 3"/>
    <w:basedOn w:val="Normalny"/>
    <w:next w:val="Normalny"/>
    <w:link w:val="Nagwek3Znak"/>
    <w:uiPriority w:val="9"/>
    <w:unhideWhenUsed/>
    <w:qFormat/>
    <w:rsid w:val="00F06D0A"/>
    <w:pPr>
      <w:keepNext/>
      <w:keepLines/>
      <w:numPr>
        <w:ilvl w:val="2"/>
        <w:numId w:val="1"/>
      </w:numPr>
      <w:spacing w:before="200" w:after="40"/>
      <w:ind w:left="0" w:firstLine="0"/>
      <w:jc w:val="left"/>
      <w:outlineLvl w:val="2"/>
    </w:pPr>
    <w:rPr>
      <w:rFonts w:asciiTheme="majorHAnsi" w:eastAsiaTheme="majorEastAsia" w:hAnsiTheme="majorHAnsi" w:cstheme="majorBidi"/>
      <w:caps/>
      <w:spacing w:val="20"/>
      <w:sz w:val="24"/>
      <w:szCs w:val="24"/>
    </w:rPr>
  </w:style>
  <w:style w:type="paragraph" w:styleId="Nagwek4">
    <w:name w:val="heading 4"/>
    <w:basedOn w:val="Normalny"/>
    <w:next w:val="Normalny"/>
    <w:link w:val="Nagwek4Znak"/>
    <w:uiPriority w:val="9"/>
    <w:unhideWhenUsed/>
    <w:qFormat/>
    <w:rsid w:val="00F06D0A"/>
    <w:pPr>
      <w:keepNext/>
      <w:keepLines/>
      <w:numPr>
        <w:ilvl w:val="3"/>
        <w:numId w:val="1"/>
      </w:numPr>
      <w:spacing w:before="40" w:after="0"/>
      <w:ind w:left="0" w:firstLine="0"/>
      <w:outlineLvl w:val="3"/>
    </w:pPr>
    <w:rPr>
      <w:rFonts w:asciiTheme="majorHAnsi" w:eastAsiaTheme="majorEastAsia" w:hAnsiTheme="majorHAnsi" w:cstheme="majorBidi"/>
      <w:iCs/>
      <w:caps/>
      <w:spacing w:val="20"/>
    </w:rPr>
  </w:style>
  <w:style w:type="paragraph" w:styleId="Nagwek5">
    <w:name w:val="heading 5"/>
    <w:basedOn w:val="Normalny"/>
    <w:next w:val="Normalny"/>
    <w:link w:val="Nagwek5Znak"/>
    <w:uiPriority w:val="9"/>
    <w:unhideWhenUsed/>
    <w:qFormat/>
    <w:rsid w:val="002E4529"/>
    <w:pPr>
      <w:keepNext/>
      <w:keepLines/>
      <w:numPr>
        <w:ilvl w:val="4"/>
        <w:numId w:val="1"/>
      </w:numPr>
      <w:spacing w:before="40" w:after="0"/>
      <w:outlineLvl w:val="4"/>
    </w:pPr>
    <w:rPr>
      <w:rFonts w:asciiTheme="majorHAnsi" w:eastAsiaTheme="majorEastAsia" w:hAnsiTheme="majorHAnsi" w:cstheme="majorBidi"/>
      <w:caps/>
    </w:rPr>
  </w:style>
  <w:style w:type="paragraph" w:styleId="Nagwek6">
    <w:name w:val="heading 6"/>
    <w:basedOn w:val="Normalny"/>
    <w:next w:val="Normalny"/>
    <w:link w:val="Nagwek6Znak"/>
    <w:uiPriority w:val="9"/>
    <w:unhideWhenUsed/>
    <w:qFormat/>
    <w:rsid w:val="006C4A06"/>
    <w:pPr>
      <w:keepNext/>
      <w:keepLines/>
      <w:spacing w:before="40" w:after="0"/>
      <w:outlineLvl w:val="5"/>
    </w:pPr>
    <w:rPr>
      <w:rFonts w:asciiTheme="majorHAnsi" w:eastAsiaTheme="majorEastAsia" w:hAnsiTheme="majorHAnsi" w:cstheme="majorBidi"/>
      <w:color w:val="575757" w:themeColor="accent1" w:themeShade="7F"/>
    </w:rPr>
  </w:style>
  <w:style w:type="paragraph" w:styleId="Nagwek7">
    <w:name w:val="heading 7"/>
    <w:basedOn w:val="Nagwek6"/>
    <w:next w:val="Normalny"/>
    <w:link w:val="Nagwek7Znak"/>
    <w:uiPriority w:val="9"/>
    <w:unhideWhenUsed/>
    <w:qFormat/>
    <w:rsid w:val="004C11DA"/>
    <w:pPr>
      <w:outlineLvl w:val="6"/>
    </w:pPr>
  </w:style>
  <w:style w:type="paragraph" w:styleId="Nagwek8">
    <w:name w:val="heading 8"/>
    <w:basedOn w:val="Nagwek7"/>
    <w:next w:val="Normalny"/>
    <w:link w:val="Nagwek8Znak"/>
    <w:uiPriority w:val="9"/>
    <w:unhideWhenUsed/>
    <w:qFormat/>
    <w:rsid w:val="004C11DA"/>
    <w:pPr>
      <w:outlineLvl w:val="7"/>
    </w:pPr>
  </w:style>
  <w:style w:type="paragraph" w:styleId="Nagwek9">
    <w:name w:val="heading 9"/>
    <w:basedOn w:val="Nagwek8"/>
    <w:next w:val="Normalny"/>
    <w:link w:val="Nagwek9Znak"/>
    <w:uiPriority w:val="9"/>
    <w:unhideWhenUsed/>
    <w:qFormat/>
    <w:rsid w:val="004C11DA"/>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06D0A"/>
    <w:rPr>
      <w:rFonts w:asciiTheme="majorHAnsi" w:eastAsiaTheme="majorEastAsia" w:hAnsiTheme="majorHAnsi" w:cstheme="majorBidi"/>
      <w:caps/>
      <w:spacing w:val="20"/>
      <w:sz w:val="36"/>
      <w:szCs w:val="32"/>
    </w:rPr>
  </w:style>
  <w:style w:type="character" w:customStyle="1" w:styleId="Nagwek2Znak">
    <w:name w:val="Nagłówek 2 Znak"/>
    <w:basedOn w:val="Domylnaczcionkaakapitu"/>
    <w:link w:val="Nagwek2"/>
    <w:uiPriority w:val="9"/>
    <w:rsid w:val="00F06D0A"/>
    <w:rPr>
      <w:rFonts w:asciiTheme="majorHAnsi" w:eastAsiaTheme="majorEastAsia" w:hAnsiTheme="majorHAnsi" w:cstheme="majorBidi"/>
      <w:caps/>
      <w:color w:val="000000" w:themeColor="text1"/>
      <w:spacing w:val="20"/>
      <w:sz w:val="26"/>
      <w:szCs w:val="26"/>
    </w:rPr>
  </w:style>
  <w:style w:type="character" w:customStyle="1" w:styleId="Nagwek3Znak">
    <w:name w:val="Nagłówek 3 Znak"/>
    <w:basedOn w:val="Domylnaczcionkaakapitu"/>
    <w:link w:val="Nagwek3"/>
    <w:uiPriority w:val="9"/>
    <w:rsid w:val="00F06D0A"/>
    <w:rPr>
      <w:rFonts w:asciiTheme="majorHAnsi" w:eastAsiaTheme="majorEastAsia" w:hAnsiTheme="majorHAnsi" w:cstheme="majorBidi"/>
      <w:caps/>
      <w:spacing w:val="20"/>
      <w:sz w:val="24"/>
      <w:szCs w:val="24"/>
    </w:rPr>
  </w:style>
  <w:style w:type="character" w:customStyle="1" w:styleId="Nagwek4Znak">
    <w:name w:val="Nagłówek 4 Znak"/>
    <w:basedOn w:val="Domylnaczcionkaakapitu"/>
    <w:link w:val="Nagwek4"/>
    <w:uiPriority w:val="9"/>
    <w:rsid w:val="00F06D0A"/>
    <w:rPr>
      <w:rFonts w:asciiTheme="majorHAnsi" w:eastAsiaTheme="majorEastAsia" w:hAnsiTheme="majorHAnsi" w:cstheme="majorBidi"/>
      <w:iCs/>
      <w:caps/>
      <w:spacing w:val="20"/>
      <w:sz w:val="20"/>
    </w:rPr>
  </w:style>
  <w:style w:type="character" w:customStyle="1" w:styleId="Nagwek5Znak">
    <w:name w:val="Nagłówek 5 Znak"/>
    <w:basedOn w:val="Domylnaczcionkaakapitu"/>
    <w:link w:val="Nagwek5"/>
    <w:uiPriority w:val="9"/>
    <w:rsid w:val="002E4529"/>
    <w:rPr>
      <w:rFonts w:asciiTheme="majorHAnsi" w:eastAsiaTheme="majorEastAsia" w:hAnsiTheme="majorHAnsi" w:cstheme="majorBidi"/>
      <w:caps/>
      <w:sz w:val="20"/>
    </w:rPr>
  </w:style>
  <w:style w:type="character" w:customStyle="1" w:styleId="Nagwek6Znak">
    <w:name w:val="Nagłówek 6 Znak"/>
    <w:basedOn w:val="Domylnaczcionkaakapitu"/>
    <w:link w:val="Nagwek6"/>
    <w:uiPriority w:val="9"/>
    <w:rsid w:val="006C4A06"/>
    <w:rPr>
      <w:rFonts w:asciiTheme="majorHAnsi" w:eastAsiaTheme="majorEastAsia" w:hAnsiTheme="majorHAnsi" w:cstheme="majorBidi"/>
      <w:color w:val="575757" w:themeColor="accent1" w:themeShade="7F"/>
    </w:rPr>
  </w:style>
  <w:style w:type="character" w:customStyle="1" w:styleId="Nagwek7Znak">
    <w:name w:val="Nagłówek 7 Znak"/>
    <w:basedOn w:val="Domylnaczcionkaakapitu"/>
    <w:link w:val="Nagwek7"/>
    <w:uiPriority w:val="9"/>
    <w:rsid w:val="004C11DA"/>
    <w:rPr>
      <w:rFonts w:asciiTheme="majorHAnsi" w:eastAsiaTheme="majorEastAsia" w:hAnsiTheme="majorHAnsi" w:cstheme="majorBidi"/>
      <w:color w:val="575757" w:themeColor="accent1" w:themeShade="7F"/>
      <w:sz w:val="20"/>
    </w:rPr>
  </w:style>
  <w:style w:type="character" w:customStyle="1" w:styleId="Nagwek8Znak">
    <w:name w:val="Nagłówek 8 Znak"/>
    <w:basedOn w:val="Domylnaczcionkaakapitu"/>
    <w:link w:val="Nagwek8"/>
    <w:uiPriority w:val="9"/>
    <w:rsid w:val="004C11DA"/>
    <w:rPr>
      <w:rFonts w:asciiTheme="majorHAnsi" w:eastAsiaTheme="majorEastAsia" w:hAnsiTheme="majorHAnsi" w:cstheme="majorBidi"/>
      <w:color w:val="575757" w:themeColor="accent1" w:themeShade="7F"/>
      <w:sz w:val="20"/>
    </w:rPr>
  </w:style>
  <w:style w:type="character" w:customStyle="1" w:styleId="Nagwek9Znak">
    <w:name w:val="Nagłówek 9 Znak"/>
    <w:basedOn w:val="Domylnaczcionkaakapitu"/>
    <w:link w:val="Nagwek9"/>
    <w:uiPriority w:val="9"/>
    <w:rsid w:val="004C11DA"/>
    <w:rPr>
      <w:rFonts w:asciiTheme="majorHAnsi" w:eastAsiaTheme="majorEastAsia" w:hAnsiTheme="majorHAnsi" w:cstheme="majorBidi"/>
      <w:color w:val="575757" w:themeColor="accent1" w:themeShade="7F"/>
      <w:sz w:val="20"/>
    </w:rPr>
  </w:style>
  <w:style w:type="paragraph" w:styleId="Bezodstpw">
    <w:name w:val="No Spacing"/>
    <w:link w:val="BezodstpwZnak"/>
    <w:uiPriority w:val="1"/>
    <w:qFormat/>
    <w:rsid w:val="00140D18"/>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140D18"/>
    <w:rPr>
      <w:rFonts w:eastAsiaTheme="minorEastAsia"/>
      <w:lang w:eastAsia="pl-PL"/>
    </w:rPr>
  </w:style>
  <w:style w:type="table" w:styleId="Tabela-Siatka">
    <w:name w:val="Table Grid"/>
    <w:basedOn w:val="Standardowy"/>
    <w:uiPriority w:val="39"/>
    <w:rsid w:val="00CA0E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ytu">
    <w:name w:val="Title"/>
    <w:basedOn w:val="Normalny"/>
    <w:next w:val="Normalny"/>
    <w:link w:val="TytuZnak"/>
    <w:uiPriority w:val="10"/>
    <w:qFormat/>
    <w:rsid w:val="00543DE8"/>
    <w:pPr>
      <w:spacing w:line="312" w:lineRule="auto"/>
      <w:ind w:right="1134"/>
      <w:contextualSpacing/>
      <w:jc w:val="left"/>
    </w:pPr>
    <w:rPr>
      <w:rFonts w:asciiTheme="majorHAnsi" w:eastAsiaTheme="majorEastAsia" w:hAnsiTheme="majorHAnsi" w:cstheme="majorBidi"/>
      <w:caps/>
      <w:spacing w:val="10"/>
      <w:kern w:val="28"/>
      <w:sz w:val="44"/>
      <w:szCs w:val="56"/>
      <w14:numForm w14:val="lining"/>
      <w14:numSpacing w14:val="tabular"/>
    </w:rPr>
  </w:style>
  <w:style w:type="character" w:customStyle="1" w:styleId="TytuZnak">
    <w:name w:val="Tytuł Znak"/>
    <w:basedOn w:val="Domylnaczcionkaakapitu"/>
    <w:link w:val="Tytu"/>
    <w:uiPriority w:val="10"/>
    <w:rsid w:val="00543DE8"/>
    <w:rPr>
      <w:rFonts w:asciiTheme="majorHAnsi" w:eastAsiaTheme="majorEastAsia" w:hAnsiTheme="majorHAnsi" w:cstheme="majorBidi"/>
      <w:caps/>
      <w:spacing w:val="10"/>
      <w:kern w:val="28"/>
      <w:sz w:val="44"/>
      <w:szCs w:val="56"/>
      <w14:numForm w14:val="lining"/>
      <w14:numSpacing w14:val="tabular"/>
    </w:rPr>
  </w:style>
  <w:style w:type="paragraph" w:styleId="Podtytu">
    <w:name w:val="Subtitle"/>
    <w:basedOn w:val="Normalny"/>
    <w:next w:val="Normalny"/>
    <w:link w:val="PodtytuZnak"/>
    <w:uiPriority w:val="11"/>
    <w:qFormat/>
    <w:rsid w:val="00543DE8"/>
    <w:pPr>
      <w:numPr>
        <w:ilvl w:val="1"/>
      </w:numPr>
      <w:jc w:val="left"/>
    </w:pPr>
    <w:rPr>
      <w:rFonts w:asciiTheme="majorHAnsi" w:eastAsiaTheme="minorEastAsia" w:hAnsiTheme="majorHAnsi"/>
      <w:caps/>
      <w:spacing w:val="15"/>
    </w:rPr>
  </w:style>
  <w:style w:type="character" w:customStyle="1" w:styleId="PodtytuZnak">
    <w:name w:val="Podtytuł Znak"/>
    <w:basedOn w:val="Domylnaczcionkaakapitu"/>
    <w:link w:val="Podtytu"/>
    <w:uiPriority w:val="11"/>
    <w:rsid w:val="00543DE8"/>
    <w:rPr>
      <w:rFonts w:asciiTheme="majorHAnsi" w:eastAsiaTheme="minorEastAsia" w:hAnsiTheme="majorHAnsi"/>
      <w:caps/>
      <w:spacing w:val="15"/>
      <w:sz w:val="20"/>
    </w:rPr>
  </w:style>
  <w:style w:type="character" w:styleId="Tekstzastpczy">
    <w:name w:val="Placeholder Text"/>
    <w:basedOn w:val="Domylnaczcionkaakapitu"/>
    <w:uiPriority w:val="99"/>
    <w:semiHidden/>
    <w:rsid w:val="00DC1693"/>
    <w:rPr>
      <w:color w:val="808080"/>
    </w:rPr>
  </w:style>
  <w:style w:type="paragraph" w:styleId="Nagwek">
    <w:name w:val="header"/>
    <w:basedOn w:val="Normalny"/>
    <w:link w:val="NagwekZnak"/>
    <w:uiPriority w:val="99"/>
    <w:unhideWhenUsed/>
    <w:rsid w:val="00E9448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94482"/>
  </w:style>
  <w:style w:type="paragraph" w:styleId="Stopka">
    <w:name w:val="footer"/>
    <w:basedOn w:val="Normalny"/>
    <w:link w:val="StopkaZnak"/>
    <w:uiPriority w:val="99"/>
    <w:unhideWhenUsed/>
    <w:rsid w:val="00E9448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94482"/>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FOOTNOTES"/>
    <w:basedOn w:val="Normalny"/>
    <w:link w:val="TekstprzypisudolnegoZnak"/>
    <w:uiPriority w:val="99"/>
    <w:unhideWhenUsed/>
    <w:qFormat/>
    <w:rsid w:val="00CD2A0F"/>
    <w:pPr>
      <w:spacing w:before="0" w:after="80" w:line="240" w:lineRule="auto"/>
      <w:jc w:val="left"/>
    </w:pPr>
    <w:rPr>
      <w:rFonts w:asciiTheme="majorHAnsi" w:hAnsiTheme="majorHAnsi"/>
      <w:szCs w:val="20"/>
      <w14:ligatures w14:val="standard"/>
      <w14:numForm w14:val="lining"/>
      <w14:numSpacing w14:val="tabular"/>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FOOTNOTES Znak"/>
    <w:basedOn w:val="Domylnaczcionkaakapitu"/>
    <w:link w:val="Tekstprzypisudolnego"/>
    <w:uiPriority w:val="99"/>
    <w:rsid w:val="00CD2A0F"/>
    <w:rPr>
      <w:rFonts w:asciiTheme="majorHAnsi" w:hAnsiTheme="majorHAnsi"/>
      <w:sz w:val="20"/>
      <w:szCs w:val="20"/>
      <w14:ligatures w14:val="standard"/>
      <w14:numForm w14:val="lining"/>
      <w14:numSpacing w14:val="tabular"/>
    </w:rPr>
  </w:style>
  <w:style w:type="character" w:styleId="Odwoanieprzypisudolnego">
    <w:name w:val="footnote reference"/>
    <w:aliases w:val="Footnote Reference Number,Footnote symbol,Odwołanie przypisu,Footnote reference number,note TESI,SUPERS,EN Footnote Reference,Footnote number,Ref,de nota al pie,Odwo3anie przypisu,Times 10 Point, Exposant 3 Point,number,16 Poi"/>
    <w:basedOn w:val="Domylnaczcionkaakapitu"/>
    <w:uiPriority w:val="99"/>
    <w:unhideWhenUsed/>
    <w:rsid w:val="00B45827"/>
    <w:rPr>
      <w:vertAlign w:val="superscript"/>
    </w:rPr>
  </w:style>
  <w:style w:type="paragraph" w:styleId="Nagwekspisutreci">
    <w:name w:val="TOC Heading"/>
    <w:basedOn w:val="Nagwek1"/>
    <w:next w:val="Normalny"/>
    <w:uiPriority w:val="39"/>
    <w:unhideWhenUsed/>
    <w:qFormat/>
    <w:rsid w:val="0077367D"/>
    <w:pPr>
      <w:pageBreakBefore w:val="0"/>
      <w:numPr>
        <w:numId w:val="0"/>
      </w:numPr>
      <w:outlineLvl w:val="9"/>
    </w:pPr>
    <w:rPr>
      <w:lang w:eastAsia="pl-PL"/>
    </w:rPr>
  </w:style>
  <w:style w:type="paragraph" w:styleId="Spistreci1">
    <w:name w:val="toc 1"/>
    <w:basedOn w:val="Normalny"/>
    <w:next w:val="Normalny"/>
    <w:autoRedefine/>
    <w:uiPriority w:val="39"/>
    <w:unhideWhenUsed/>
    <w:rsid w:val="00D96C79"/>
    <w:pPr>
      <w:spacing w:after="100"/>
    </w:pPr>
  </w:style>
  <w:style w:type="paragraph" w:styleId="Spistreci2">
    <w:name w:val="toc 2"/>
    <w:basedOn w:val="Normalny"/>
    <w:next w:val="Normalny"/>
    <w:autoRedefine/>
    <w:uiPriority w:val="39"/>
    <w:unhideWhenUsed/>
    <w:rsid w:val="00D96C79"/>
    <w:pPr>
      <w:spacing w:after="100"/>
      <w:ind w:left="220"/>
    </w:pPr>
  </w:style>
  <w:style w:type="paragraph" w:styleId="Spistreci3">
    <w:name w:val="toc 3"/>
    <w:basedOn w:val="Normalny"/>
    <w:next w:val="Normalny"/>
    <w:autoRedefine/>
    <w:uiPriority w:val="39"/>
    <w:unhideWhenUsed/>
    <w:rsid w:val="00D96C79"/>
    <w:pPr>
      <w:spacing w:after="100"/>
      <w:ind w:left="440"/>
    </w:pPr>
  </w:style>
  <w:style w:type="character" w:styleId="Hipercze">
    <w:name w:val="Hyperlink"/>
    <w:basedOn w:val="Domylnaczcionkaakapitu"/>
    <w:uiPriority w:val="99"/>
    <w:unhideWhenUsed/>
    <w:rsid w:val="00D96C79"/>
    <w:rPr>
      <w:color w:val="0563C1" w:themeColor="hyperlink"/>
      <w:u w:val="single"/>
    </w:rPr>
  </w:style>
  <w:style w:type="paragraph" w:styleId="Cytat">
    <w:name w:val="Quote"/>
    <w:basedOn w:val="Normalny"/>
    <w:next w:val="Normalny"/>
    <w:link w:val="CytatZnak"/>
    <w:uiPriority w:val="29"/>
    <w:qFormat/>
    <w:rsid w:val="00B344B9"/>
    <w:pPr>
      <w:spacing w:before="80" w:after="80"/>
    </w:pPr>
    <w:rPr>
      <w:rFonts w:asciiTheme="majorHAnsi" w:hAnsiTheme="majorHAnsi"/>
      <w:b/>
    </w:rPr>
  </w:style>
  <w:style w:type="character" w:customStyle="1" w:styleId="CytatZnak">
    <w:name w:val="Cytat Znak"/>
    <w:basedOn w:val="Domylnaczcionkaakapitu"/>
    <w:link w:val="Cytat"/>
    <w:uiPriority w:val="29"/>
    <w:rsid w:val="00B344B9"/>
    <w:rPr>
      <w:rFonts w:asciiTheme="majorHAnsi" w:hAnsiTheme="majorHAnsi"/>
      <w:b/>
    </w:rPr>
  </w:style>
  <w:style w:type="table" w:customStyle="1" w:styleId="WolanskiCorpTabela">
    <w:name w:val="Wolanski Corp Tabela"/>
    <w:basedOn w:val="Standardowy"/>
    <w:uiPriority w:val="99"/>
    <w:rsid w:val="00185128"/>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paragraph" w:styleId="Akapitzlist">
    <w:name w:val="List Paragraph"/>
    <w:aliases w:val="maz_wyliczenie,opis dzialania,K-P_odwolanie,A_wyliczenie,Akapit z listą5CxSpLast,Akapit z list15CxSpLast"/>
    <w:basedOn w:val="Normalny"/>
    <w:link w:val="AkapitzlistZnak"/>
    <w:uiPriority w:val="34"/>
    <w:qFormat/>
    <w:rsid w:val="008A70F5"/>
    <w:pPr>
      <w:ind w:left="720"/>
      <w:contextualSpacing/>
    </w:pPr>
  </w:style>
  <w:style w:type="paragraph" w:styleId="Legenda">
    <w:name w:val="caption"/>
    <w:aliases w:val="Tytuł tabeli"/>
    <w:basedOn w:val="Normalny"/>
    <w:next w:val="Normalny"/>
    <w:link w:val="LegendaZnak"/>
    <w:uiPriority w:val="35"/>
    <w:unhideWhenUsed/>
    <w:qFormat/>
    <w:rsid w:val="009449E2"/>
    <w:pPr>
      <w:keepNext/>
      <w:spacing w:line="240" w:lineRule="auto"/>
    </w:pPr>
    <w:rPr>
      <w:rFonts w:asciiTheme="majorHAnsi" w:hAnsiTheme="majorHAnsi"/>
      <w:iCs/>
      <w:color w:val="000000" w:themeColor="text1"/>
      <w:szCs w:val="18"/>
    </w:rPr>
  </w:style>
  <w:style w:type="character" w:customStyle="1" w:styleId="LegendaZnak">
    <w:name w:val="Legenda Znak"/>
    <w:aliases w:val="Tytuł tabeli Znak"/>
    <w:link w:val="Legenda"/>
    <w:uiPriority w:val="35"/>
    <w:rsid w:val="009449E2"/>
    <w:rPr>
      <w:rFonts w:asciiTheme="majorHAnsi" w:hAnsiTheme="majorHAnsi"/>
      <w:iCs/>
      <w:color w:val="000000" w:themeColor="text1"/>
      <w:sz w:val="20"/>
      <w:szCs w:val="18"/>
    </w:rPr>
  </w:style>
  <w:style w:type="paragraph" w:styleId="Podpis">
    <w:name w:val="Signature"/>
    <w:basedOn w:val="Legenda"/>
    <w:link w:val="PodpisZnak"/>
    <w:uiPriority w:val="99"/>
    <w:unhideWhenUsed/>
    <w:rsid w:val="00AE283A"/>
    <w:pPr>
      <w:keepNext w:val="0"/>
    </w:pPr>
  </w:style>
  <w:style w:type="character" w:customStyle="1" w:styleId="PodpisZnak">
    <w:name w:val="Podpis Znak"/>
    <w:basedOn w:val="Domylnaczcionkaakapitu"/>
    <w:link w:val="Podpis"/>
    <w:uiPriority w:val="99"/>
    <w:rsid w:val="00AE283A"/>
    <w:rPr>
      <w:rFonts w:asciiTheme="majorHAnsi" w:hAnsiTheme="majorHAnsi"/>
      <w:iCs/>
      <w:color w:val="000000" w:themeColor="text1"/>
      <w:sz w:val="20"/>
      <w:szCs w:val="18"/>
    </w:rPr>
  </w:style>
  <w:style w:type="paragraph" w:styleId="Tekstdymka">
    <w:name w:val="Balloon Text"/>
    <w:basedOn w:val="Normalny"/>
    <w:link w:val="TekstdymkaZnak"/>
    <w:uiPriority w:val="99"/>
    <w:semiHidden/>
    <w:unhideWhenUsed/>
    <w:rsid w:val="001C40B4"/>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C40B4"/>
    <w:rPr>
      <w:rFonts w:ascii="Segoe UI" w:hAnsi="Segoe UI" w:cs="Segoe UI"/>
      <w:sz w:val="18"/>
      <w:szCs w:val="18"/>
    </w:rPr>
  </w:style>
  <w:style w:type="character" w:styleId="Odwoaniedokomentarza">
    <w:name w:val="annotation reference"/>
    <w:basedOn w:val="Domylnaczcionkaakapitu"/>
    <w:uiPriority w:val="99"/>
    <w:semiHidden/>
    <w:unhideWhenUsed/>
    <w:rsid w:val="00252E73"/>
    <w:rPr>
      <w:sz w:val="16"/>
      <w:szCs w:val="16"/>
    </w:rPr>
  </w:style>
  <w:style w:type="paragraph" w:styleId="Tekstkomentarza">
    <w:name w:val="annotation text"/>
    <w:basedOn w:val="Normalny"/>
    <w:link w:val="TekstkomentarzaZnak"/>
    <w:uiPriority w:val="99"/>
    <w:unhideWhenUsed/>
    <w:rsid w:val="00252E73"/>
    <w:pPr>
      <w:spacing w:line="240" w:lineRule="auto"/>
    </w:pPr>
    <w:rPr>
      <w:szCs w:val="20"/>
    </w:rPr>
  </w:style>
  <w:style w:type="character" w:customStyle="1" w:styleId="TekstkomentarzaZnak">
    <w:name w:val="Tekst komentarza Znak"/>
    <w:basedOn w:val="Domylnaczcionkaakapitu"/>
    <w:link w:val="Tekstkomentarza"/>
    <w:uiPriority w:val="99"/>
    <w:rsid w:val="00252E73"/>
    <w:rPr>
      <w:sz w:val="20"/>
      <w:szCs w:val="20"/>
    </w:rPr>
  </w:style>
  <w:style w:type="paragraph" w:styleId="Tematkomentarza">
    <w:name w:val="annotation subject"/>
    <w:basedOn w:val="Tekstkomentarza"/>
    <w:next w:val="Tekstkomentarza"/>
    <w:link w:val="TematkomentarzaZnak"/>
    <w:uiPriority w:val="99"/>
    <w:semiHidden/>
    <w:unhideWhenUsed/>
    <w:rsid w:val="00252E73"/>
    <w:rPr>
      <w:b/>
      <w:bCs/>
    </w:rPr>
  </w:style>
  <w:style w:type="character" w:customStyle="1" w:styleId="TematkomentarzaZnak">
    <w:name w:val="Temat komentarza Znak"/>
    <w:basedOn w:val="TekstkomentarzaZnak"/>
    <w:link w:val="Tematkomentarza"/>
    <w:uiPriority w:val="99"/>
    <w:semiHidden/>
    <w:rsid w:val="00252E73"/>
    <w:rPr>
      <w:b/>
      <w:bCs/>
      <w:sz w:val="20"/>
      <w:szCs w:val="20"/>
    </w:rPr>
  </w:style>
  <w:style w:type="paragraph" w:styleId="Tekstprzypisukocowego">
    <w:name w:val="endnote text"/>
    <w:basedOn w:val="Normalny"/>
    <w:link w:val="TekstprzypisukocowegoZnak"/>
    <w:uiPriority w:val="99"/>
    <w:semiHidden/>
    <w:unhideWhenUsed/>
    <w:rsid w:val="00567D57"/>
    <w:pPr>
      <w:spacing w:before="0" w:after="0" w:line="240" w:lineRule="auto"/>
    </w:pPr>
    <w:rPr>
      <w:szCs w:val="20"/>
    </w:rPr>
  </w:style>
  <w:style w:type="character" w:customStyle="1" w:styleId="TekstprzypisukocowegoZnak">
    <w:name w:val="Tekst przypisu końcowego Znak"/>
    <w:basedOn w:val="Domylnaczcionkaakapitu"/>
    <w:link w:val="Tekstprzypisukocowego"/>
    <w:uiPriority w:val="99"/>
    <w:semiHidden/>
    <w:rsid w:val="00567D57"/>
    <w:rPr>
      <w:sz w:val="20"/>
      <w:szCs w:val="20"/>
    </w:rPr>
  </w:style>
  <w:style w:type="character" w:styleId="Odwoanieprzypisukocowego">
    <w:name w:val="endnote reference"/>
    <w:basedOn w:val="Domylnaczcionkaakapitu"/>
    <w:uiPriority w:val="99"/>
    <w:semiHidden/>
    <w:unhideWhenUsed/>
    <w:rsid w:val="00567D57"/>
    <w:rPr>
      <w:vertAlign w:val="superscript"/>
    </w:rPr>
  </w:style>
  <w:style w:type="character" w:customStyle="1" w:styleId="Brak">
    <w:name w:val="Brak"/>
    <w:rsid w:val="00B0276C"/>
  </w:style>
  <w:style w:type="paragraph" w:styleId="Poprawka">
    <w:name w:val="Revision"/>
    <w:hidden/>
    <w:uiPriority w:val="99"/>
    <w:semiHidden/>
    <w:rsid w:val="0013466E"/>
    <w:pPr>
      <w:spacing w:after="0" w:line="240" w:lineRule="auto"/>
    </w:pPr>
  </w:style>
  <w:style w:type="character" w:styleId="UyteHipercze">
    <w:name w:val="FollowedHyperlink"/>
    <w:basedOn w:val="Domylnaczcionkaakapitu"/>
    <w:uiPriority w:val="99"/>
    <w:semiHidden/>
    <w:unhideWhenUsed/>
    <w:rsid w:val="00F765E2"/>
    <w:rPr>
      <w:color w:val="954F72" w:themeColor="followedHyperlink"/>
      <w:u w:val="single"/>
    </w:rPr>
  </w:style>
  <w:style w:type="character" w:customStyle="1" w:styleId="Nierozpoznanawzmianka1">
    <w:name w:val="Nierozpoznana wzmianka1"/>
    <w:basedOn w:val="Domylnaczcionkaakapitu"/>
    <w:uiPriority w:val="99"/>
    <w:semiHidden/>
    <w:unhideWhenUsed/>
    <w:rsid w:val="00B7391B"/>
    <w:rPr>
      <w:color w:val="808080"/>
      <w:shd w:val="clear" w:color="auto" w:fill="E6E6E6"/>
    </w:rPr>
  </w:style>
  <w:style w:type="character" w:customStyle="1" w:styleId="Nierozpoznanawzmianka2">
    <w:name w:val="Nierozpoznana wzmianka2"/>
    <w:basedOn w:val="Domylnaczcionkaakapitu"/>
    <w:uiPriority w:val="99"/>
    <w:semiHidden/>
    <w:unhideWhenUsed/>
    <w:rsid w:val="00273DAC"/>
    <w:rPr>
      <w:color w:val="808080"/>
      <w:shd w:val="clear" w:color="auto" w:fill="E6E6E6"/>
    </w:rPr>
  </w:style>
  <w:style w:type="paragraph" w:styleId="Spistreci4">
    <w:name w:val="toc 4"/>
    <w:basedOn w:val="Normalny"/>
    <w:next w:val="Normalny"/>
    <w:autoRedefine/>
    <w:uiPriority w:val="39"/>
    <w:unhideWhenUsed/>
    <w:rsid w:val="004B5FCB"/>
    <w:pPr>
      <w:spacing w:before="0" w:after="100" w:line="259" w:lineRule="auto"/>
      <w:ind w:left="660"/>
      <w:jc w:val="left"/>
    </w:pPr>
    <w:rPr>
      <w:rFonts w:eastAsiaTheme="minorEastAsia"/>
      <w:lang w:eastAsia="pl-PL"/>
    </w:rPr>
  </w:style>
  <w:style w:type="paragraph" w:styleId="Spistreci5">
    <w:name w:val="toc 5"/>
    <w:basedOn w:val="Normalny"/>
    <w:next w:val="Normalny"/>
    <w:autoRedefine/>
    <w:uiPriority w:val="39"/>
    <w:unhideWhenUsed/>
    <w:rsid w:val="004B5FCB"/>
    <w:pPr>
      <w:spacing w:before="0" w:after="100" w:line="259" w:lineRule="auto"/>
      <w:ind w:left="880"/>
      <w:jc w:val="left"/>
    </w:pPr>
    <w:rPr>
      <w:rFonts w:eastAsiaTheme="minorEastAsia"/>
      <w:lang w:eastAsia="pl-PL"/>
    </w:rPr>
  </w:style>
  <w:style w:type="paragraph" w:styleId="Spistreci6">
    <w:name w:val="toc 6"/>
    <w:basedOn w:val="Normalny"/>
    <w:next w:val="Normalny"/>
    <w:autoRedefine/>
    <w:uiPriority w:val="39"/>
    <w:unhideWhenUsed/>
    <w:rsid w:val="004B5FCB"/>
    <w:pPr>
      <w:spacing w:before="0" w:after="100" w:line="259" w:lineRule="auto"/>
      <w:ind w:left="1100"/>
      <w:jc w:val="left"/>
    </w:pPr>
    <w:rPr>
      <w:rFonts w:eastAsiaTheme="minorEastAsia"/>
      <w:lang w:eastAsia="pl-PL"/>
    </w:rPr>
  </w:style>
  <w:style w:type="paragraph" w:styleId="Spistreci7">
    <w:name w:val="toc 7"/>
    <w:basedOn w:val="Normalny"/>
    <w:next w:val="Normalny"/>
    <w:autoRedefine/>
    <w:uiPriority w:val="39"/>
    <w:unhideWhenUsed/>
    <w:rsid w:val="004B5FCB"/>
    <w:pPr>
      <w:spacing w:before="0" w:after="100" w:line="259" w:lineRule="auto"/>
      <w:ind w:left="1320"/>
      <w:jc w:val="left"/>
    </w:pPr>
    <w:rPr>
      <w:rFonts w:eastAsiaTheme="minorEastAsia"/>
      <w:lang w:eastAsia="pl-PL"/>
    </w:rPr>
  </w:style>
  <w:style w:type="paragraph" w:styleId="Spistreci8">
    <w:name w:val="toc 8"/>
    <w:basedOn w:val="Normalny"/>
    <w:next w:val="Normalny"/>
    <w:autoRedefine/>
    <w:uiPriority w:val="39"/>
    <w:unhideWhenUsed/>
    <w:rsid w:val="004B5FCB"/>
    <w:pPr>
      <w:spacing w:before="0" w:after="100" w:line="259" w:lineRule="auto"/>
      <w:ind w:left="1540"/>
      <w:jc w:val="left"/>
    </w:pPr>
    <w:rPr>
      <w:rFonts w:eastAsiaTheme="minorEastAsia"/>
      <w:lang w:eastAsia="pl-PL"/>
    </w:rPr>
  </w:style>
  <w:style w:type="paragraph" w:styleId="Spistreci9">
    <w:name w:val="toc 9"/>
    <w:basedOn w:val="Normalny"/>
    <w:next w:val="Normalny"/>
    <w:autoRedefine/>
    <w:uiPriority w:val="39"/>
    <w:unhideWhenUsed/>
    <w:rsid w:val="004B5FCB"/>
    <w:pPr>
      <w:spacing w:before="0" w:after="100" w:line="259" w:lineRule="auto"/>
      <w:ind w:left="1760"/>
      <w:jc w:val="left"/>
    </w:pPr>
    <w:rPr>
      <w:rFonts w:eastAsiaTheme="minorEastAsia"/>
      <w:lang w:eastAsia="pl-PL"/>
    </w:rPr>
  </w:style>
  <w:style w:type="character" w:customStyle="1" w:styleId="Nierozpoznanawzmianka3">
    <w:name w:val="Nierozpoznana wzmianka3"/>
    <w:basedOn w:val="Domylnaczcionkaakapitu"/>
    <w:uiPriority w:val="99"/>
    <w:semiHidden/>
    <w:unhideWhenUsed/>
    <w:rsid w:val="00A433DB"/>
    <w:rPr>
      <w:color w:val="808080"/>
      <w:shd w:val="clear" w:color="auto" w:fill="E6E6E6"/>
    </w:rPr>
  </w:style>
  <w:style w:type="table" w:customStyle="1" w:styleId="Box">
    <w:name w:val="Box"/>
    <w:basedOn w:val="Standardowy"/>
    <w:uiPriority w:val="99"/>
    <w:rsid w:val="001703EA"/>
    <w:pPr>
      <w:spacing w:after="0" w:line="240" w:lineRule="auto"/>
      <w:jc w:val="center"/>
    </w:pPr>
    <w:rPr>
      <w:rFonts w:asciiTheme="majorHAnsi" w:hAnsiTheme="majorHAnsi"/>
      <w:b/>
      <w:sz w:val="20"/>
    </w:rPr>
    <w:tblPr>
      <w:tblInd w:w="-992" w:type="dxa"/>
      <w:tblBorders>
        <w:top w:val="single" w:sz="12" w:space="0" w:color="FFC800" w:themeColor="accent2"/>
        <w:bottom w:val="single" w:sz="12" w:space="0" w:color="FFC800" w:themeColor="accent2"/>
        <w:insideH w:val="single" w:sz="12" w:space="0" w:color="FFC800" w:themeColor="accent2"/>
      </w:tblBorders>
      <w:tblCellMar>
        <w:left w:w="0" w:type="dxa"/>
        <w:right w:w="0" w:type="dxa"/>
      </w:tblCellMar>
    </w:tblPr>
    <w:tcPr>
      <w:vAlign w:val="center"/>
    </w:tcPr>
    <w:tblStylePr w:type="firstRow">
      <w:pPr>
        <w:wordWrap/>
        <w:jc w:val="both"/>
      </w:pPr>
      <w:rPr>
        <w:rFonts w:asciiTheme="majorHAnsi" w:hAnsiTheme="majorHAnsi"/>
        <w:b w:val="0"/>
      </w:rPr>
      <w:tblPr/>
      <w:tcPr>
        <w:vAlign w:val="center"/>
      </w:tcPr>
    </w:tblStylePr>
    <w:tblStylePr w:type="firstCol">
      <w:pPr>
        <w:wordWrap/>
        <w:spacing w:beforeLines="0" w:before="120" w:beforeAutospacing="0" w:afterLines="0" w:after="120" w:afterAutospacing="0"/>
        <w:contextualSpacing w:val="0"/>
        <w:jc w:val="center"/>
      </w:pPr>
      <w:rPr>
        <w:rFonts w:asciiTheme="majorHAnsi" w:hAnsiTheme="majorHAnsi"/>
        <w:b/>
        <w:color w:val="FFC800" w:themeColor="accent2"/>
        <w:sz w:val="72"/>
      </w:rPr>
      <w:tblPr/>
      <w:tcPr>
        <w:vAlign w:val="center"/>
      </w:tcPr>
    </w:tblStylePr>
    <w:tblStylePr w:type="lastCol">
      <w:pPr>
        <w:wordWrap/>
        <w:spacing w:afterLines="0" w:after="120" w:afterAutospacing="0"/>
        <w:ind w:rightChars="0" w:right="227"/>
        <w:contextualSpacing w:val="0"/>
        <w:mirrorIndents w:val="0"/>
        <w:jc w:val="left"/>
      </w:pPr>
      <w:tblPr/>
      <w:tcPr>
        <w:vAlign w:val="center"/>
      </w:tcPr>
    </w:tblStylePr>
  </w:style>
  <w:style w:type="table" w:customStyle="1" w:styleId="Tekstdwukolumnowy">
    <w:name w:val="Tekst dwukolumnowy"/>
    <w:basedOn w:val="Standardowy"/>
    <w:uiPriority w:val="99"/>
    <w:rsid w:val="00FA539E"/>
    <w:pPr>
      <w:spacing w:after="0" w:line="240" w:lineRule="auto"/>
      <w:jc w:val="both"/>
    </w:pPr>
    <w:tblPr>
      <w:tblCellMar>
        <w:left w:w="0" w:type="dxa"/>
        <w:right w:w="0" w:type="dxa"/>
      </w:tblCellMar>
    </w:tblPr>
    <w:tblStylePr w:type="firstCol">
      <w:tblPr/>
      <w:tcPr>
        <w:tcMar>
          <w:top w:w="0" w:type="nil"/>
          <w:left w:w="0" w:type="nil"/>
          <w:bottom w:w="0" w:type="nil"/>
          <w:right w:w="227" w:type="dxa"/>
        </w:tcMar>
      </w:tcPr>
    </w:tblStylePr>
  </w:style>
  <w:style w:type="character" w:customStyle="1" w:styleId="AkapitzlistZnak">
    <w:name w:val="Akapit z listą Znak"/>
    <w:aliases w:val="maz_wyliczenie Znak,opis dzialania Znak,K-P_odwolanie Znak,A_wyliczenie Znak,Akapit z listą5CxSpLast Znak,Akapit z list15CxSpLast Znak"/>
    <w:link w:val="Akapitzlist"/>
    <w:uiPriority w:val="34"/>
    <w:qFormat/>
    <w:locked/>
    <w:rsid w:val="009B7FB9"/>
    <w:rPr>
      <w:sz w:val="20"/>
    </w:rPr>
  </w:style>
  <w:style w:type="table" w:customStyle="1" w:styleId="WolanskiCorpTabela1">
    <w:name w:val="Wolanski Corp Tabela1"/>
    <w:basedOn w:val="Standardowy"/>
    <w:uiPriority w:val="99"/>
    <w:rsid w:val="00397D86"/>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Corbel" w:hAnsi="Corbel"/>
        <w:b/>
        <w:caps/>
        <w:smallCaps w:val="0"/>
        <w:sz w:val="20"/>
      </w:rPr>
      <w:tblPr/>
      <w:trPr>
        <w:tblHeader/>
      </w:trPr>
      <w:tcPr>
        <w:shd w:val="clear" w:color="auto" w:fill="FFC800"/>
        <w:vAlign w:val="center"/>
      </w:tcPr>
    </w:tblStylePr>
    <w:tblStylePr w:type="firstCol">
      <w:pPr>
        <w:jc w:val="left"/>
      </w:pPr>
      <w:rPr>
        <w:rFonts w:ascii="Corbel" w:hAnsi="Corbel"/>
        <w:b/>
        <w:i w:val="0"/>
        <w:caps/>
        <w:smallCaps w:val="0"/>
        <w:color w:val="auto"/>
      </w:rPr>
      <w:tblPr/>
      <w:tcPr>
        <w:shd w:val="clear" w:color="auto" w:fill="FFC800"/>
        <w:vAlign w:val="center"/>
      </w:tcPr>
    </w:tblStylePr>
    <w:tblStylePr w:type="band1Horz">
      <w:tblPr/>
      <w:tcPr>
        <w:shd w:val="clear" w:color="auto" w:fill="EFEFEF"/>
      </w:tcPr>
    </w:tblStylePr>
  </w:style>
  <w:style w:type="paragraph" w:customStyle="1" w:styleId="rdo">
    <w:name w:val="źródło"/>
    <w:basedOn w:val="Legenda"/>
    <w:next w:val="Normalny"/>
    <w:link w:val="rdoZnak"/>
    <w:qFormat/>
    <w:rsid w:val="00D0531A"/>
    <w:pPr>
      <w:keepNext w:val="0"/>
      <w:spacing w:before="0" w:after="120"/>
      <w:jc w:val="left"/>
    </w:pPr>
    <w:rPr>
      <w:rFonts w:eastAsia="Calibri" w:cs="Times New Roman"/>
      <w:bCs/>
      <w:iCs w:val="0"/>
    </w:rPr>
  </w:style>
  <w:style w:type="character" w:customStyle="1" w:styleId="rdoZnak">
    <w:name w:val="źródło Znak"/>
    <w:basedOn w:val="LegendaZnak"/>
    <w:link w:val="rdo"/>
    <w:rsid w:val="00D0531A"/>
    <w:rPr>
      <w:rFonts w:asciiTheme="majorHAnsi" w:eastAsia="Calibri" w:hAnsiTheme="majorHAnsi" w:cs="Times New Roman"/>
      <w:bCs/>
      <w:iCs w:val="0"/>
      <w:color w:val="000000" w:themeColor="text1"/>
      <w:sz w:val="20"/>
      <w:szCs w:val="18"/>
    </w:rPr>
  </w:style>
  <w:style w:type="table" w:customStyle="1" w:styleId="WolanskiCorpTabela3">
    <w:name w:val="Wolanski Corp Tabela3"/>
    <w:basedOn w:val="Standardowy"/>
    <w:uiPriority w:val="99"/>
    <w:rsid w:val="004C39AB"/>
    <w:pPr>
      <w:tabs>
        <w:tab w:val="left" w:pos="284"/>
      </w:tabs>
      <w:spacing w:after="120" w:line="240" w:lineRule="auto"/>
    </w:pPr>
    <w:rPr>
      <w:sz w:val="20"/>
    </w:rPr>
    <w:tblPr>
      <w:tblStyleRowBandSize w:val="1"/>
      <w:tblBorders>
        <w:insideV w:val="single" w:sz="4" w:space="0" w:color="auto"/>
      </w:tblBorders>
    </w:tblPr>
    <w:trPr>
      <w:cantSplit/>
    </w:trPr>
    <w:tblStylePr w:type="firstRow">
      <w:pPr>
        <w:jc w:val="left"/>
      </w:pPr>
      <w:rPr>
        <w:rFonts w:ascii="Corbel" w:hAnsi="Corbel"/>
        <w:b/>
        <w:caps/>
        <w:smallCaps w:val="0"/>
        <w:sz w:val="20"/>
      </w:rPr>
      <w:tblPr/>
      <w:trPr>
        <w:tblHeader/>
      </w:trPr>
      <w:tcPr>
        <w:shd w:val="clear" w:color="auto" w:fill="FFC800"/>
        <w:vAlign w:val="center"/>
      </w:tcPr>
    </w:tblStylePr>
    <w:tblStylePr w:type="band1Horz">
      <w:tblPr/>
      <w:tcPr>
        <w:shd w:val="clear" w:color="auto" w:fill="EFEFEF"/>
      </w:tcPr>
    </w:tblStylePr>
  </w:style>
  <w:style w:type="table" w:customStyle="1" w:styleId="WolanskiCorpTabela2">
    <w:name w:val="Wolanski Corp Tabela2"/>
    <w:basedOn w:val="Standardowy"/>
    <w:uiPriority w:val="99"/>
    <w:rsid w:val="00E2507A"/>
    <w:pPr>
      <w:tabs>
        <w:tab w:val="left" w:pos="284"/>
      </w:tabs>
      <w:spacing w:after="120" w:line="240" w:lineRule="auto"/>
    </w:pPr>
    <w:rPr>
      <w:sz w:val="20"/>
    </w:rPr>
    <w:tblPr>
      <w:tblStyleRowBandSize w:val="1"/>
      <w:tblBorders>
        <w:insideV w:val="single" w:sz="4" w:space="0" w:color="auto"/>
      </w:tblBorders>
    </w:tblPr>
    <w:trPr>
      <w:cantSplit/>
    </w:trPr>
    <w:tblStylePr w:type="firstRow">
      <w:pPr>
        <w:jc w:val="left"/>
      </w:pPr>
      <w:rPr>
        <w:rFonts w:ascii="Corbel" w:hAnsi="Corbel"/>
        <w:b/>
        <w:caps/>
        <w:smallCaps w:val="0"/>
        <w:sz w:val="20"/>
      </w:rPr>
      <w:tblPr/>
      <w:trPr>
        <w:tblHeader/>
      </w:trPr>
      <w:tcPr>
        <w:shd w:val="clear" w:color="auto" w:fill="FFC800"/>
        <w:vAlign w:val="center"/>
      </w:tcPr>
    </w:tblStylePr>
    <w:tblStylePr w:type="band1Horz">
      <w:tblPr/>
      <w:tcPr>
        <w:shd w:val="clear" w:color="auto" w:fill="EFEFEF"/>
      </w:tcPr>
    </w:tblStylePr>
  </w:style>
  <w:style w:type="table" w:customStyle="1" w:styleId="WolanskiCorpTabela4">
    <w:name w:val="Wolanski Corp Tabela4"/>
    <w:basedOn w:val="Standardowy"/>
    <w:uiPriority w:val="99"/>
    <w:rsid w:val="00FF08AB"/>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table" w:customStyle="1" w:styleId="WolanskiCorpTabela11">
    <w:name w:val="Wolanski Corp Tabela11"/>
    <w:basedOn w:val="Standardowy"/>
    <w:uiPriority w:val="99"/>
    <w:rsid w:val="00257C54"/>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Theme="majorHAnsi" w:hAnsiTheme="majorHAnsi"/>
        <w:b/>
        <w:caps/>
        <w:smallCaps w:val="0"/>
        <w:sz w:val="20"/>
      </w:rPr>
      <w:tblPr/>
      <w:trPr>
        <w:tblHeader/>
      </w:trPr>
      <w:tcPr>
        <w:shd w:val="clear" w:color="auto" w:fill="FFC800" w:themeFill="accent2"/>
        <w:vAlign w:val="center"/>
      </w:tcPr>
    </w:tblStylePr>
    <w:tblStylePr w:type="firstCol">
      <w:pPr>
        <w:jc w:val="left"/>
      </w:pPr>
      <w:rPr>
        <w:rFonts w:asciiTheme="majorHAnsi" w:hAnsiTheme="majorHAnsi"/>
        <w:b/>
        <w:i w:val="0"/>
        <w:caps/>
        <w:smallCaps w:val="0"/>
        <w:color w:val="auto"/>
      </w:rPr>
      <w:tblPr/>
      <w:tcPr>
        <w:shd w:val="clear" w:color="auto" w:fill="FFC800" w:themeFill="accent2"/>
        <w:vAlign w:val="center"/>
      </w:tcPr>
    </w:tblStylePr>
    <w:tblStylePr w:type="band1Horz">
      <w:tblPr/>
      <w:tcPr>
        <w:shd w:val="clear" w:color="auto" w:fill="EFEFEF" w:themeFill="background2"/>
      </w:tcPr>
    </w:tblStylePr>
  </w:style>
  <w:style w:type="character" w:customStyle="1" w:styleId="fontstyle01">
    <w:name w:val="fontstyle01"/>
    <w:basedOn w:val="Domylnaczcionkaakapitu"/>
    <w:rsid w:val="00397C11"/>
    <w:rPr>
      <w:rFonts w:ascii="Lora" w:hAnsi="Lora" w:hint="default"/>
      <w:b w:val="0"/>
      <w:bCs w:val="0"/>
      <w:i w:val="0"/>
      <w:iCs w:val="0"/>
      <w:color w:val="000000"/>
      <w:sz w:val="18"/>
      <w:szCs w:val="18"/>
    </w:rPr>
  </w:style>
  <w:style w:type="table" w:customStyle="1" w:styleId="WolanskiCorpTabela5">
    <w:name w:val="Wolanski Corp Tabela5"/>
    <w:basedOn w:val="Standardowy"/>
    <w:uiPriority w:val="99"/>
    <w:rsid w:val="00E91B7A"/>
    <w:pPr>
      <w:tabs>
        <w:tab w:val="left" w:pos="284"/>
      </w:tabs>
      <w:spacing w:before="60" w:after="60" w:line="240" w:lineRule="auto"/>
    </w:pPr>
    <w:rPr>
      <w:sz w:val="20"/>
    </w:rPr>
    <w:tblPr>
      <w:tblStyleRowBandSize w:val="1"/>
      <w:tblBorders>
        <w:insideV w:val="single" w:sz="4" w:space="0" w:color="auto"/>
      </w:tblBorders>
    </w:tblPr>
    <w:trPr>
      <w:cantSplit/>
    </w:trPr>
    <w:tcPr>
      <w:vAlign w:val="center"/>
    </w:tcPr>
    <w:tblStylePr w:type="firstRow">
      <w:pPr>
        <w:jc w:val="left"/>
      </w:pPr>
      <w:rPr>
        <w:rFonts w:ascii="Corbel" w:hAnsi="Corbel"/>
        <w:b/>
        <w:caps/>
        <w:smallCaps w:val="0"/>
        <w:sz w:val="20"/>
      </w:rPr>
      <w:tblPr/>
      <w:trPr>
        <w:tblHeader/>
      </w:trPr>
      <w:tcPr>
        <w:shd w:val="clear" w:color="auto" w:fill="FFC800"/>
        <w:vAlign w:val="center"/>
      </w:tcPr>
    </w:tblStylePr>
    <w:tblStylePr w:type="firstCol">
      <w:pPr>
        <w:jc w:val="left"/>
      </w:pPr>
      <w:rPr>
        <w:rFonts w:ascii="Corbel" w:hAnsi="Corbel"/>
        <w:b/>
        <w:i w:val="0"/>
        <w:caps/>
        <w:smallCaps w:val="0"/>
        <w:color w:val="auto"/>
      </w:rPr>
      <w:tblPr/>
      <w:tcPr>
        <w:shd w:val="clear" w:color="auto" w:fill="FFC800"/>
        <w:vAlign w:val="center"/>
      </w:tcPr>
    </w:tblStylePr>
    <w:tblStylePr w:type="band1Horz">
      <w:tblPr/>
      <w:tcPr>
        <w:shd w:val="clear" w:color="auto" w:fill="EFEFEF"/>
      </w:tcPr>
    </w:tblStylePr>
  </w:style>
  <w:style w:type="paragraph" w:styleId="Spisilustracji">
    <w:name w:val="table of figures"/>
    <w:basedOn w:val="Normalny"/>
    <w:next w:val="Normalny"/>
    <w:uiPriority w:val="99"/>
    <w:unhideWhenUsed/>
    <w:rsid w:val="004C5F93"/>
    <w:pPr>
      <w:spacing w:after="0"/>
    </w:pPr>
  </w:style>
  <w:style w:type="character" w:customStyle="1" w:styleId="tlid-translation">
    <w:name w:val="tlid-translation"/>
    <w:basedOn w:val="Domylnaczcionkaakapitu"/>
    <w:rsid w:val="00A937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388325">
      <w:bodyDiv w:val="1"/>
      <w:marLeft w:val="0"/>
      <w:marRight w:val="0"/>
      <w:marTop w:val="0"/>
      <w:marBottom w:val="0"/>
      <w:divBdr>
        <w:top w:val="none" w:sz="0" w:space="0" w:color="auto"/>
        <w:left w:val="none" w:sz="0" w:space="0" w:color="auto"/>
        <w:bottom w:val="none" w:sz="0" w:space="0" w:color="auto"/>
        <w:right w:val="none" w:sz="0" w:space="0" w:color="auto"/>
      </w:divBdr>
    </w:div>
    <w:div w:id="60451133">
      <w:bodyDiv w:val="1"/>
      <w:marLeft w:val="0"/>
      <w:marRight w:val="0"/>
      <w:marTop w:val="0"/>
      <w:marBottom w:val="0"/>
      <w:divBdr>
        <w:top w:val="none" w:sz="0" w:space="0" w:color="auto"/>
        <w:left w:val="none" w:sz="0" w:space="0" w:color="auto"/>
        <w:bottom w:val="none" w:sz="0" w:space="0" w:color="auto"/>
        <w:right w:val="none" w:sz="0" w:space="0" w:color="auto"/>
      </w:divBdr>
    </w:div>
    <w:div w:id="69086351">
      <w:bodyDiv w:val="1"/>
      <w:marLeft w:val="0"/>
      <w:marRight w:val="0"/>
      <w:marTop w:val="0"/>
      <w:marBottom w:val="0"/>
      <w:divBdr>
        <w:top w:val="none" w:sz="0" w:space="0" w:color="auto"/>
        <w:left w:val="none" w:sz="0" w:space="0" w:color="auto"/>
        <w:bottom w:val="none" w:sz="0" w:space="0" w:color="auto"/>
        <w:right w:val="none" w:sz="0" w:space="0" w:color="auto"/>
      </w:divBdr>
    </w:div>
    <w:div w:id="82264797">
      <w:bodyDiv w:val="1"/>
      <w:marLeft w:val="0"/>
      <w:marRight w:val="0"/>
      <w:marTop w:val="0"/>
      <w:marBottom w:val="0"/>
      <w:divBdr>
        <w:top w:val="none" w:sz="0" w:space="0" w:color="auto"/>
        <w:left w:val="none" w:sz="0" w:space="0" w:color="auto"/>
        <w:bottom w:val="none" w:sz="0" w:space="0" w:color="auto"/>
        <w:right w:val="none" w:sz="0" w:space="0" w:color="auto"/>
      </w:divBdr>
    </w:div>
    <w:div w:id="119537784">
      <w:bodyDiv w:val="1"/>
      <w:marLeft w:val="0"/>
      <w:marRight w:val="0"/>
      <w:marTop w:val="0"/>
      <w:marBottom w:val="0"/>
      <w:divBdr>
        <w:top w:val="none" w:sz="0" w:space="0" w:color="auto"/>
        <w:left w:val="none" w:sz="0" w:space="0" w:color="auto"/>
        <w:bottom w:val="none" w:sz="0" w:space="0" w:color="auto"/>
        <w:right w:val="none" w:sz="0" w:space="0" w:color="auto"/>
      </w:divBdr>
    </w:div>
    <w:div w:id="145319866">
      <w:bodyDiv w:val="1"/>
      <w:marLeft w:val="0"/>
      <w:marRight w:val="0"/>
      <w:marTop w:val="0"/>
      <w:marBottom w:val="0"/>
      <w:divBdr>
        <w:top w:val="none" w:sz="0" w:space="0" w:color="auto"/>
        <w:left w:val="none" w:sz="0" w:space="0" w:color="auto"/>
        <w:bottom w:val="none" w:sz="0" w:space="0" w:color="auto"/>
        <w:right w:val="none" w:sz="0" w:space="0" w:color="auto"/>
      </w:divBdr>
    </w:div>
    <w:div w:id="151794202">
      <w:bodyDiv w:val="1"/>
      <w:marLeft w:val="0"/>
      <w:marRight w:val="0"/>
      <w:marTop w:val="0"/>
      <w:marBottom w:val="0"/>
      <w:divBdr>
        <w:top w:val="none" w:sz="0" w:space="0" w:color="auto"/>
        <w:left w:val="none" w:sz="0" w:space="0" w:color="auto"/>
        <w:bottom w:val="none" w:sz="0" w:space="0" w:color="auto"/>
        <w:right w:val="none" w:sz="0" w:space="0" w:color="auto"/>
      </w:divBdr>
    </w:div>
    <w:div w:id="163016319">
      <w:bodyDiv w:val="1"/>
      <w:marLeft w:val="0"/>
      <w:marRight w:val="0"/>
      <w:marTop w:val="0"/>
      <w:marBottom w:val="0"/>
      <w:divBdr>
        <w:top w:val="none" w:sz="0" w:space="0" w:color="auto"/>
        <w:left w:val="none" w:sz="0" w:space="0" w:color="auto"/>
        <w:bottom w:val="none" w:sz="0" w:space="0" w:color="auto"/>
        <w:right w:val="none" w:sz="0" w:space="0" w:color="auto"/>
      </w:divBdr>
    </w:div>
    <w:div w:id="166097490">
      <w:bodyDiv w:val="1"/>
      <w:marLeft w:val="0"/>
      <w:marRight w:val="0"/>
      <w:marTop w:val="0"/>
      <w:marBottom w:val="0"/>
      <w:divBdr>
        <w:top w:val="none" w:sz="0" w:space="0" w:color="auto"/>
        <w:left w:val="none" w:sz="0" w:space="0" w:color="auto"/>
        <w:bottom w:val="none" w:sz="0" w:space="0" w:color="auto"/>
        <w:right w:val="none" w:sz="0" w:space="0" w:color="auto"/>
      </w:divBdr>
    </w:div>
    <w:div w:id="197394901">
      <w:bodyDiv w:val="1"/>
      <w:marLeft w:val="0"/>
      <w:marRight w:val="0"/>
      <w:marTop w:val="0"/>
      <w:marBottom w:val="0"/>
      <w:divBdr>
        <w:top w:val="none" w:sz="0" w:space="0" w:color="auto"/>
        <w:left w:val="none" w:sz="0" w:space="0" w:color="auto"/>
        <w:bottom w:val="none" w:sz="0" w:space="0" w:color="auto"/>
        <w:right w:val="none" w:sz="0" w:space="0" w:color="auto"/>
      </w:divBdr>
    </w:div>
    <w:div w:id="228344847">
      <w:bodyDiv w:val="1"/>
      <w:marLeft w:val="0"/>
      <w:marRight w:val="0"/>
      <w:marTop w:val="0"/>
      <w:marBottom w:val="0"/>
      <w:divBdr>
        <w:top w:val="none" w:sz="0" w:space="0" w:color="auto"/>
        <w:left w:val="none" w:sz="0" w:space="0" w:color="auto"/>
        <w:bottom w:val="none" w:sz="0" w:space="0" w:color="auto"/>
        <w:right w:val="none" w:sz="0" w:space="0" w:color="auto"/>
      </w:divBdr>
    </w:div>
    <w:div w:id="248927728">
      <w:bodyDiv w:val="1"/>
      <w:marLeft w:val="0"/>
      <w:marRight w:val="0"/>
      <w:marTop w:val="0"/>
      <w:marBottom w:val="0"/>
      <w:divBdr>
        <w:top w:val="none" w:sz="0" w:space="0" w:color="auto"/>
        <w:left w:val="none" w:sz="0" w:space="0" w:color="auto"/>
        <w:bottom w:val="none" w:sz="0" w:space="0" w:color="auto"/>
        <w:right w:val="none" w:sz="0" w:space="0" w:color="auto"/>
      </w:divBdr>
    </w:div>
    <w:div w:id="295185235">
      <w:bodyDiv w:val="1"/>
      <w:marLeft w:val="0"/>
      <w:marRight w:val="0"/>
      <w:marTop w:val="0"/>
      <w:marBottom w:val="0"/>
      <w:divBdr>
        <w:top w:val="none" w:sz="0" w:space="0" w:color="auto"/>
        <w:left w:val="none" w:sz="0" w:space="0" w:color="auto"/>
        <w:bottom w:val="none" w:sz="0" w:space="0" w:color="auto"/>
        <w:right w:val="none" w:sz="0" w:space="0" w:color="auto"/>
      </w:divBdr>
    </w:div>
    <w:div w:id="298196118">
      <w:bodyDiv w:val="1"/>
      <w:marLeft w:val="0"/>
      <w:marRight w:val="0"/>
      <w:marTop w:val="0"/>
      <w:marBottom w:val="0"/>
      <w:divBdr>
        <w:top w:val="none" w:sz="0" w:space="0" w:color="auto"/>
        <w:left w:val="none" w:sz="0" w:space="0" w:color="auto"/>
        <w:bottom w:val="none" w:sz="0" w:space="0" w:color="auto"/>
        <w:right w:val="none" w:sz="0" w:space="0" w:color="auto"/>
      </w:divBdr>
    </w:div>
    <w:div w:id="302464194">
      <w:bodyDiv w:val="1"/>
      <w:marLeft w:val="0"/>
      <w:marRight w:val="0"/>
      <w:marTop w:val="0"/>
      <w:marBottom w:val="0"/>
      <w:divBdr>
        <w:top w:val="none" w:sz="0" w:space="0" w:color="auto"/>
        <w:left w:val="none" w:sz="0" w:space="0" w:color="auto"/>
        <w:bottom w:val="none" w:sz="0" w:space="0" w:color="auto"/>
        <w:right w:val="none" w:sz="0" w:space="0" w:color="auto"/>
      </w:divBdr>
    </w:div>
    <w:div w:id="344064080">
      <w:bodyDiv w:val="1"/>
      <w:marLeft w:val="0"/>
      <w:marRight w:val="0"/>
      <w:marTop w:val="0"/>
      <w:marBottom w:val="0"/>
      <w:divBdr>
        <w:top w:val="none" w:sz="0" w:space="0" w:color="auto"/>
        <w:left w:val="none" w:sz="0" w:space="0" w:color="auto"/>
        <w:bottom w:val="none" w:sz="0" w:space="0" w:color="auto"/>
        <w:right w:val="none" w:sz="0" w:space="0" w:color="auto"/>
      </w:divBdr>
    </w:div>
    <w:div w:id="354885541">
      <w:bodyDiv w:val="1"/>
      <w:marLeft w:val="0"/>
      <w:marRight w:val="0"/>
      <w:marTop w:val="0"/>
      <w:marBottom w:val="0"/>
      <w:divBdr>
        <w:top w:val="none" w:sz="0" w:space="0" w:color="auto"/>
        <w:left w:val="none" w:sz="0" w:space="0" w:color="auto"/>
        <w:bottom w:val="none" w:sz="0" w:space="0" w:color="auto"/>
        <w:right w:val="none" w:sz="0" w:space="0" w:color="auto"/>
      </w:divBdr>
    </w:div>
    <w:div w:id="439183316">
      <w:bodyDiv w:val="1"/>
      <w:marLeft w:val="0"/>
      <w:marRight w:val="0"/>
      <w:marTop w:val="0"/>
      <w:marBottom w:val="0"/>
      <w:divBdr>
        <w:top w:val="none" w:sz="0" w:space="0" w:color="auto"/>
        <w:left w:val="none" w:sz="0" w:space="0" w:color="auto"/>
        <w:bottom w:val="none" w:sz="0" w:space="0" w:color="auto"/>
        <w:right w:val="none" w:sz="0" w:space="0" w:color="auto"/>
      </w:divBdr>
    </w:div>
    <w:div w:id="451941950">
      <w:bodyDiv w:val="1"/>
      <w:marLeft w:val="0"/>
      <w:marRight w:val="0"/>
      <w:marTop w:val="0"/>
      <w:marBottom w:val="0"/>
      <w:divBdr>
        <w:top w:val="none" w:sz="0" w:space="0" w:color="auto"/>
        <w:left w:val="none" w:sz="0" w:space="0" w:color="auto"/>
        <w:bottom w:val="none" w:sz="0" w:space="0" w:color="auto"/>
        <w:right w:val="none" w:sz="0" w:space="0" w:color="auto"/>
      </w:divBdr>
    </w:div>
    <w:div w:id="481849516">
      <w:bodyDiv w:val="1"/>
      <w:marLeft w:val="0"/>
      <w:marRight w:val="0"/>
      <w:marTop w:val="0"/>
      <w:marBottom w:val="0"/>
      <w:divBdr>
        <w:top w:val="none" w:sz="0" w:space="0" w:color="auto"/>
        <w:left w:val="none" w:sz="0" w:space="0" w:color="auto"/>
        <w:bottom w:val="none" w:sz="0" w:space="0" w:color="auto"/>
        <w:right w:val="none" w:sz="0" w:space="0" w:color="auto"/>
      </w:divBdr>
    </w:div>
    <w:div w:id="483622249">
      <w:bodyDiv w:val="1"/>
      <w:marLeft w:val="0"/>
      <w:marRight w:val="0"/>
      <w:marTop w:val="0"/>
      <w:marBottom w:val="0"/>
      <w:divBdr>
        <w:top w:val="none" w:sz="0" w:space="0" w:color="auto"/>
        <w:left w:val="none" w:sz="0" w:space="0" w:color="auto"/>
        <w:bottom w:val="none" w:sz="0" w:space="0" w:color="auto"/>
        <w:right w:val="none" w:sz="0" w:space="0" w:color="auto"/>
      </w:divBdr>
    </w:div>
    <w:div w:id="486285943">
      <w:bodyDiv w:val="1"/>
      <w:marLeft w:val="0"/>
      <w:marRight w:val="0"/>
      <w:marTop w:val="0"/>
      <w:marBottom w:val="0"/>
      <w:divBdr>
        <w:top w:val="none" w:sz="0" w:space="0" w:color="auto"/>
        <w:left w:val="none" w:sz="0" w:space="0" w:color="auto"/>
        <w:bottom w:val="none" w:sz="0" w:space="0" w:color="auto"/>
        <w:right w:val="none" w:sz="0" w:space="0" w:color="auto"/>
      </w:divBdr>
    </w:div>
    <w:div w:id="493885055">
      <w:bodyDiv w:val="1"/>
      <w:marLeft w:val="0"/>
      <w:marRight w:val="0"/>
      <w:marTop w:val="0"/>
      <w:marBottom w:val="0"/>
      <w:divBdr>
        <w:top w:val="none" w:sz="0" w:space="0" w:color="auto"/>
        <w:left w:val="none" w:sz="0" w:space="0" w:color="auto"/>
        <w:bottom w:val="none" w:sz="0" w:space="0" w:color="auto"/>
        <w:right w:val="none" w:sz="0" w:space="0" w:color="auto"/>
      </w:divBdr>
    </w:div>
    <w:div w:id="495997180">
      <w:bodyDiv w:val="1"/>
      <w:marLeft w:val="0"/>
      <w:marRight w:val="0"/>
      <w:marTop w:val="0"/>
      <w:marBottom w:val="0"/>
      <w:divBdr>
        <w:top w:val="none" w:sz="0" w:space="0" w:color="auto"/>
        <w:left w:val="none" w:sz="0" w:space="0" w:color="auto"/>
        <w:bottom w:val="none" w:sz="0" w:space="0" w:color="auto"/>
        <w:right w:val="none" w:sz="0" w:space="0" w:color="auto"/>
      </w:divBdr>
    </w:div>
    <w:div w:id="546380175">
      <w:bodyDiv w:val="1"/>
      <w:marLeft w:val="0"/>
      <w:marRight w:val="0"/>
      <w:marTop w:val="0"/>
      <w:marBottom w:val="0"/>
      <w:divBdr>
        <w:top w:val="none" w:sz="0" w:space="0" w:color="auto"/>
        <w:left w:val="none" w:sz="0" w:space="0" w:color="auto"/>
        <w:bottom w:val="none" w:sz="0" w:space="0" w:color="auto"/>
        <w:right w:val="none" w:sz="0" w:space="0" w:color="auto"/>
      </w:divBdr>
    </w:div>
    <w:div w:id="590818762">
      <w:bodyDiv w:val="1"/>
      <w:marLeft w:val="0"/>
      <w:marRight w:val="0"/>
      <w:marTop w:val="0"/>
      <w:marBottom w:val="0"/>
      <w:divBdr>
        <w:top w:val="none" w:sz="0" w:space="0" w:color="auto"/>
        <w:left w:val="none" w:sz="0" w:space="0" w:color="auto"/>
        <w:bottom w:val="none" w:sz="0" w:space="0" w:color="auto"/>
        <w:right w:val="none" w:sz="0" w:space="0" w:color="auto"/>
      </w:divBdr>
    </w:div>
    <w:div w:id="652375714">
      <w:bodyDiv w:val="1"/>
      <w:marLeft w:val="0"/>
      <w:marRight w:val="0"/>
      <w:marTop w:val="0"/>
      <w:marBottom w:val="0"/>
      <w:divBdr>
        <w:top w:val="none" w:sz="0" w:space="0" w:color="auto"/>
        <w:left w:val="none" w:sz="0" w:space="0" w:color="auto"/>
        <w:bottom w:val="none" w:sz="0" w:space="0" w:color="auto"/>
        <w:right w:val="none" w:sz="0" w:space="0" w:color="auto"/>
      </w:divBdr>
    </w:div>
    <w:div w:id="679937995">
      <w:bodyDiv w:val="1"/>
      <w:marLeft w:val="0"/>
      <w:marRight w:val="0"/>
      <w:marTop w:val="0"/>
      <w:marBottom w:val="0"/>
      <w:divBdr>
        <w:top w:val="none" w:sz="0" w:space="0" w:color="auto"/>
        <w:left w:val="none" w:sz="0" w:space="0" w:color="auto"/>
        <w:bottom w:val="none" w:sz="0" w:space="0" w:color="auto"/>
        <w:right w:val="none" w:sz="0" w:space="0" w:color="auto"/>
      </w:divBdr>
    </w:div>
    <w:div w:id="706759550">
      <w:bodyDiv w:val="1"/>
      <w:marLeft w:val="0"/>
      <w:marRight w:val="0"/>
      <w:marTop w:val="0"/>
      <w:marBottom w:val="0"/>
      <w:divBdr>
        <w:top w:val="none" w:sz="0" w:space="0" w:color="auto"/>
        <w:left w:val="none" w:sz="0" w:space="0" w:color="auto"/>
        <w:bottom w:val="none" w:sz="0" w:space="0" w:color="auto"/>
        <w:right w:val="none" w:sz="0" w:space="0" w:color="auto"/>
      </w:divBdr>
    </w:div>
    <w:div w:id="722364611">
      <w:bodyDiv w:val="1"/>
      <w:marLeft w:val="0"/>
      <w:marRight w:val="0"/>
      <w:marTop w:val="0"/>
      <w:marBottom w:val="0"/>
      <w:divBdr>
        <w:top w:val="none" w:sz="0" w:space="0" w:color="auto"/>
        <w:left w:val="none" w:sz="0" w:space="0" w:color="auto"/>
        <w:bottom w:val="none" w:sz="0" w:space="0" w:color="auto"/>
        <w:right w:val="none" w:sz="0" w:space="0" w:color="auto"/>
      </w:divBdr>
    </w:div>
    <w:div w:id="745684393">
      <w:bodyDiv w:val="1"/>
      <w:marLeft w:val="0"/>
      <w:marRight w:val="0"/>
      <w:marTop w:val="0"/>
      <w:marBottom w:val="0"/>
      <w:divBdr>
        <w:top w:val="none" w:sz="0" w:space="0" w:color="auto"/>
        <w:left w:val="none" w:sz="0" w:space="0" w:color="auto"/>
        <w:bottom w:val="none" w:sz="0" w:space="0" w:color="auto"/>
        <w:right w:val="none" w:sz="0" w:space="0" w:color="auto"/>
      </w:divBdr>
    </w:div>
    <w:div w:id="793908781">
      <w:bodyDiv w:val="1"/>
      <w:marLeft w:val="0"/>
      <w:marRight w:val="0"/>
      <w:marTop w:val="0"/>
      <w:marBottom w:val="0"/>
      <w:divBdr>
        <w:top w:val="none" w:sz="0" w:space="0" w:color="auto"/>
        <w:left w:val="none" w:sz="0" w:space="0" w:color="auto"/>
        <w:bottom w:val="none" w:sz="0" w:space="0" w:color="auto"/>
        <w:right w:val="none" w:sz="0" w:space="0" w:color="auto"/>
      </w:divBdr>
    </w:div>
    <w:div w:id="794903934">
      <w:bodyDiv w:val="1"/>
      <w:marLeft w:val="0"/>
      <w:marRight w:val="0"/>
      <w:marTop w:val="0"/>
      <w:marBottom w:val="0"/>
      <w:divBdr>
        <w:top w:val="none" w:sz="0" w:space="0" w:color="auto"/>
        <w:left w:val="none" w:sz="0" w:space="0" w:color="auto"/>
        <w:bottom w:val="none" w:sz="0" w:space="0" w:color="auto"/>
        <w:right w:val="none" w:sz="0" w:space="0" w:color="auto"/>
      </w:divBdr>
    </w:div>
    <w:div w:id="797380903">
      <w:bodyDiv w:val="1"/>
      <w:marLeft w:val="0"/>
      <w:marRight w:val="0"/>
      <w:marTop w:val="0"/>
      <w:marBottom w:val="0"/>
      <w:divBdr>
        <w:top w:val="none" w:sz="0" w:space="0" w:color="auto"/>
        <w:left w:val="none" w:sz="0" w:space="0" w:color="auto"/>
        <w:bottom w:val="none" w:sz="0" w:space="0" w:color="auto"/>
        <w:right w:val="none" w:sz="0" w:space="0" w:color="auto"/>
      </w:divBdr>
    </w:div>
    <w:div w:id="811556356">
      <w:bodyDiv w:val="1"/>
      <w:marLeft w:val="0"/>
      <w:marRight w:val="0"/>
      <w:marTop w:val="0"/>
      <w:marBottom w:val="0"/>
      <w:divBdr>
        <w:top w:val="none" w:sz="0" w:space="0" w:color="auto"/>
        <w:left w:val="none" w:sz="0" w:space="0" w:color="auto"/>
        <w:bottom w:val="none" w:sz="0" w:space="0" w:color="auto"/>
        <w:right w:val="none" w:sz="0" w:space="0" w:color="auto"/>
      </w:divBdr>
    </w:div>
    <w:div w:id="825630702">
      <w:bodyDiv w:val="1"/>
      <w:marLeft w:val="0"/>
      <w:marRight w:val="0"/>
      <w:marTop w:val="0"/>
      <w:marBottom w:val="0"/>
      <w:divBdr>
        <w:top w:val="none" w:sz="0" w:space="0" w:color="auto"/>
        <w:left w:val="none" w:sz="0" w:space="0" w:color="auto"/>
        <w:bottom w:val="none" w:sz="0" w:space="0" w:color="auto"/>
        <w:right w:val="none" w:sz="0" w:space="0" w:color="auto"/>
      </w:divBdr>
    </w:div>
    <w:div w:id="847868596">
      <w:bodyDiv w:val="1"/>
      <w:marLeft w:val="0"/>
      <w:marRight w:val="0"/>
      <w:marTop w:val="0"/>
      <w:marBottom w:val="0"/>
      <w:divBdr>
        <w:top w:val="none" w:sz="0" w:space="0" w:color="auto"/>
        <w:left w:val="none" w:sz="0" w:space="0" w:color="auto"/>
        <w:bottom w:val="none" w:sz="0" w:space="0" w:color="auto"/>
        <w:right w:val="none" w:sz="0" w:space="0" w:color="auto"/>
      </w:divBdr>
    </w:div>
    <w:div w:id="885486167">
      <w:bodyDiv w:val="1"/>
      <w:marLeft w:val="0"/>
      <w:marRight w:val="0"/>
      <w:marTop w:val="0"/>
      <w:marBottom w:val="0"/>
      <w:divBdr>
        <w:top w:val="none" w:sz="0" w:space="0" w:color="auto"/>
        <w:left w:val="none" w:sz="0" w:space="0" w:color="auto"/>
        <w:bottom w:val="none" w:sz="0" w:space="0" w:color="auto"/>
        <w:right w:val="none" w:sz="0" w:space="0" w:color="auto"/>
      </w:divBdr>
    </w:div>
    <w:div w:id="912274961">
      <w:bodyDiv w:val="1"/>
      <w:marLeft w:val="0"/>
      <w:marRight w:val="0"/>
      <w:marTop w:val="0"/>
      <w:marBottom w:val="0"/>
      <w:divBdr>
        <w:top w:val="none" w:sz="0" w:space="0" w:color="auto"/>
        <w:left w:val="none" w:sz="0" w:space="0" w:color="auto"/>
        <w:bottom w:val="none" w:sz="0" w:space="0" w:color="auto"/>
        <w:right w:val="none" w:sz="0" w:space="0" w:color="auto"/>
      </w:divBdr>
    </w:div>
    <w:div w:id="922373250">
      <w:bodyDiv w:val="1"/>
      <w:marLeft w:val="0"/>
      <w:marRight w:val="0"/>
      <w:marTop w:val="0"/>
      <w:marBottom w:val="0"/>
      <w:divBdr>
        <w:top w:val="none" w:sz="0" w:space="0" w:color="auto"/>
        <w:left w:val="none" w:sz="0" w:space="0" w:color="auto"/>
        <w:bottom w:val="none" w:sz="0" w:space="0" w:color="auto"/>
        <w:right w:val="none" w:sz="0" w:space="0" w:color="auto"/>
      </w:divBdr>
    </w:div>
    <w:div w:id="932395679">
      <w:bodyDiv w:val="1"/>
      <w:marLeft w:val="0"/>
      <w:marRight w:val="0"/>
      <w:marTop w:val="0"/>
      <w:marBottom w:val="0"/>
      <w:divBdr>
        <w:top w:val="none" w:sz="0" w:space="0" w:color="auto"/>
        <w:left w:val="none" w:sz="0" w:space="0" w:color="auto"/>
        <w:bottom w:val="none" w:sz="0" w:space="0" w:color="auto"/>
        <w:right w:val="none" w:sz="0" w:space="0" w:color="auto"/>
      </w:divBdr>
    </w:div>
    <w:div w:id="950361923">
      <w:bodyDiv w:val="1"/>
      <w:marLeft w:val="0"/>
      <w:marRight w:val="0"/>
      <w:marTop w:val="0"/>
      <w:marBottom w:val="0"/>
      <w:divBdr>
        <w:top w:val="none" w:sz="0" w:space="0" w:color="auto"/>
        <w:left w:val="none" w:sz="0" w:space="0" w:color="auto"/>
        <w:bottom w:val="none" w:sz="0" w:space="0" w:color="auto"/>
        <w:right w:val="none" w:sz="0" w:space="0" w:color="auto"/>
      </w:divBdr>
    </w:div>
    <w:div w:id="978614160">
      <w:bodyDiv w:val="1"/>
      <w:marLeft w:val="0"/>
      <w:marRight w:val="0"/>
      <w:marTop w:val="0"/>
      <w:marBottom w:val="0"/>
      <w:divBdr>
        <w:top w:val="none" w:sz="0" w:space="0" w:color="auto"/>
        <w:left w:val="none" w:sz="0" w:space="0" w:color="auto"/>
        <w:bottom w:val="none" w:sz="0" w:space="0" w:color="auto"/>
        <w:right w:val="none" w:sz="0" w:space="0" w:color="auto"/>
      </w:divBdr>
    </w:div>
    <w:div w:id="985164707">
      <w:bodyDiv w:val="1"/>
      <w:marLeft w:val="0"/>
      <w:marRight w:val="0"/>
      <w:marTop w:val="0"/>
      <w:marBottom w:val="0"/>
      <w:divBdr>
        <w:top w:val="none" w:sz="0" w:space="0" w:color="auto"/>
        <w:left w:val="none" w:sz="0" w:space="0" w:color="auto"/>
        <w:bottom w:val="none" w:sz="0" w:space="0" w:color="auto"/>
        <w:right w:val="none" w:sz="0" w:space="0" w:color="auto"/>
      </w:divBdr>
    </w:div>
    <w:div w:id="987393506">
      <w:bodyDiv w:val="1"/>
      <w:marLeft w:val="0"/>
      <w:marRight w:val="0"/>
      <w:marTop w:val="0"/>
      <w:marBottom w:val="0"/>
      <w:divBdr>
        <w:top w:val="none" w:sz="0" w:space="0" w:color="auto"/>
        <w:left w:val="none" w:sz="0" w:space="0" w:color="auto"/>
        <w:bottom w:val="none" w:sz="0" w:space="0" w:color="auto"/>
        <w:right w:val="none" w:sz="0" w:space="0" w:color="auto"/>
      </w:divBdr>
    </w:div>
    <w:div w:id="988290003">
      <w:bodyDiv w:val="1"/>
      <w:marLeft w:val="0"/>
      <w:marRight w:val="0"/>
      <w:marTop w:val="0"/>
      <w:marBottom w:val="0"/>
      <w:divBdr>
        <w:top w:val="none" w:sz="0" w:space="0" w:color="auto"/>
        <w:left w:val="none" w:sz="0" w:space="0" w:color="auto"/>
        <w:bottom w:val="none" w:sz="0" w:space="0" w:color="auto"/>
        <w:right w:val="none" w:sz="0" w:space="0" w:color="auto"/>
      </w:divBdr>
    </w:div>
    <w:div w:id="993411646">
      <w:bodyDiv w:val="1"/>
      <w:marLeft w:val="0"/>
      <w:marRight w:val="0"/>
      <w:marTop w:val="0"/>
      <w:marBottom w:val="0"/>
      <w:divBdr>
        <w:top w:val="none" w:sz="0" w:space="0" w:color="auto"/>
        <w:left w:val="none" w:sz="0" w:space="0" w:color="auto"/>
        <w:bottom w:val="none" w:sz="0" w:space="0" w:color="auto"/>
        <w:right w:val="none" w:sz="0" w:space="0" w:color="auto"/>
      </w:divBdr>
    </w:div>
    <w:div w:id="1005791645">
      <w:bodyDiv w:val="1"/>
      <w:marLeft w:val="0"/>
      <w:marRight w:val="0"/>
      <w:marTop w:val="0"/>
      <w:marBottom w:val="0"/>
      <w:divBdr>
        <w:top w:val="none" w:sz="0" w:space="0" w:color="auto"/>
        <w:left w:val="none" w:sz="0" w:space="0" w:color="auto"/>
        <w:bottom w:val="none" w:sz="0" w:space="0" w:color="auto"/>
        <w:right w:val="none" w:sz="0" w:space="0" w:color="auto"/>
      </w:divBdr>
    </w:div>
    <w:div w:id="1106923257">
      <w:bodyDiv w:val="1"/>
      <w:marLeft w:val="0"/>
      <w:marRight w:val="0"/>
      <w:marTop w:val="0"/>
      <w:marBottom w:val="0"/>
      <w:divBdr>
        <w:top w:val="none" w:sz="0" w:space="0" w:color="auto"/>
        <w:left w:val="none" w:sz="0" w:space="0" w:color="auto"/>
        <w:bottom w:val="none" w:sz="0" w:space="0" w:color="auto"/>
        <w:right w:val="none" w:sz="0" w:space="0" w:color="auto"/>
      </w:divBdr>
    </w:div>
    <w:div w:id="1116214047">
      <w:bodyDiv w:val="1"/>
      <w:marLeft w:val="0"/>
      <w:marRight w:val="0"/>
      <w:marTop w:val="0"/>
      <w:marBottom w:val="0"/>
      <w:divBdr>
        <w:top w:val="none" w:sz="0" w:space="0" w:color="auto"/>
        <w:left w:val="none" w:sz="0" w:space="0" w:color="auto"/>
        <w:bottom w:val="none" w:sz="0" w:space="0" w:color="auto"/>
        <w:right w:val="none" w:sz="0" w:space="0" w:color="auto"/>
      </w:divBdr>
    </w:div>
    <w:div w:id="1138844508">
      <w:bodyDiv w:val="1"/>
      <w:marLeft w:val="0"/>
      <w:marRight w:val="0"/>
      <w:marTop w:val="0"/>
      <w:marBottom w:val="0"/>
      <w:divBdr>
        <w:top w:val="none" w:sz="0" w:space="0" w:color="auto"/>
        <w:left w:val="none" w:sz="0" w:space="0" w:color="auto"/>
        <w:bottom w:val="none" w:sz="0" w:space="0" w:color="auto"/>
        <w:right w:val="none" w:sz="0" w:space="0" w:color="auto"/>
      </w:divBdr>
    </w:div>
    <w:div w:id="1141653916">
      <w:bodyDiv w:val="1"/>
      <w:marLeft w:val="0"/>
      <w:marRight w:val="0"/>
      <w:marTop w:val="0"/>
      <w:marBottom w:val="0"/>
      <w:divBdr>
        <w:top w:val="none" w:sz="0" w:space="0" w:color="auto"/>
        <w:left w:val="none" w:sz="0" w:space="0" w:color="auto"/>
        <w:bottom w:val="none" w:sz="0" w:space="0" w:color="auto"/>
        <w:right w:val="none" w:sz="0" w:space="0" w:color="auto"/>
      </w:divBdr>
    </w:div>
    <w:div w:id="1167794261">
      <w:bodyDiv w:val="1"/>
      <w:marLeft w:val="0"/>
      <w:marRight w:val="0"/>
      <w:marTop w:val="0"/>
      <w:marBottom w:val="0"/>
      <w:divBdr>
        <w:top w:val="none" w:sz="0" w:space="0" w:color="auto"/>
        <w:left w:val="none" w:sz="0" w:space="0" w:color="auto"/>
        <w:bottom w:val="none" w:sz="0" w:space="0" w:color="auto"/>
        <w:right w:val="none" w:sz="0" w:space="0" w:color="auto"/>
      </w:divBdr>
    </w:div>
    <w:div w:id="1201938416">
      <w:bodyDiv w:val="1"/>
      <w:marLeft w:val="0"/>
      <w:marRight w:val="0"/>
      <w:marTop w:val="0"/>
      <w:marBottom w:val="0"/>
      <w:divBdr>
        <w:top w:val="none" w:sz="0" w:space="0" w:color="auto"/>
        <w:left w:val="none" w:sz="0" w:space="0" w:color="auto"/>
        <w:bottom w:val="none" w:sz="0" w:space="0" w:color="auto"/>
        <w:right w:val="none" w:sz="0" w:space="0" w:color="auto"/>
      </w:divBdr>
    </w:div>
    <w:div w:id="1211383258">
      <w:bodyDiv w:val="1"/>
      <w:marLeft w:val="0"/>
      <w:marRight w:val="0"/>
      <w:marTop w:val="0"/>
      <w:marBottom w:val="0"/>
      <w:divBdr>
        <w:top w:val="none" w:sz="0" w:space="0" w:color="auto"/>
        <w:left w:val="none" w:sz="0" w:space="0" w:color="auto"/>
        <w:bottom w:val="none" w:sz="0" w:space="0" w:color="auto"/>
        <w:right w:val="none" w:sz="0" w:space="0" w:color="auto"/>
      </w:divBdr>
    </w:div>
    <w:div w:id="1217083475">
      <w:bodyDiv w:val="1"/>
      <w:marLeft w:val="0"/>
      <w:marRight w:val="0"/>
      <w:marTop w:val="0"/>
      <w:marBottom w:val="0"/>
      <w:divBdr>
        <w:top w:val="none" w:sz="0" w:space="0" w:color="auto"/>
        <w:left w:val="none" w:sz="0" w:space="0" w:color="auto"/>
        <w:bottom w:val="none" w:sz="0" w:space="0" w:color="auto"/>
        <w:right w:val="none" w:sz="0" w:space="0" w:color="auto"/>
      </w:divBdr>
    </w:div>
    <w:div w:id="1223953370">
      <w:bodyDiv w:val="1"/>
      <w:marLeft w:val="0"/>
      <w:marRight w:val="0"/>
      <w:marTop w:val="0"/>
      <w:marBottom w:val="0"/>
      <w:divBdr>
        <w:top w:val="none" w:sz="0" w:space="0" w:color="auto"/>
        <w:left w:val="none" w:sz="0" w:space="0" w:color="auto"/>
        <w:bottom w:val="none" w:sz="0" w:space="0" w:color="auto"/>
        <w:right w:val="none" w:sz="0" w:space="0" w:color="auto"/>
      </w:divBdr>
    </w:div>
    <w:div w:id="1227565206">
      <w:bodyDiv w:val="1"/>
      <w:marLeft w:val="0"/>
      <w:marRight w:val="0"/>
      <w:marTop w:val="0"/>
      <w:marBottom w:val="0"/>
      <w:divBdr>
        <w:top w:val="none" w:sz="0" w:space="0" w:color="auto"/>
        <w:left w:val="none" w:sz="0" w:space="0" w:color="auto"/>
        <w:bottom w:val="none" w:sz="0" w:space="0" w:color="auto"/>
        <w:right w:val="none" w:sz="0" w:space="0" w:color="auto"/>
      </w:divBdr>
    </w:div>
    <w:div w:id="1232040811">
      <w:bodyDiv w:val="1"/>
      <w:marLeft w:val="0"/>
      <w:marRight w:val="0"/>
      <w:marTop w:val="0"/>
      <w:marBottom w:val="0"/>
      <w:divBdr>
        <w:top w:val="none" w:sz="0" w:space="0" w:color="auto"/>
        <w:left w:val="none" w:sz="0" w:space="0" w:color="auto"/>
        <w:bottom w:val="none" w:sz="0" w:space="0" w:color="auto"/>
        <w:right w:val="none" w:sz="0" w:space="0" w:color="auto"/>
      </w:divBdr>
    </w:div>
    <w:div w:id="1244725969">
      <w:bodyDiv w:val="1"/>
      <w:marLeft w:val="0"/>
      <w:marRight w:val="0"/>
      <w:marTop w:val="0"/>
      <w:marBottom w:val="0"/>
      <w:divBdr>
        <w:top w:val="none" w:sz="0" w:space="0" w:color="auto"/>
        <w:left w:val="none" w:sz="0" w:space="0" w:color="auto"/>
        <w:bottom w:val="none" w:sz="0" w:space="0" w:color="auto"/>
        <w:right w:val="none" w:sz="0" w:space="0" w:color="auto"/>
      </w:divBdr>
    </w:div>
    <w:div w:id="1277180993">
      <w:bodyDiv w:val="1"/>
      <w:marLeft w:val="0"/>
      <w:marRight w:val="0"/>
      <w:marTop w:val="0"/>
      <w:marBottom w:val="0"/>
      <w:divBdr>
        <w:top w:val="none" w:sz="0" w:space="0" w:color="auto"/>
        <w:left w:val="none" w:sz="0" w:space="0" w:color="auto"/>
        <w:bottom w:val="none" w:sz="0" w:space="0" w:color="auto"/>
        <w:right w:val="none" w:sz="0" w:space="0" w:color="auto"/>
      </w:divBdr>
    </w:div>
    <w:div w:id="1286615315">
      <w:bodyDiv w:val="1"/>
      <w:marLeft w:val="0"/>
      <w:marRight w:val="0"/>
      <w:marTop w:val="0"/>
      <w:marBottom w:val="0"/>
      <w:divBdr>
        <w:top w:val="none" w:sz="0" w:space="0" w:color="auto"/>
        <w:left w:val="none" w:sz="0" w:space="0" w:color="auto"/>
        <w:bottom w:val="none" w:sz="0" w:space="0" w:color="auto"/>
        <w:right w:val="none" w:sz="0" w:space="0" w:color="auto"/>
      </w:divBdr>
    </w:div>
    <w:div w:id="1288664118">
      <w:bodyDiv w:val="1"/>
      <w:marLeft w:val="0"/>
      <w:marRight w:val="0"/>
      <w:marTop w:val="0"/>
      <w:marBottom w:val="0"/>
      <w:divBdr>
        <w:top w:val="none" w:sz="0" w:space="0" w:color="auto"/>
        <w:left w:val="none" w:sz="0" w:space="0" w:color="auto"/>
        <w:bottom w:val="none" w:sz="0" w:space="0" w:color="auto"/>
        <w:right w:val="none" w:sz="0" w:space="0" w:color="auto"/>
      </w:divBdr>
    </w:div>
    <w:div w:id="1304508975">
      <w:bodyDiv w:val="1"/>
      <w:marLeft w:val="0"/>
      <w:marRight w:val="0"/>
      <w:marTop w:val="0"/>
      <w:marBottom w:val="0"/>
      <w:divBdr>
        <w:top w:val="none" w:sz="0" w:space="0" w:color="auto"/>
        <w:left w:val="none" w:sz="0" w:space="0" w:color="auto"/>
        <w:bottom w:val="none" w:sz="0" w:space="0" w:color="auto"/>
        <w:right w:val="none" w:sz="0" w:space="0" w:color="auto"/>
      </w:divBdr>
    </w:div>
    <w:div w:id="1307391137">
      <w:bodyDiv w:val="1"/>
      <w:marLeft w:val="0"/>
      <w:marRight w:val="0"/>
      <w:marTop w:val="0"/>
      <w:marBottom w:val="0"/>
      <w:divBdr>
        <w:top w:val="none" w:sz="0" w:space="0" w:color="auto"/>
        <w:left w:val="none" w:sz="0" w:space="0" w:color="auto"/>
        <w:bottom w:val="none" w:sz="0" w:space="0" w:color="auto"/>
        <w:right w:val="none" w:sz="0" w:space="0" w:color="auto"/>
      </w:divBdr>
    </w:div>
    <w:div w:id="1308781555">
      <w:bodyDiv w:val="1"/>
      <w:marLeft w:val="0"/>
      <w:marRight w:val="0"/>
      <w:marTop w:val="0"/>
      <w:marBottom w:val="0"/>
      <w:divBdr>
        <w:top w:val="none" w:sz="0" w:space="0" w:color="auto"/>
        <w:left w:val="none" w:sz="0" w:space="0" w:color="auto"/>
        <w:bottom w:val="none" w:sz="0" w:space="0" w:color="auto"/>
        <w:right w:val="none" w:sz="0" w:space="0" w:color="auto"/>
      </w:divBdr>
    </w:div>
    <w:div w:id="1308898137">
      <w:bodyDiv w:val="1"/>
      <w:marLeft w:val="0"/>
      <w:marRight w:val="0"/>
      <w:marTop w:val="0"/>
      <w:marBottom w:val="0"/>
      <w:divBdr>
        <w:top w:val="none" w:sz="0" w:space="0" w:color="auto"/>
        <w:left w:val="none" w:sz="0" w:space="0" w:color="auto"/>
        <w:bottom w:val="none" w:sz="0" w:space="0" w:color="auto"/>
        <w:right w:val="none" w:sz="0" w:space="0" w:color="auto"/>
      </w:divBdr>
    </w:div>
    <w:div w:id="1318921366">
      <w:bodyDiv w:val="1"/>
      <w:marLeft w:val="0"/>
      <w:marRight w:val="0"/>
      <w:marTop w:val="0"/>
      <w:marBottom w:val="0"/>
      <w:divBdr>
        <w:top w:val="none" w:sz="0" w:space="0" w:color="auto"/>
        <w:left w:val="none" w:sz="0" w:space="0" w:color="auto"/>
        <w:bottom w:val="none" w:sz="0" w:space="0" w:color="auto"/>
        <w:right w:val="none" w:sz="0" w:space="0" w:color="auto"/>
      </w:divBdr>
    </w:div>
    <w:div w:id="1372341873">
      <w:bodyDiv w:val="1"/>
      <w:marLeft w:val="0"/>
      <w:marRight w:val="0"/>
      <w:marTop w:val="0"/>
      <w:marBottom w:val="0"/>
      <w:divBdr>
        <w:top w:val="none" w:sz="0" w:space="0" w:color="auto"/>
        <w:left w:val="none" w:sz="0" w:space="0" w:color="auto"/>
        <w:bottom w:val="none" w:sz="0" w:space="0" w:color="auto"/>
        <w:right w:val="none" w:sz="0" w:space="0" w:color="auto"/>
      </w:divBdr>
    </w:div>
    <w:div w:id="1382442527">
      <w:bodyDiv w:val="1"/>
      <w:marLeft w:val="0"/>
      <w:marRight w:val="0"/>
      <w:marTop w:val="0"/>
      <w:marBottom w:val="0"/>
      <w:divBdr>
        <w:top w:val="none" w:sz="0" w:space="0" w:color="auto"/>
        <w:left w:val="none" w:sz="0" w:space="0" w:color="auto"/>
        <w:bottom w:val="none" w:sz="0" w:space="0" w:color="auto"/>
        <w:right w:val="none" w:sz="0" w:space="0" w:color="auto"/>
      </w:divBdr>
    </w:div>
    <w:div w:id="1393848201">
      <w:bodyDiv w:val="1"/>
      <w:marLeft w:val="0"/>
      <w:marRight w:val="0"/>
      <w:marTop w:val="0"/>
      <w:marBottom w:val="0"/>
      <w:divBdr>
        <w:top w:val="none" w:sz="0" w:space="0" w:color="auto"/>
        <w:left w:val="none" w:sz="0" w:space="0" w:color="auto"/>
        <w:bottom w:val="none" w:sz="0" w:space="0" w:color="auto"/>
        <w:right w:val="none" w:sz="0" w:space="0" w:color="auto"/>
      </w:divBdr>
    </w:div>
    <w:div w:id="1414814046">
      <w:bodyDiv w:val="1"/>
      <w:marLeft w:val="0"/>
      <w:marRight w:val="0"/>
      <w:marTop w:val="0"/>
      <w:marBottom w:val="0"/>
      <w:divBdr>
        <w:top w:val="none" w:sz="0" w:space="0" w:color="auto"/>
        <w:left w:val="none" w:sz="0" w:space="0" w:color="auto"/>
        <w:bottom w:val="none" w:sz="0" w:space="0" w:color="auto"/>
        <w:right w:val="none" w:sz="0" w:space="0" w:color="auto"/>
      </w:divBdr>
    </w:div>
    <w:div w:id="1420559388">
      <w:bodyDiv w:val="1"/>
      <w:marLeft w:val="0"/>
      <w:marRight w:val="0"/>
      <w:marTop w:val="0"/>
      <w:marBottom w:val="0"/>
      <w:divBdr>
        <w:top w:val="none" w:sz="0" w:space="0" w:color="auto"/>
        <w:left w:val="none" w:sz="0" w:space="0" w:color="auto"/>
        <w:bottom w:val="none" w:sz="0" w:space="0" w:color="auto"/>
        <w:right w:val="none" w:sz="0" w:space="0" w:color="auto"/>
      </w:divBdr>
    </w:div>
    <w:div w:id="1478573822">
      <w:bodyDiv w:val="1"/>
      <w:marLeft w:val="0"/>
      <w:marRight w:val="0"/>
      <w:marTop w:val="0"/>
      <w:marBottom w:val="0"/>
      <w:divBdr>
        <w:top w:val="none" w:sz="0" w:space="0" w:color="auto"/>
        <w:left w:val="none" w:sz="0" w:space="0" w:color="auto"/>
        <w:bottom w:val="none" w:sz="0" w:space="0" w:color="auto"/>
        <w:right w:val="none" w:sz="0" w:space="0" w:color="auto"/>
      </w:divBdr>
    </w:div>
    <w:div w:id="1524906174">
      <w:bodyDiv w:val="1"/>
      <w:marLeft w:val="0"/>
      <w:marRight w:val="0"/>
      <w:marTop w:val="0"/>
      <w:marBottom w:val="0"/>
      <w:divBdr>
        <w:top w:val="none" w:sz="0" w:space="0" w:color="auto"/>
        <w:left w:val="none" w:sz="0" w:space="0" w:color="auto"/>
        <w:bottom w:val="none" w:sz="0" w:space="0" w:color="auto"/>
        <w:right w:val="none" w:sz="0" w:space="0" w:color="auto"/>
      </w:divBdr>
    </w:div>
    <w:div w:id="1587954731">
      <w:bodyDiv w:val="1"/>
      <w:marLeft w:val="0"/>
      <w:marRight w:val="0"/>
      <w:marTop w:val="0"/>
      <w:marBottom w:val="0"/>
      <w:divBdr>
        <w:top w:val="none" w:sz="0" w:space="0" w:color="auto"/>
        <w:left w:val="none" w:sz="0" w:space="0" w:color="auto"/>
        <w:bottom w:val="none" w:sz="0" w:space="0" w:color="auto"/>
        <w:right w:val="none" w:sz="0" w:space="0" w:color="auto"/>
      </w:divBdr>
    </w:div>
    <w:div w:id="1603562548">
      <w:bodyDiv w:val="1"/>
      <w:marLeft w:val="0"/>
      <w:marRight w:val="0"/>
      <w:marTop w:val="0"/>
      <w:marBottom w:val="0"/>
      <w:divBdr>
        <w:top w:val="none" w:sz="0" w:space="0" w:color="auto"/>
        <w:left w:val="none" w:sz="0" w:space="0" w:color="auto"/>
        <w:bottom w:val="none" w:sz="0" w:space="0" w:color="auto"/>
        <w:right w:val="none" w:sz="0" w:space="0" w:color="auto"/>
      </w:divBdr>
    </w:div>
    <w:div w:id="1641303560">
      <w:bodyDiv w:val="1"/>
      <w:marLeft w:val="0"/>
      <w:marRight w:val="0"/>
      <w:marTop w:val="0"/>
      <w:marBottom w:val="0"/>
      <w:divBdr>
        <w:top w:val="none" w:sz="0" w:space="0" w:color="auto"/>
        <w:left w:val="none" w:sz="0" w:space="0" w:color="auto"/>
        <w:bottom w:val="none" w:sz="0" w:space="0" w:color="auto"/>
        <w:right w:val="none" w:sz="0" w:space="0" w:color="auto"/>
      </w:divBdr>
    </w:div>
    <w:div w:id="1645692770">
      <w:bodyDiv w:val="1"/>
      <w:marLeft w:val="0"/>
      <w:marRight w:val="0"/>
      <w:marTop w:val="0"/>
      <w:marBottom w:val="0"/>
      <w:divBdr>
        <w:top w:val="none" w:sz="0" w:space="0" w:color="auto"/>
        <w:left w:val="none" w:sz="0" w:space="0" w:color="auto"/>
        <w:bottom w:val="none" w:sz="0" w:space="0" w:color="auto"/>
        <w:right w:val="none" w:sz="0" w:space="0" w:color="auto"/>
      </w:divBdr>
    </w:div>
    <w:div w:id="1661537815">
      <w:bodyDiv w:val="1"/>
      <w:marLeft w:val="0"/>
      <w:marRight w:val="0"/>
      <w:marTop w:val="0"/>
      <w:marBottom w:val="0"/>
      <w:divBdr>
        <w:top w:val="none" w:sz="0" w:space="0" w:color="auto"/>
        <w:left w:val="none" w:sz="0" w:space="0" w:color="auto"/>
        <w:bottom w:val="none" w:sz="0" w:space="0" w:color="auto"/>
        <w:right w:val="none" w:sz="0" w:space="0" w:color="auto"/>
      </w:divBdr>
    </w:div>
    <w:div w:id="1681542659">
      <w:bodyDiv w:val="1"/>
      <w:marLeft w:val="0"/>
      <w:marRight w:val="0"/>
      <w:marTop w:val="0"/>
      <w:marBottom w:val="0"/>
      <w:divBdr>
        <w:top w:val="none" w:sz="0" w:space="0" w:color="auto"/>
        <w:left w:val="none" w:sz="0" w:space="0" w:color="auto"/>
        <w:bottom w:val="none" w:sz="0" w:space="0" w:color="auto"/>
        <w:right w:val="none" w:sz="0" w:space="0" w:color="auto"/>
      </w:divBdr>
      <w:divsChild>
        <w:div w:id="695617664">
          <w:marLeft w:val="1267"/>
          <w:marRight w:val="0"/>
          <w:marTop w:val="100"/>
          <w:marBottom w:val="0"/>
          <w:divBdr>
            <w:top w:val="none" w:sz="0" w:space="0" w:color="auto"/>
            <w:left w:val="none" w:sz="0" w:space="0" w:color="auto"/>
            <w:bottom w:val="none" w:sz="0" w:space="0" w:color="auto"/>
            <w:right w:val="none" w:sz="0" w:space="0" w:color="auto"/>
          </w:divBdr>
        </w:div>
        <w:div w:id="1162045689">
          <w:marLeft w:val="1267"/>
          <w:marRight w:val="0"/>
          <w:marTop w:val="100"/>
          <w:marBottom w:val="0"/>
          <w:divBdr>
            <w:top w:val="none" w:sz="0" w:space="0" w:color="auto"/>
            <w:left w:val="none" w:sz="0" w:space="0" w:color="auto"/>
            <w:bottom w:val="none" w:sz="0" w:space="0" w:color="auto"/>
            <w:right w:val="none" w:sz="0" w:space="0" w:color="auto"/>
          </w:divBdr>
        </w:div>
        <w:div w:id="1337223144">
          <w:marLeft w:val="1267"/>
          <w:marRight w:val="0"/>
          <w:marTop w:val="100"/>
          <w:marBottom w:val="0"/>
          <w:divBdr>
            <w:top w:val="none" w:sz="0" w:space="0" w:color="auto"/>
            <w:left w:val="none" w:sz="0" w:space="0" w:color="auto"/>
            <w:bottom w:val="none" w:sz="0" w:space="0" w:color="auto"/>
            <w:right w:val="none" w:sz="0" w:space="0" w:color="auto"/>
          </w:divBdr>
        </w:div>
        <w:div w:id="1435898458">
          <w:marLeft w:val="1267"/>
          <w:marRight w:val="0"/>
          <w:marTop w:val="100"/>
          <w:marBottom w:val="0"/>
          <w:divBdr>
            <w:top w:val="none" w:sz="0" w:space="0" w:color="auto"/>
            <w:left w:val="none" w:sz="0" w:space="0" w:color="auto"/>
            <w:bottom w:val="none" w:sz="0" w:space="0" w:color="auto"/>
            <w:right w:val="none" w:sz="0" w:space="0" w:color="auto"/>
          </w:divBdr>
        </w:div>
        <w:div w:id="1529101609">
          <w:marLeft w:val="1267"/>
          <w:marRight w:val="0"/>
          <w:marTop w:val="100"/>
          <w:marBottom w:val="0"/>
          <w:divBdr>
            <w:top w:val="none" w:sz="0" w:space="0" w:color="auto"/>
            <w:left w:val="none" w:sz="0" w:space="0" w:color="auto"/>
            <w:bottom w:val="none" w:sz="0" w:space="0" w:color="auto"/>
            <w:right w:val="none" w:sz="0" w:space="0" w:color="auto"/>
          </w:divBdr>
        </w:div>
        <w:div w:id="1582375660">
          <w:marLeft w:val="1267"/>
          <w:marRight w:val="0"/>
          <w:marTop w:val="100"/>
          <w:marBottom w:val="0"/>
          <w:divBdr>
            <w:top w:val="none" w:sz="0" w:space="0" w:color="auto"/>
            <w:left w:val="none" w:sz="0" w:space="0" w:color="auto"/>
            <w:bottom w:val="none" w:sz="0" w:space="0" w:color="auto"/>
            <w:right w:val="none" w:sz="0" w:space="0" w:color="auto"/>
          </w:divBdr>
        </w:div>
        <w:div w:id="1927956853">
          <w:marLeft w:val="1267"/>
          <w:marRight w:val="0"/>
          <w:marTop w:val="100"/>
          <w:marBottom w:val="0"/>
          <w:divBdr>
            <w:top w:val="none" w:sz="0" w:space="0" w:color="auto"/>
            <w:left w:val="none" w:sz="0" w:space="0" w:color="auto"/>
            <w:bottom w:val="none" w:sz="0" w:space="0" w:color="auto"/>
            <w:right w:val="none" w:sz="0" w:space="0" w:color="auto"/>
          </w:divBdr>
        </w:div>
      </w:divsChild>
    </w:div>
    <w:div w:id="1701126762">
      <w:bodyDiv w:val="1"/>
      <w:marLeft w:val="0"/>
      <w:marRight w:val="0"/>
      <w:marTop w:val="0"/>
      <w:marBottom w:val="0"/>
      <w:divBdr>
        <w:top w:val="none" w:sz="0" w:space="0" w:color="auto"/>
        <w:left w:val="none" w:sz="0" w:space="0" w:color="auto"/>
        <w:bottom w:val="none" w:sz="0" w:space="0" w:color="auto"/>
        <w:right w:val="none" w:sz="0" w:space="0" w:color="auto"/>
      </w:divBdr>
    </w:div>
    <w:div w:id="1711028646">
      <w:bodyDiv w:val="1"/>
      <w:marLeft w:val="0"/>
      <w:marRight w:val="0"/>
      <w:marTop w:val="0"/>
      <w:marBottom w:val="0"/>
      <w:divBdr>
        <w:top w:val="none" w:sz="0" w:space="0" w:color="auto"/>
        <w:left w:val="none" w:sz="0" w:space="0" w:color="auto"/>
        <w:bottom w:val="none" w:sz="0" w:space="0" w:color="auto"/>
        <w:right w:val="none" w:sz="0" w:space="0" w:color="auto"/>
      </w:divBdr>
    </w:div>
    <w:div w:id="1718965755">
      <w:bodyDiv w:val="1"/>
      <w:marLeft w:val="0"/>
      <w:marRight w:val="0"/>
      <w:marTop w:val="0"/>
      <w:marBottom w:val="0"/>
      <w:divBdr>
        <w:top w:val="none" w:sz="0" w:space="0" w:color="auto"/>
        <w:left w:val="none" w:sz="0" w:space="0" w:color="auto"/>
        <w:bottom w:val="none" w:sz="0" w:space="0" w:color="auto"/>
        <w:right w:val="none" w:sz="0" w:space="0" w:color="auto"/>
      </w:divBdr>
      <w:divsChild>
        <w:div w:id="744111028">
          <w:marLeft w:val="1267"/>
          <w:marRight w:val="0"/>
          <w:marTop w:val="100"/>
          <w:marBottom w:val="0"/>
          <w:divBdr>
            <w:top w:val="none" w:sz="0" w:space="0" w:color="auto"/>
            <w:left w:val="none" w:sz="0" w:space="0" w:color="auto"/>
            <w:bottom w:val="none" w:sz="0" w:space="0" w:color="auto"/>
            <w:right w:val="none" w:sz="0" w:space="0" w:color="auto"/>
          </w:divBdr>
        </w:div>
        <w:div w:id="786237777">
          <w:marLeft w:val="1267"/>
          <w:marRight w:val="0"/>
          <w:marTop w:val="100"/>
          <w:marBottom w:val="0"/>
          <w:divBdr>
            <w:top w:val="none" w:sz="0" w:space="0" w:color="auto"/>
            <w:left w:val="none" w:sz="0" w:space="0" w:color="auto"/>
            <w:bottom w:val="none" w:sz="0" w:space="0" w:color="auto"/>
            <w:right w:val="none" w:sz="0" w:space="0" w:color="auto"/>
          </w:divBdr>
        </w:div>
        <w:div w:id="842817388">
          <w:marLeft w:val="1267"/>
          <w:marRight w:val="0"/>
          <w:marTop w:val="100"/>
          <w:marBottom w:val="0"/>
          <w:divBdr>
            <w:top w:val="none" w:sz="0" w:space="0" w:color="auto"/>
            <w:left w:val="none" w:sz="0" w:space="0" w:color="auto"/>
            <w:bottom w:val="none" w:sz="0" w:space="0" w:color="auto"/>
            <w:right w:val="none" w:sz="0" w:space="0" w:color="auto"/>
          </w:divBdr>
        </w:div>
        <w:div w:id="957226042">
          <w:marLeft w:val="1267"/>
          <w:marRight w:val="0"/>
          <w:marTop w:val="100"/>
          <w:marBottom w:val="0"/>
          <w:divBdr>
            <w:top w:val="none" w:sz="0" w:space="0" w:color="auto"/>
            <w:left w:val="none" w:sz="0" w:space="0" w:color="auto"/>
            <w:bottom w:val="none" w:sz="0" w:space="0" w:color="auto"/>
            <w:right w:val="none" w:sz="0" w:space="0" w:color="auto"/>
          </w:divBdr>
        </w:div>
        <w:div w:id="1431850062">
          <w:marLeft w:val="1267"/>
          <w:marRight w:val="0"/>
          <w:marTop w:val="100"/>
          <w:marBottom w:val="0"/>
          <w:divBdr>
            <w:top w:val="none" w:sz="0" w:space="0" w:color="auto"/>
            <w:left w:val="none" w:sz="0" w:space="0" w:color="auto"/>
            <w:bottom w:val="none" w:sz="0" w:space="0" w:color="auto"/>
            <w:right w:val="none" w:sz="0" w:space="0" w:color="auto"/>
          </w:divBdr>
        </w:div>
        <w:div w:id="1478500114">
          <w:marLeft w:val="1267"/>
          <w:marRight w:val="0"/>
          <w:marTop w:val="100"/>
          <w:marBottom w:val="0"/>
          <w:divBdr>
            <w:top w:val="none" w:sz="0" w:space="0" w:color="auto"/>
            <w:left w:val="none" w:sz="0" w:space="0" w:color="auto"/>
            <w:bottom w:val="none" w:sz="0" w:space="0" w:color="auto"/>
            <w:right w:val="none" w:sz="0" w:space="0" w:color="auto"/>
          </w:divBdr>
        </w:div>
        <w:div w:id="1680817410">
          <w:marLeft w:val="1267"/>
          <w:marRight w:val="0"/>
          <w:marTop w:val="100"/>
          <w:marBottom w:val="0"/>
          <w:divBdr>
            <w:top w:val="none" w:sz="0" w:space="0" w:color="auto"/>
            <w:left w:val="none" w:sz="0" w:space="0" w:color="auto"/>
            <w:bottom w:val="none" w:sz="0" w:space="0" w:color="auto"/>
            <w:right w:val="none" w:sz="0" w:space="0" w:color="auto"/>
          </w:divBdr>
        </w:div>
        <w:div w:id="1992171607">
          <w:marLeft w:val="1267"/>
          <w:marRight w:val="0"/>
          <w:marTop w:val="100"/>
          <w:marBottom w:val="0"/>
          <w:divBdr>
            <w:top w:val="none" w:sz="0" w:space="0" w:color="auto"/>
            <w:left w:val="none" w:sz="0" w:space="0" w:color="auto"/>
            <w:bottom w:val="none" w:sz="0" w:space="0" w:color="auto"/>
            <w:right w:val="none" w:sz="0" w:space="0" w:color="auto"/>
          </w:divBdr>
        </w:div>
      </w:divsChild>
    </w:div>
    <w:div w:id="1719671575">
      <w:bodyDiv w:val="1"/>
      <w:marLeft w:val="0"/>
      <w:marRight w:val="0"/>
      <w:marTop w:val="0"/>
      <w:marBottom w:val="0"/>
      <w:divBdr>
        <w:top w:val="none" w:sz="0" w:space="0" w:color="auto"/>
        <w:left w:val="none" w:sz="0" w:space="0" w:color="auto"/>
        <w:bottom w:val="none" w:sz="0" w:space="0" w:color="auto"/>
        <w:right w:val="none" w:sz="0" w:space="0" w:color="auto"/>
      </w:divBdr>
    </w:div>
    <w:div w:id="1726366596">
      <w:bodyDiv w:val="1"/>
      <w:marLeft w:val="0"/>
      <w:marRight w:val="0"/>
      <w:marTop w:val="0"/>
      <w:marBottom w:val="0"/>
      <w:divBdr>
        <w:top w:val="none" w:sz="0" w:space="0" w:color="auto"/>
        <w:left w:val="none" w:sz="0" w:space="0" w:color="auto"/>
        <w:bottom w:val="none" w:sz="0" w:space="0" w:color="auto"/>
        <w:right w:val="none" w:sz="0" w:space="0" w:color="auto"/>
      </w:divBdr>
    </w:div>
    <w:div w:id="1752505431">
      <w:bodyDiv w:val="1"/>
      <w:marLeft w:val="0"/>
      <w:marRight w:val="0"/>
      <w:marTop w:val="0"/>
      <w:marBottom w:val="0"/>
      <w:divBdr>
        <w:top w:val="none" w:sz="0" w:space="0" w:color="auto"/>
        <w:left w:val="none" w:sz="0" w:space="0" w:color="auto"/>
        <w:bottom w:val="none" w:sz="0" w:space="0" w:color="auto"/>
        <w:right w:val="none" w:sz="0" w:space="0" w:color="auto"/>
      </w:divBdr>
    </w:div>
    <w:div w:id="1757702187">
      <w:bodyDiv w:val="1"/>
      <w:marLeft w:val="0"/>
      <w:marRight w:val="0"/>
      <w:marTop w:val="0"/>
      <w:marBottom w:val="0"/>
      <w:divBdr>
        <w:top w:val="none" w:sz="0" w:space="0" w:color="auto"/>
        <w:left w:val="none" w:sz="0" w:space="0" w:color="auto"/>
        <w:bottom w:val="none" w:sz="0" w:space="0" w:color="auto"/>
        <w:right w:val="none" w:sz="0" w:space="0" w:color="auto"/>
      </w:divBdr>
    </w:div>
    <w:div w:id="1759667837">
      <w:bodyDiv w:val="1"/>
      <w:marLeft w:val="0"/>
      <w:marRight w:val="0"/>
      <w:marTop w:val="0"/>
      <w:marBottom w:val="0"/>
      <w:divBdr>
        <w:top w:val="none" w:sz="0" w:space="0" w:color="auto"/>
        <w:left w:val="none" w:sz="0" w:space="0" w:color="auto"/>
        <w:bottom w:val="none" w:sz="0" w:space="0" w:color="auto"/>
        <w:right w:val="none" w:sz="0" w:space="0" w:color="auto"/>
      </w:divBdr>
    </w:div>
    <w:div w:id="1772897650">
      <w:bodyDiv w:val="1"/>
      <w:marLeft w:val="0"/>
      <w:marRight w:val="0"/>
      <w:marTop w:val="0"/>
      <w:marBottom w:val="0"/>
      <w:divBdr>
        <w:top w:val="none" w:sz="0" w:space="0" w:color="auto"/>
        <w:left w:val="none" w:sz="0" w:space="0" w:color="auto"/>
        <w:bottom w:val="none" w:sz="0" w:space="0" w:color="auto"/>
        <w:right w:val="none" w:sz="0" w:space="0" w:color="auto"/>
      </w:divBdr>
    </w:div>
    <w:div w:id="1775784760">
      <w:bodyDiv w:val="1"/>
      <w:marLeft w:val="0"/>
      <w:marRight w:val="0"/>
      <w:marTop w:val="0"/>
      <w:marBottom w:val="0"/>
      <w:divBdr>
        <w:top w:val="none" w:sz="0" w:space="0" w:color="auto"/>
        <w:left w:val="none" w:sz="0" w:space="0" w:color="auto"/>
        <w:bottom w:val="none" w:sz="0" w:space="0" w:color="auto"/>
        <w:right w:val="none" w:sz="0" w:space="0" w:color="auto"/>
      </w:divBdr>
    </w:div>
    <w:div w:id="1809662605">
      <w:bodyDiv w:val="1"/>
      <w:marLeft w:val="0"/>
      <w:marRight w:val="0"/>
      <w:marTop w:val="0"/>
      <w:marBottom w:val="0"/>
      <w:divBdr>
        <w:top w:val="none" w:sz="0" w:space="0" w:color="auto"/>
        <w:left w:val="none" w:sz="0" w:space="0" w:color="auto"/>
        <w:bottom w:val="none" w:sz="0" w:space="0" w:color="auto"/>
        <w:right w:val="none" w:sz="0" w:space="0" w:color="auto"/>
      </w:divBdr>
    </w:div>
    <w:div w:id="1814059228">
      <w:bodyDiv w:val="1"/>
      <w:marLeft w:val="0"/>
      <w:marRight w:val="0"/>
      <w:marTop w:val="0"/>
      <w:marBottom w:val="0"/>
      <w:divBdr>
        <w:top w:val="none" w:sz="0" w:space="0" w:color="auto"/>
        <w:left w:val="none" w:sz="0" w:space="0" w:color="auto"/>
        <w:bottom w:val="none" w:sz="0" w:space="0" w:color="auto"/>
        <w:right w:val="none" w:sz="0" w:space="0" w:color="auto"/>
      </w:divBdr>
    </w:div>
    <w:div w:id="1814833100">
      <w:bodyDiv w:val="1"/>
      <w:marLeft w:val="0"/>
      <w:marRight w:val="0"/>
      <w:marTop w:val="0"/>
      <w:marBottom w:val="0"/>
      <w:divBdr>
        <w:top w:val="none" w:sz="0" w:space="0" w:color="auto"/>
        <w:left w:val="none" w:sz="0" w:space="0" w:color="auto"/>
        <w:bottom w:val="none" w:sz="0" w:space="0" w:color="auto"/>
        <w:right w:val="none" w:sz="0" w:space="0" w:color="auto"/>
      </w:divBdr>
    </w:div>
    <w:div w:id="1816994443">
      <w:bodyDiv w:val="1"/>
      <w:marLeft w:val="0"/>
      <w:marRight w:val="0"/>
      <w:marTop w:val="0"/>
      <w:marBottom w:val="0"/>
      <w:divBdr>
        <w:top w:val="none" w:sz="0" w:space="0" w:color="auto"/>
        <w:left w:val="none" w:sz="0" w:space="0" w:color="auto"/>
        <w:bottom w:val="none" w:sz="0" w:space="0" w:color="auto"/>
        <w:right w:val="none" w:sz="0" w:space="0" w:color="auto"/>
      </w:divBdr>
    </w:div>
    <w:div w:id="1817919627">
      <w:bodyDiv w:val="1"/>
      <w:marLeft w:val="0"/>
      <w:marRight w:val="0"/>
      <w:marTop w:val="0"/>
      <w:marBottom w:val="0"/>
      <w:divBdr>
        <w:top w:val="none" w:sz="0" w:space="0" w:color="auto"/>
        <w:left w:val="none" w:sz="0" w:space="0" w:color="auto"/>
        <w:bottom w:val="none" w:sz="0" w:space="0" w:color="auto"/>
        <w:right w:val="none" w:sz="0" w:space="0" w:color="auto"/>
      </w:divBdr>
    </w:div>
    <w:div w:id="1819759968">
      <w:bodyDiv w:val="1"/>
      <w:marLeft w:val="0"/>
      <w:marRight w:val="0"/>
      <w:marTop w:val="0"/>
      <w:marBottom w:val="0"/>
      <w:divBdr>
        <w:top w:val="none" w:sz="0" w:space="0" w:color="auto"/>
        <w:left w:val="none" w:sz="0" w:space="0" w:color="auto"/>
        <w:bottom w:val="none" w:sz="0" w:space="0" w:color="auto"/>
        <w:right w:val="none" w:sz="0" w:space="0" w:color="auto"/>
      </w:divBdr>
    </w:div>
    <w:div w:id="1870292430">
      <w:bodyDiv w:val="1"/>
      <w:marLeft w:val="0"/>
      <w:marRight w:val="0"/>
      <w:marTop w:val="0"/>
      <w:marBottom w:val="0"/>
      <w:divBdr>
        <w:top w:val="none" w:sz="0" w:space="0" w:color="auto"/>
        <w:left w:val="none" w:sz="0" w:space="0" w:color="auto"/>
        <w:bottom w:val="none" w:sz="0" w:space="0" w:color="auto"/>
        <w:right w:val="none" w:sz="0" w:space="0" w:color="auto"/>
      </w:divBdr>
    </w:div>
    <w:div w:id="1879664793">
      <w:bodyDiv w:val="1"/>
      <w:marLeft w:val="0"/>
      <w:marRight w:val="0"/>
      <w:marTop w:val="0"/>
      <w:marBottom w:val="0"/>
      <w:divBdr>
        <w:top w:val="none" w:sz="0" w:space="0" w:color="auto"/>
        <w:left w:val="none" w:sz="0" w:space="0" w:color="auto"/>
        <w:bottom w:val="none" w:sz="0" w:space="0" w:color="auto"/>
        <w:right w:val="none" w:sz="0" w:space="0" w:color="auto"/>
      </w:divBdr>
    </w:div>
    <w:div w:id="1887524784">
      <w:bodyDiv w:val="1"/>
      <w:marLeft w:val="0"/>
      <w:marRight w:val="0"/>
      <w:marTop w:val="0"/>
      <w:marBottom w:val="0"/>
      <w:divBdr>
        <w:top w:val="none" w:sz="0" w:space="0" w:color="auto"/>
        <w:left w:val="none" w:sz="0" w:space="0" w:color="auto"/>
        <w:bottom w:val="none" w:sz="0" w:space="0" w:color="auto"/>
        <w:right w:val="none" w:sz="0" w:space="0" w:color="auto"/>
      </w:divBdr>
    </w:div>
    <w:div w:id="1907296436">
      <w:bodyDiv w:val="1"/>
      <w:marLeft w:val="0"/>
      <w:marRight w:val="0"/>
      <w:marTop w:val="0"/>
      <w:marBottom w:val="0"/>
      <w:divBdr>
        <w:top w:val="none" w:sz="0" w:space="0" w:color="auto"/>
        <w:left w:val="none" w:sz="0" w:space="0" w:color="auto"/>
        <w:bottom w:val="none" w:sz="0" w:space="0" w:color="auto"/>
        <w:right w:val="none" w:sz="0" w:space="0" w:color="auto"/>
      </w:divBdr>
    </w:div>
    <w:div w:id="1939018586">
      <w:bodyDiv w:val="1"/>
      <w:marLeft w:val="0"/>
      <w:marRight w:val="0"/>
      <w:marTop w:val="0"/>
      <w:marBottom w:val="0"/>
      <w:divBdr>
        <w:top w:val="none" w:sz="0" w:space="0" w:color="auto"/>
        <w:left w:val="none" w:sz="0" w:space="0" w:color="auto"/>
        <w:bottom w:val="none" w:sz="0" w:space="0" w:color="auto"/>
        <w:right w:val="none" w:sz="0" w:space="0" w:color="auto"/>
      </w:divBdr>
    </w:div>
    <w:div w:id="1984190938">
      <w:bodyDiv w:val="1"/>
      <w:marLeft w:val="0"/>
      <w:marRight w:val="0"/>
      <w:marTop w:val="0"/>
      <w:marBottom w:val="0"/>
      <w:divBdr>
        <w:top w:val="none" w:sz="0" w:space="0" w:color="auto"/>
        <w:left w:val="none" w:sz="0" w:space="0" w:color="auto"/>
        <w:bottom w:val="none" w:sz="0" w:space="0" w:color="auto"/>
        <w:right w:val="none" w:sz="0" w:space="0" w:color="auto"/>
      </w:divBdr>
    </w:div>
    <w:div w:id="2009404204">
      <w:bodyDiv w:val="1"/>
      <w:marLeft w:val="0"/>
      <w:marRight w:val="0"/>
      <w:marTop w:val="0"/>
      <w:marBottom w:val="0"/>
      <w:divBdr>
        <w:top w:val="none" w:sz="0" w:space="0" w:color="auto"/>
        <w:left w:val="none" w:sz="0" w:space="0" w:color="auto"/>
        <w:bottom w:val="none" w:sz="0" w:space="0" w:color="auto"/>
        <w:right w:val="none" w:sz="0" w:space="0" w:color="auto"/>
      </w:divBdr>
    </w:div>
    <w:div w:id="2031492616">
      <w:bodyDiv w:val="1"/>
      <w:marLeft w:val="0"/>
      <w:marRight w:val="0"/>
      <w:marTop w:val="0"/>
      <w:marBottom w:val="0"/>
      <w:divBdr>
        <w:top w:val="none" w:sz="0" w:space="0" w:color="auto"/>
        <w:left w:val="none" w:sz="0" w:space="0" w:color="auto"/>
        <w:bottom w:val="none" w:sz="0" w:space="0" w:color="auto"/>
        <w:right w:val="none" w:sz="0" w:space="0" w:color="auto"/>
      </w:divBdr>
    </w:div>
    <w:div w:id="2070759357">
      <w:bodyDiv w:val="1"/>
      <w:marLeft w:val="0"/>
      <w:marRight w:val="0"/>
      <w:marTop w:val="0"/>
      <w:marBottom w:val="0"/>
      <w:divBdr>
        <w:top w:val="none" w:sz="0" w:space="0" w:color="auto"/>
        <w:left w:val="none" w:sz="0" w:space="0" w:color="auto"/>
        <w:bottom w:val="none" w:sz="0" w:space="0" w:color="auto"/>
        <w:right w:val="none" w:sz="0" w:space="0" w:color="auto"/>
      </w:divBdr>
    </w:div>
    <w:div w:id="213768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chart" Target="charts/chart2.xml"/><Relationship Id="rId34" Type="http://schemas.openxmlformats.org/officeDocument/2006/relationships/image" Target="media/image12.jpg"/><Relationship Id="rId42" Type="http://schemas.openxmlformats.org/officeDocument/2006/relationships/image" Target="media/image20.jpg"/><Relationship Id="rId47" Type="http://schemas.openxmlformats.org/officeDocument/2006/relationships/footer" Target="footer3.xml"/><Relationship Id="rId50" Type="http://schemas.openxmlformats.org/officeDocument/2006/relationships/chart" Target="charts/chart9.xml"/><Relationship Id="rId55" Type="http://schemas.openxmlformats.org/officeDocument/2006/relationships/chart" Target="charts/chart14.xml"/><Relationship Id="rId63" Type="http://schemas.openxmlformats.org/officeDocument/2006/relationships/chart" Target="charts/chart2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diagramLayout" Target="diagrams/layout1.xml"/><Relationship Id="rId29" Type="http://schemas.openxmlformats.org/officeDocument/2006/relationships/image" Target="media/image7.jpeg"/><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10.jpe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header" Target="header3.xml"/><Relationship Id="rId53" Type="http://schemas.openxmlformats.org/officeDocument/2006/relationships/chart" Target="charts/chart12.xml"/><Relationship Id="rId58" Type="http://schemas.openxmlformats.org/officeDocument/2006/relationships/chart" Target="charts/chart17.xm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hart" Target="charts/chart20.xml"/><Relationship Id="rId19" Type="http://schemas.microsoft.com/office/2007/relationships/diagramDrawing" Target="diagrams/drawing1.xml"/><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chart" Target="charts/chart7.xml"/><Relationship Id="rId30" Type="http://schemas.openxmlformats.org/officeDocument/2006/relationships/image" Target="media/image8.PNG"/><Relationship Id="rId35" Type="http://schemas.openxmlformats.org/officeDocument/2006/relationships/image" Target="media/image13.JPG"/><Relationship Id="rId43" Type="http://schemas.openxmlformats.org/officeDocument/2006/relationships/image" Target="media/image21.JPG"/><Relationship Id="rId48" Type="http://schemas.openxmlformats.org/officeDocument/2006/relationships/footer" Target="footer4.xml"/><Relationship Id="rId56" Type="http://schemas.openxmlformats.org/officeDocument/2006/relationships/chart" Target="charts/chart15.xm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10.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diagramQuickStyle" Target="diagrams/quickStyle1.xml"/><Relationship Id="rId25" Type="http://schemas.openxmlformats.org/officeDocument/2006/relationships/chart" Target="charts/chart5.xml"/><Relationship Id="rId33" Type="http://schemas.openxmlformats.org/officeDocument/2006/relationships/image" Target="media/image11.png"/><Relationship Id="rId38" Type="http://schemas.openxmlformats.org/officeDocument/2006/relationships/image" Target="media/image16.JPG"/><Relationship Id="rId46" Type="http://schemas.openxmlformats.org/officeDocument/2006/relationships/header" Target="header4.xml"/><Relationship Id="rId59" Type="http://schemas.openxmlformats.org/officeDocument/2006/relationships/chart" Target="charts/chart18.xml"/><Relationship Id="rId20" Type="http://schemas.openxmlformats.org/officeDocument/2006/relationships/chart" Target="charts/chart1.xml"/><Relationship Id="rId41" Type="http://schemas.openxmlformats.org/officeDocument/2006/relationships/image" Target="media/image19.jpeg"/><Relationship Id="rId54" Type="http://schemas.openxmlformats.org/officeDocument/2006/relationships/chart" Target="charts/chart13.xml"/><Relationship Id="rId62"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chart" Target="charts/chart4.xml"/><Relationship Id="rId28" Type="http://schemas.openxmlformats.org/officeDocument/2006/relationships/image" Target="media/image6.png"/><Relationship Id="rId36" Type="http://schemas.openxmlformats.org/officeDocument/2006/relationships/image" Target="media/image14.jpg"/><Relationship Id="rId49" Type="http://schemas.openxmlformats.org/officeDocument/2006/relationships/chart" Target="charts/chart8.xml"/><Relationship Id="rId57" Type="http://schemas.openxmlformats.org/officeDocument/2006/relationships/chart" Target="charts/chart16.xml"/><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22.JPG"/><Relationship Id="rId52" Type="http://schemas.openxmlformats.org/officeDocument/2006/relationships/chart" Target="charts/chart11.xml"/><Relationship Id="rId60" Type="http://schemas.openxmlformats.org/officeDocument/2006/relationships/chart" Target="charts/chart19.xml"/><Relationship Id="rId65"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diagramColors" Target="diagrams/colors1.xml"/><Relationship Id="rId39" Type="http://schemas.openxmlformats.org/officeDocument/2006/relationships/image" Target="media/image17.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Bartosz%20Jakubowski\Dysk%20Google\Wska&#378;niki%20VI%20osi%20POIi&#346;\3.4%20Badania%20ankietowe\wykresy.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DEMOGRAFIA.xlsx"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9.xml"/><Relationship Id="rId1" Type="http://schemas.microsoft.com/office/2011/relationships/chartStyle" Target="style9.xml"/></Relationships>
</file>

<file path=word/charts/_rels/chart14.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0.xml"/><Relationship Id="rId1" Type="http://schemas.microsoft.com/office/2011/relationships/chartStyle" Target="style10.xml"/></Relationships>
</file>

<file path=word/charts/_rels/chart15.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2.xml"/><Relationship Id="rId1" Type="http://schemas.microsoft.com/office/2011/relationships/chartStyle" Target="style12.xml"/></Relationships>
</file>

<file path=word/charts/_rels/chart17.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3.xml"/><Relationship Id="rId1" Type="http://schemas.microsoft.com/office/2011/relationships/chartStyle" Target="style13.xml"/></Relationships>
</file>

<file path=word/charts/_rels/chart18.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4.xml"/><Relationship Id="rId1" Type="http://schemas.microsoft.com/office/2011/relationships/chartStyle" Target="style14.xml"/></Relationships>
</file>

<file path=word/charts/_rels/chart19.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Bartosz%20Jakubowski\Dysk%20Google\Wska&#378;niki%20VI%20osi%20POIi&#346;\3.4%20Badania%20ankietowe\wykresy.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oleObject" Target="file:///D:\2019%20VI%20o&#347;%20merytoryczna\2.8%20Panel%20CAWI\WYNIK%20PANELU\_WYKRESY_CAWI.xlsx" TargetMode="External"/><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Michal%20Wolanski\Dysk%20Google\VI%20o&#347;%20BIS\2.9%20AKK\Model%20pe&#322;en%20koszt%20kra&#324;cowy%20i%20ca&#322;y%20wykres.xlsx" TargetMode="External"/><Relationship Id="rId2" Type="http://schemas.microsoft.com/office/2011/relationships/chartColorStyle" Target="colors18.xml"/><Relationship Id="rId1" Type="http://schemas.microsoft.com/office/2011/relationships/chartStyle" Target="style18.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Paula\Dysk%20Google\Wska&#378;niki%20VI%20osi%20POIi&#346;\3.5%20Efekt%20netto\Wykres%20v3.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WDMYCLOUD\Public\Projekty%20zako&#324;czone\2017\MR%202017%20-%20Efekty%20transportowe\2.2%20Dane%20statystyczne\2.2.9%20Wykresy\wykresyPK.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Arkusz1!$A$175</c:f>
              <c:strCache>
                <c:ptCount val="1"/>
                <c:pt idx="0">
                  <c:v>codziennie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Arkusz1!$B$3:$C$3</c:f>
              <c:strCache>
                <c:ptCount val="2"/>
                <c:pt idx="0">
                  <c:v>Szczecin</c:v>
                </c:pt>
                <c:pt idx="1">
                  <c:v>Zielona Góra</c:v>
                </c:pt>
              </c:strCache>
            </c:strRef>
          </c:cat>
          <c:val>
            <c:numRef>
              <c:f>Arkusz1!$B$175:$C$175</c:f>
              <c:numCache>
                <c:formatCode>0.0%</c:formatCode>
                <c:ptCount val="2"/>
                <c:pt idx="0">
                  <c:v>0.16170000000000001</c:v>
                </c:pt>
                <c:pt idx="1">
                  <c:v>0.3745</c:v>
                </c:pt>
              </c:numCache>
            </c:numRef>
          </c:val>
          <c:extLst>
            <c:ext xmlns:c16="http://schemas.microsoft.com/office/drawing/2014/chart" uri="{C3380CC4-5D6E-409C-BE32-E72D297353CC}">
              <c16:uniqueId val="{00000000-FF46-461F-9D2A-F84805CE6931}"/>
            </c:ext>
          </c:extLst>
        </c:ser>
        <c:ser>
          <c:idx val="1"/>
          <c:order val="1"/>
          <c:tx>
            <c:strRef>
              <c:f>Arkusz1!$A$176</c:f>
              <c:strCache>
                <c:ptCount val="1"/>
                <c:pt idx="0">
                  <c:v>od poniedziałku do piątku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Arkusz1!$B$3:$C$3</c:f>
              <c:strCache>
                <c:ptCount val="2"/>
                <c:pt idx="0">
                  <c:v>Szczecin</c:v>
                </c:pt>
                <c:pt idx="1">
                  <c:v>Zielona Góra</c:v>
                </c:pt>
              </c:strCache>
            </c:strRef>
          </c:cat>
          <c:val>
            <c:numRef>
              <c:f>Arkusz1!$B$176:$C$176</c:f>
              <c:numCache>
                <c:formatCode>0.0%</c:formatCode>
                <c:ptCount val="2"/>
                <c:pt idx="0">
                  <c:v>0.30270000000000002</c:v>
                </c:pt>
                <c:pt idx="1">
                  <c:v>0.2893</c:v>
                </c:pt>
              </c:numCache>
            </c:numRef>
          </c:val>
          <c:extLst>
            <c:ext xmlns:c16="http://schemas.microsoft.com/office/drawing/2014/chart" uri="{C3380CC4-5D6E-409C-BE32-E72D297353CC}">
              <c16:uniqueId val="{00000001-FF46-461F-9D2A-F84805CE6931}"/>
            </c:ext>
          </c:extLst>
        </c:ser>
        <c:ser>
          <c:idx val="2"/>
          <c:order val="2"/>
          <c:tx>
            <c:strRef>
              <c:f>Arkusz1!$A$177</c:f>
              <c:strCache>
                <c:ptCount val="1"/>
                <c:pt idx="0">
                  <c:v>3-4 razy tygodniu</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Arkusz1!$B$3:$C$3</c:f>
              <c:strCache>
                <c:ptCount val="2"/>
                <c:pt idx="0">
                  <c:v>Szczecin</c:v>
                </c:pt>
                <c:pt idx="1">
                  <c:v>Zielona Góra</c:v>
                </c:pt>
              </c:strCache>
            </c:strRef>
          </c:cat>
          <c:val>
            <c:numRef>
              <c:f>Arkusz1!$B$177:$C$177</c:f>
              <c:numCache>
                <c:formatCode>0.0%</c:formatCode>
                <c:ptCount val="2"/>
                <c:pt idx="0">
                  <c:v>0.2455</c:v>
                </c:pt>
                <c:pt idx="1">
                  <c:v>0.1391</c:v>
                </c:pt>
              </c:numCache>
            </c:numRef>
          </c:val>
          <c:extLst>
            <c:ext xmlns:c16="http://schemas.microsoft.com/office/drawing/2014/chart" uri="{C3380CC4-5D6E-409C-BE32-E72D297353CC}">
              <c16:uniqueId val="{00000002-FF46-461F-9D2A-F84805CE6931}"/>
            </c:ext>
          </c:extLst>
        </c:ser>
        <c:ser>
          <c:idx val="3"/>
          <c:order val="3"/>
          <c:tx>
            <c:strRef>
              <c:f>Arkusz1!$A$178</c:f>
              <c:strCache>
                <c:ptCount val="1"/>
                <c:pt idx="0">
                  <c:v>1-2 razy tygodniu – bez weekendu</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Arkusz1!$B$3:$C$3</c:f>
              <c:strCache>
                <c:ptCount val="2"/>
                <c:pt idx="0">
                  <c:v>Szczecin</c:v>
                </c:pt>
                <c:pt idx="1">
                  <c:v>Zielona Góra</c:v>
                </c:pt>
              </c:strCache>
            </c:strRef>
          </c:cat>
          <c:val>
            <c:numRef>
              <c:f>Arkusz1!$B$178:$C$178</c:f>
              <c:numCache>
                <c:formatCode>0.0%</c:formatCode>
                <c:ptCount val="2"/>
                <c:pt idx="0">
                  <c:v>0.105</c:v>
                </c:pt>
                <c:pt idx="1">
                  <c:v>5.3999999999999999E-2</c:v>
                </c:pt>
              </c:numCache>
            </c:numRef>
          </c:val>
          <c:extLst>
            <c:ext xmlns:c16="http://schemas.microsoft.com/office/drawing/2014/chart" uri="{C3380CC4-5D6E-409C-BE32-E72D297353CC}">
              <c16:uniqueId val="{00000003-FF46-461F-9D2A-F84805CE6931}"/>
            </c:ext>
          </c:extLst>
        </c:ser>
        <c:ser>
          <c:idx val="4"/>
          <c:order val="4"/>
          <c:tx>
            <c:strRef>
              <c:f>Arkusz1!$A$179</c:f>
              <c:strCache>
                <c:ptCount val="1"/>
                <c:pt idx="0">
                  <c:v>podczas weekendu</c:v>
                </c:pt>
              </c:strCache>
            </c:strRef>
          </c:tx>
          <c:spPr>
            <a:solidFill>
              <a:schemeClr val="accent5"/>
            </a:solidFill>
            <a:ln>
              <a:noFill/>
            </a:ln>
            <a:effectLst/>
          </c:spPr>
          <c:invertIfNegative val="0"/>
          <c:cat>
            <c:strRef>
              <c:f>Arkusz1!$B$3:$C$3</c:f>
              <c:strCache>
                <c:ptCount val="2"/>
                <c:pt idx="0">
                  <c:v>Szczecin</c:v>
                </c:pt>
                <c:pt idx="1">
                  <c:v>Zielona Góra</c:v>
                </c:pt>
              </c:strCache>
            </c:strRef>
          </c:cat>
          <c:val>
            <c:numRef>
              <c:f>Arkusz1!$B$179:$C$179</c:f>
              <c:numCache>
                <c:formatCode>0.0%</c:formatCode>
                <c:ptCount val="2"/>
                <c:pt idx="0">
                  <c:v>5.62E-2</c:v>
                </c:pt>
                <c:pt idx="1">
                  <c:v>7.7000000000000002E-3</c:v>
                </c:pt>
              </c:numCache>
            </c:numRef>
          </c:val>
          <c:extLst>
            <c:ext xmlns:c16="http://schemas.microsoft.com/office/drawing/2014/chart" uri="{C3380CC4-5D6E-409C-BE32-E72D297353CC}">
              <c16:uniqueId val="{00000004-FF46-461F-9D2A-F84805CE6931}"/>
            </c:ext>
          </c:extLst>
        </c:ser>
        <c:ser>
          <c:idx val="5"/>
          <c:order val="5"/>
          <c:tx>
            <c:strRef>
              <c:f>Arkusz1!$A$180</c:f>
              <c:strCache>
                <c:ptCount val="1"/>
                <c:pt idx="0">
                  <c:v>kilka razy w miesiącu</c:v>
                </c:pt>
              </c:strCache>
            </c:strRef>
          </c:tx>
          <c:spPr>
            <a:solidFill>
              <a:schemeClr val="accent6"/>
            </a:solidFill>
            <a:ln>
              <a:noFill/>
            </a:ln>
            <a:effectLst/>
          </c:spPr>
          <c:invertIfNegative val="0"/>
          <c:cat>
            <c:strRef>
              <c:f>Arkusz1!$B$3:$C$3</c:f>
              <c:strCache>
                <c:ptCount val="2"/>
                <c:pt idx="0">
                  <c:v>Szczecin</c:v>
                </c:pt>
                <c:pt idx="1">
                  <c:v>Zielona Góra</c:v>
                </c:pt>
              </c:strCache>
            </c:strRef>
          </c:cat>
          <c:val>
            <c:numRef>
              <c:f>Arkusz1!$B$180:$C$180</c:f>
              <c:numCache>
                <c:formatCode>0.0%</c:formatCode>
                <c:ptCount val="2"/>
                <c:pt idx="0">
                  <c:v>8.0699999999999994E-2</c:v>
                </c:pt>
                <c:pt idx="1">
                  <c:v>6.5799999999999997E-2</c:v>
                </c:pt>
              </c:numCache>
            </c:numRef>
          </c:val>
          <c:extLst>
            <c:ext xmlns:c16="http://schemas.microsoft.com/office/drawing/2014/chart" uri="{C3380CC4-5D6E-409C-BE32-E72D297353CC}">
              <c16:uniqueId val="{00000005-FF46-461F-9D2A-F84805CE6931}"/>
            </c:ext>
          </c:extLst>
        </c:ser>
        <c:ser>
          <c:idx val="6"/>
          <c:order val="6"/>
          <c:tx>
            <c:strRef>
              <c:f>Arkusz1!$A$181</c:f>
              <c:strCache>
                <c:ptCount val="1"/>
                <c:pt idx="0">
                  <c:v>raz miesiącu lub rzadziej</c:v>
                </c:pt>
              </c:strCache>
            </c:strRef>
          </c:tx>
          <c:spPr>
            <a:solidFill>
              <a:schemeClr val="accent1">
                <a:lumMod val="60000"/>
              </a:schemeClr>
            </a:solidFill>
            <a:ln>
              <a:noFill/>
            </a:ln>
            <a:effectLst/>
          </c:spPr>
          <c:invertIfNegative val="0"/>
          <c:cat>
            <c:strRef>
              <c:f>Arkusz1!$B$3:$C$3</c:f>
              <c:strCache>
                <c:ptCount val="2"/>
                <c:pt idx="0">
                  <c:v>Szczecin</c:v>
                </c:pt>
                <c:pt idx="1">
                  <c:v>Zielona Góra</c:v>
                </c:pt>
              </c:strCache>
            </c:strRef>
          </c:cat>
          <c:val>
            <c:numRef>
              <c:f>Arkusz1!$B$181:$C$181</c:f>
              <c:numCache>
                <c:formatCode>0.0%</c:formatCode>
                <c:ptCount val="2"/>
                <c:pt idx="0">
                  <c:v>4.8099999999999997E-2</c:v>
                </c:pt>
                <c:pt idx="1">
                  <c:v>6.9599999999999995E-2</c:v>
                </c:pt>
              </c:numCache>
            </c:numRef>
          </c:val>
          <c:extLst>
            <c:ext xmlns:c16="http://schemas.microsoft.com/office/drawing/2014/chart" uri="{C3380CC4-5D6E-409C-BE32-E72D297353CC}">
              <c16:uniqueId val="{00000006-FF46-461F-9D2A-F84805CE6931}"/>
            </c:ext>
          </c:extLst>
        </c:ser>
        <c:dLbls>
          <c:showLegendKey val="0"/>
          <c:showVal val="0"/>
          <c:showCatName val="0"/>
          <c:showSerName val="0"/>
          <c:showPercent val="0"/>
          <c:showBubbleSize val="0"/>
        </c:dLbls>
        <c:gapWidth val="100"/>
        <c:overlap val="100"/>
        <c:axId val="-99658592"/>
        <c:axId val="-99655328"/>
      </c:barChart>
      <c:catAx>
        <c:axId val="-99658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99655328"/>
        <c:crosses val="autoZero"/>
        <c:auto val="1"/>
        <c:lblAlgn val="ctr"/>
        <c:lblOffset val="100"/>
        <c:noMultiLvlLbl val="0"/>
      </c:catAx>
      <c:valAx>
        <c:axId val="-9965532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99658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31933508311461"/>
          <c:y val="0"/>
          <c:w val="0.43935804899387582"/>
          <c:h val="0.99446021777928506"/>
        </c:manualLayout>
      </c:layout>
      <c:doughnutChart>
        <c:varyColors val="1"/>
        <c:ser>
          <c:idx val="0"/>
          <c:order val="0"/>
          <c:tx>
            <c:strRef>
              <c:f>Arkusz1!$S$53</c:f>
              <c:strCache>
                <c:ptCount val="1"/>
                <c:pt idx="0">
                  <c:v>100-200</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1-E08F-4233-AC32-F10FCC76D6E8}"/>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E08F-4233-AC32-F10FCC76D6E8}"/>
              </c:ext>
            </c:extLst>
          </c:dPt>
          <c:dLbls>
            <c:dLbl>
              <c:idx val="0"/>
              <c:layout>
                <c:manualLayout>
                  <c:x val="-3.6111185760483014E-2"/>
                  <c:y val="-1.8861993083935869E-2"/>
                </c:manualLayout>
              </c:layout>
              <c:tx>
                <c:rich>
                  <a:bodyPr/>
                  <a:lstStyle/>
                  <a:p>
                    <a:fld id="{AE8A550C-2825-45D3-A472-AA9786AFFAF4}" type="SERIESNAME">
                      <a:rPr lang="en-US"/>
                      <a:pPr/>
                      <a:t>[NAZWA SERII]</a:t>
                    </a:fld>
                    <a:r>
                      <a:rPr lang="en-US"/>
                      <a:t> tys.</a:t>
                    </a:r>
                  </a:p>
                </c:rich>
              </c:tx>
              <c:showLegendKey val="0"/>
              <c:showVal val="0"/>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08F-4233-AC32-F10FCC76D6E8}"/>
                </c:ext>
              </c:extLst>
            </c:dLbl>
            <c:dLbl>
              <c:idx val="1"/>
              <c:delete val="1"/>
              <c:extLst>
                <c:ext xmlns:c15="http://schemas.microsoft.com/office/drawing/2012/chart" uri="{CE6537A1-D6FC-4f65-9D91-7224C49458BB}"/>
                <c:ext xmlns:c16="http://schemas.microsoft.com/office/drawing/2014/chart" uri="{C3380CC4-5D6E-409C-BE32-E72D297353CC}">
                  <c16:uniqueId val="{00000003-E08F-4233-AC32-F10FCC76D6E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j-lt"/>
                    <a:ea typeface="+mn-ea"/>
                    <a:cs typeface="+mn-cs"/>
                  </a:defRPr>
                </a:pPr>
                <a:endParaRPr lang="pl-PL"/>
              </a:p>
            </c:txPr>
            <c:showLegendKey val="0"/>
            <c:showVal val="0"/>
            <c:showCatName val="0"/>
            <c:showSerName val="1"/>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ext>
            </c:extLst>
          </c:dLbls>
          <c:cat>
            <c:strRef>
              <c:f>Arkusz1!$Q$54:$Q$55</c:f>
              <c:strCache>
                <c:ptCount val="2"/>
                <c:pt idx="0">
                  <c:v>Tak</c:v>
                </c:pt>
                <c:pt idx="1">
                  <c:v>Nie</c:v>
                </c:pt>
              </c:strCache>
            </c:strRef>
          </c:cat>
          <c:val>
            <c:numRef>
              <c:f>Arkusz1!$S$54:$S$55</c:f>
              <c:numCache>
                <c:formatCode>0.00%</c:formatCode>
                <c:ptCount val="2"/>
                <c:pt idx="0" formatCode="0.00%\ [$D]">
                  <c:v>0.84379999999999999</c:v>
                </c:pt>
                <c:pt idx="1">
                  <c:v>0.15620000000000001</c:v>
                </c:pt>
              </c:numCache>
            </c:numRef>
          </c:val>
          <c:extLst>
            <c:ext xmlns:c16="http://schemas.microsoft.com/office/drawing/2014/chart" uri="{C3380CC4-5D6E-409C-BE32-E72D297353CC}">
              <c16:uniqueId val="{00000004-E08F-4233-AC32-F10FCC76D6E8}"/>
            </c:ext>
          </c:extLst>
        </c:ser>
        <c:ser>
          <c:idx val="1"/>
          <c:order val="1"/>
          <c:tx>
            <c:strRef>
              <c:f>Arkusz1!$T$53</c:f>
              <c:strCache>
                <c:ptCount val="1"/>
                <c:pt idx="0">
                  <c:v>200-400</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6-E08F-4233-AC32-F10FCC76D6E8}"/>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8-E08F-4233-AC32-F10FCC76D6E8}"/>
              </c:ext>
            </c:extLst>
          </c:dPt>
          <c:dLbls>
            <c:dLbl>
              <c:idx val="0"/>
              <c:layout>
                <c:manualLayout>
                  <c:x val="-6.6467576791808869E-2"/>
                  <c:y val="1.9486556717723716E-2"/>
                </c:manualLayout>
              </c:layout>
              <c:tx>
                <c:rich>
                  <a:bodyPr/>
                  <a:lstStyle/>
                  <a:p>
                    <a:fld id="{52E48734-4C3C-4206-9B80-F5949C25AE4A}" type="SERIESNAME">
                      <a:rPr lang="en-US"/>
                      <a:pPr/>
                      <a:t>[NAZWA SERII]</a:t>
                    </a:fld>
                    <a:r>
                      <a:rPr lang="en-US"/>
                      <a:t> tys.</a:t>
                    </a:r>
                  </a:p>
                </c:rich>
              </c:tx>
              <c:showLegendKey val="0"/>
              <c:showVal val="0"/>
              <c:showCatName val="0"/>
              <c:showSerName val="1"/>
              <c:showPercent val="0"/>
              <c:showBubbleSize val="0"/>
              <c:extLst>
                <c:ext xmlns:c15="http://schemas.microsoft.com/office/drawing/2012/chart" uri="{CE6537A1-D6FC-4f65-9D91-7224C49458BB}">
                  <c15:layout>
                    <c:manualLayout>
                      <c:w val="0.20967411070203254"/>
                      <c:h val="0.11604497199044148"/>
                    </c:manualLayout>
                  </c15:layout>
                  <c15:dlblFieldTable/>
                  <c15:showDataLabelsRange val="0"/>
                </c:ext>
                <c:ext xmlns:c16="http://schemas.microsoft.com/office/drawing/2014/chart" uri="{C3380CC4-5D6E-409C-BE32-E72D297353CC}">
                  <c16:uniqueId val="{00000006-E08F-4233-AC32-F10FCC76D6E8}"/>
                </c:ext>
              </c:extLst>
            </c:dLbl>
            <c:dLbl>
              <c:idx val="1"/>
              <c:delete val="1"/>
              <c:extLst>
                <c:ext xmlns:c15="http://schemas.microsoft.com/office/drawing/2012/chart" uri="{CE6537A1-D6FC-4f65-9D91-7224C49458BB}"/>
                <c:ext xmlns:c16="http://schemas.microsoft.com/office/drawing/2014/chart" uri="{C3380CC4-5D6E-409C-BE32-E72D297353CC}">
                  <c16:uniqueId val="{00000008-E08F-4233-AC32-F10FCC76D6E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j-lt"/>
                    <a:ea typeface="+mn-ea"/>
                    <a:cs typeface="+mn-cs"/>
                  </a:defRPr>
                </a:pPr>
                <a:endParaRPr lang="pl-PL"/>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ext>
            </c:extLst>
          </c:dLbls>
          <c:cat>
            <c:strRef>
              <c:f>Arkusz1!$Q$54:$Q$55</c:f>
              <c:strCache>
                <c:ptCount val="2"/>
                <c:pt idx="0">
                  <c:v>Tak</c:v>
                </c:pt>
                <c:pt idx="1">
                  <c:v>Nie</c:v>
                </c:pt>
              </c:strCache>
            </c:strRef>
          </c:cat>
          <c:val>
            <c:numRef>
              <c:f>Arkusz1!$T$54:$T$55</c:f>
              <c:numCache>
                <c:formatCode>0.00%</c:formatCode>
                <c:ptCount val="2"/>
                <c:pt idx="0" formatCode="0.00%\ [$D]">
                  <c:v>0.82</c:v>
                </c:pt>
                <c:pt idx="1">
                  <c:v>0.18</c:v>
                </c:pt>
              </c:numCache>
            </c:numRef>
          </c:val>
          <c:extLst>
            <c:ext xmlns:c16="http://schemas.microsoft.com/office/drawing/2014/chart" uri="{C3380CC4-5D6E-409C-BE32-E72D297353CC}">
              <c16:uniqueId val="{00000009-E08F-4233-AC32-F10FCC76D6E8}"/>
            </c:ext>
          </c:extLst>
        </c:ser>
        <c:ser>
          <c:idx val="2"/>
          <c:order val="2"/>
          <c:tx>
            <c:strRef>
              <c:f>Arkusz1!$U$53</c:f>
              <c:strCache>
                <c:ptCount val="1"/>
                <c:pt idx="0">
                  <c:v>400-800</c:v>
                </c:pt>
              </c:strCache>
            </c:strRef>
          </c:tx>
          <c:dPt>
            <c:idx val="0"/>
            <c:bubble3D val="0"/>
            <c:spPr>
              <a:solidFill>
                <a:schemeClr val="accent2"/>
              </a:solidFill>
              <a:ln w="19050">
                <a:solidFill>
                  <a:schemeClr val="lt1"/>
                </a:solidFill>
              </a:ln>
              <a:effectLst/>
            </c:spPr>
            <c:extLst>
              <c:ext xmlns:c16="http://schemas.microsoft.com/office/drawing/2014/chart" uri="{C3380CC4-5D6E-409C-BE32-E72D297353CC}">
                <c16:uniqueId val="{0000000B-E08F-4233-AC32-F10FCC76D6E8}"/>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D-E08F-4233-AC32-F10FCC76D6E8}"/>
              </c:ext>
            </c:extLst>
          </c:dPt>
          <c:dLbls>
            <c:dLbl>
              <c:idx val="0"/>
              <c:layout>
                <c:manualLayout>
                  <c:x val="-0.10800144222586507"/>
                  <c:y val="7.2144526710280613E-2"/>
                </c:manualLayout>
              </c:layout>
              <c:tx>
                <c:rich>
                  <a:bodyPr/>
                  <a:lstStyle/>
                  <a:p>
                    <a:fld id="{0111ABB8-E70C-493A-936F-2499FA784943}" type="SERIESNAME">
                      <a:rPr lang="en-US"/>
                      <a:pPr/>
                      <a:t>[NAZWA SERII]</a:t>
                    </a:fld>
                    <a:r>
                      <a:rPr lang="en-US"/>
                      <a:t> tys.</a:t>
                    </a:r>
                  </a:p>
                </c:rich>
              </c:tx>
              <c:showLegendKey val="0"/>
              <c:showVal val="0"/>
              <c:showCatName val="0"/>
              <c:showSerName val="1"/>
              <c:showPercent val="0"/>
              <c:showBubbleSize val="0"/>
              <c:extLst>
                <c:ext xmlns:c15="http://schemas.microsoft.com/office/drawing/2012/chart" uri="{CE6537A1-D6FC-4f65-9D91-7224C49458BB}">
                  <c15:layout>
                    <c:manualLayout>
                      <c:w val="0.19917878225972607"/>
                      <c:h val="0.10277797364881627"/>
                    </c:manualLayout>
                  </c15:layout>
                  <c15:dlblFieldTable/>
                  <c15:showDataLabelsRange val="0"/>
                </c:ext>
                <c:ext xmlns:c16="http://schemas.microsoft.com/office/drawing/2014/chart" uri="{C3380CC4-5D6E-409C-BE32-E72D297353CC}">
                  <c16:uniqueId val="{0000000B-E08F-4233-AC32-F10FCC76D6E8}"/>
                </c:ext>
              </c:extLst>
            </c:dLbl>
            <c:dLbl>
              <c:idx val="1"/>
              <c:delete val="1"/>
              <c:extLst>
                <c:ext xmlns:c15="http://schemas.microsoft.com/office/drawing/2012/chart" uri="{CE6537A1-D6FC-4f65-9D91-7224C49458BB}"/>
                <c:ext xmlns:c16="http://schemas.microsoft.com/office/drawing/2014/chart" uri="{C3380CC4-5D6E-409C-BE32-E72D297353CC}">
                  <c16:uniqueId val="{0000000D-E08F-4233-AC32-F10FCC76D6E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j-lt"/>
                    <a:ea typeface="+mn-ea"/>
                    <a:cs typeface="+mn-cs"/>
                  </a:defRPr>
                </a:pPr>
                <a:endParaRPr lang="pl-PL"/>
              </a:p>
            </c:txP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ext>
            </c:extLst>
          </c:dLbls>
          <c:cat>
            <c:strRef>
              <c:f>Arkusz1!$Q$54:$Q$55</c:f>
              <c:strCache>
                <c:ptCount val="2"/>
                <c:pt idx="0">
                  <c:v>Tak</c:v>
                </c:pt>
                <c:pt idx="1">
                  <c:v>Nie</c:v>
                </c:pt>
              </c:strCache>
            </c:strRef>
          </c:cat>
          <c:val>
            <c:numRef>
              <c:f>Arkusz1!$U$54:$U$55</c:f>
              <c:numCache>
                <c:formatCode>0.00%</c:formatCode>
                <c:ptCount val="2"/>
                <c:pt idx="0">
                  <c:v>0.78949999999999998</c:v>
                </c:pt>
                <c:pt idx="1">
                  <c:v>0.21049999999999999</c:v>
                </c:pt>
              </c:numCache>
            </c:numRef>
          </c:val>
          <c:extLst>
            <c:ext xmlns:c16="http://schemas.microsoft.com/office/drawing/2014/chart" uri="{C3380CC4-5D6E-409C-BE32-E72D297353CC}">
              <c16:uniqueId val="{0000000E-E08F-4233-AC32-F10FCC76D6E8}"/>
            </c:ext>
          </c:extLst>
        </c:ser>
        <c:dLbls>
          <c:showLegendKey val="0"/>
          <c:showVal val="0"/>
          <c:showCatName val="0"/>
          <c:showSerName val="0"/>
          <c:showPercent val="0"/>
          <c:showBubbleSize val="0"/>
          <c:showLeaderLines val="0"/>
        </c:dLbls>
        <c:firstSliceAng val="0"/>
        <c:holeSize val="25"/>
      </c:doughnutChart>
      <c:spPr>
        <a:noFill/>
        <a:ln>
          <a:solidFill>
            <a:schemeClr val="bg1">
              <a:alpha val="91000"/>
            </a:schemeClr>
          </a:solidFill>
        </a:ln>
        <a:effectLst/>
      </c:spPr>
    </c:plotArea>
    <c:legend>
      <c:legendPos val="l"/>
      <c:layout>
        <c:manualLayout>
          <c:xMode val="edge"/>
          <c:yMode val="edge"/>
          <c:x val="0.15760326247614953"/>
          <c:y val="0.31256995893432216"/>
          <c:w val="0.11758574973350175"/>
          <c:h val="0.299411614730176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r>
              <a:rPr lang="pl-PL" sz="1400"/>
              <a:t>Ogół badanych miast</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endParaRPr lang="pl-PL"/>
        </a:p>
      </c:txPr>
    </c:title>
    <c:autoTitleDeleted val="0"/>
    <c:plotArea>
      <c:layout>
        <c:manualLayout>
          <c:layoutTarget val="inner"/>
          <c:xMode val="edge"/>
          <c:yMode val="edge"/>
          <c:x val="0.1852946865339912"/>
          <c:y val="0.19646981627296589"/>
          <c:w val="0.67407342282304028"/>
          <c:h val="0.69872703412073478"/>
        </c:manualLayout>
      </c:layout>
      <c:pieChart>
        <c:varyColors val="1"/>
        <c:ser>
          <c:idx val="0"/>
          <c:order val="0"/>
          <c:tx>
            <c:strRef>
              <c:f>'Modal split'!$AO$40</c:f>
              <c:strCache>
                <c:ptCount val="1"/>
                <c:pt idx="0">
                  <c:v>Ogółem</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6A18-4C5C-8CAC-10B6947AAB75}"/>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6A18-4C5C-8CAC-10B6947AAB75}"/>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6A18-4C5C-8CAC-10B6947AAB75}"/>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6A18-4C5C-8CAC-10B6947AAB75}"/>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6A18-4C5C-8CAC-10B6947AAB75}"/>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6A18-4C5C-8CAC-10B6947AAB75}"/>
              </c:ext>
            </c:extLst>
          </c:dPt>
          <c:dLbls>
            <c:dLbl>
              <c:idx val="0"/>
              <c:layout>
                <c:manualLayout>
                  <c:x val="-0.18758374274229567"/>
                  <c:y val="-4.021398366870816E-2"/>
                </c:manualLayout>
              </c:layout>
              <c:showLegendKey val="0"/>
              <c:showVal val="0"/>
              <c:showCatName val="1"/>
              <c:showSerName val="0"/>
              <c:showPercent val="1"/>
              <c:showBubbleSize val="0"/>
              <c:extLst>
                <c:ext xmlns:c15="http://schemas.microsoft.com/office/drawing/2012/chart" uri="{CE6537A1-D6FC-4f65-9D91-7224C49458BB}">
                  <c15:layout>
                    <c:manualLayout>
                      <c:w val="0.23030353117427985"/>
                      <c:h val="0.16555555555555557"/>
                    </c:manualLayout>
                  </c15:layout>
                </c:ext>
                <c:ext xmlns:c16="http://schemas.microsoft.com/office/drawing/2014/chart" uri="{C3380CC4-5D6E-409C-BE32-E72D297353CC}">
                  <c16:uniqueId val="{00000001-6A18-4C5C-8CAC-10B6947AAB75}"/>
                </c:ext>
              </c:extLst>
            </c:dLbl>
            <c:dLbl>
              <c:idx val="1"/>
              <c:layout>
                <c:manualLayout>
                  <c:x val="-5.8160103814624782E-2"/>
                  <c:y val="-1.8518518518518517E-2"/>
                </c:manualLayout>
              </c:layout>
              <c:showLegendKey val="0"/>
              <c:showVal val="0"/>
              <c:showCatName val="1"/>
              <c:showSerName val="0"/>
              <c:showPercent val="1"/>
              <c:showBubbleSize val="0"/>
              <c:extLst>
                <c:ext xmlns:c15="http://schemas.microsoft.com/office/drawing/2012/chart" uri="{CE6537A1-D6FC-4f65-9D91-7224C49458BB}">
                  <c15:layout>
                    <c:manualLayout>
                      <c:w val="0.23671281822242071"/>
                      <c:h val="0.1423611111111111"/>
                    </c:manualLayout>
                  </c15:layout>
                </c:ext>
                <c:ext xmlns:c16="http://schemas.microsoft.com/office/drawing/2014/chart" uri="{C3380CC4-5D6E-409C-BE32-E72D297353CC}">
                  <c16:uniqueId val="{00000003-6A18-4C5C-8CAC-10B6947AAB75}"/>
                </c:ext>
              </c:extLst>
            </c:dLbl>
            <c:dLbl>
              <c:idx val="2"/>
              <c:layout>
                <c:manualLayout>
                  <c:x val="0.16971844854810747"/>
                  <c:y val="-5.9968285214348209E-2"/>
                </c:manualLayout>
              </c:layout>
              <c:showLegendKey val="0"/>
              <c:showVal val="0"/>
              <c:showCatName val="1"/>
              <c:showSerName val="0"/>
              <c:showPercent val="1"/>
              <c:showBubbleSize val="0"/>
              <c:extLst>
                <c:ext xmlns:c15="http://schemas.microsoft.com/office/drawing/2012/chart" uri="{CE6537A1-D6FC-4f65-9D91-7224C49458BB}">
                  <c15:layout>
                    <c:manualLayout>
                      <c:w val="0.29629298794104508"/>
                      <c:h val="0.21611111111111111"/>
                    </c:manualLayout>
                  </c15:layout>
                </c:ext>
                <c:ext xmlns:c16="http://schemas.microsoft.com/office/drawing/2014/chart" uri="{C3380CC4-5D6E-409C-BE32-E72D297353CC}">
                  <c16:uniqueId val="{00000005-6A18-4C5C-8CAC-10B6947AAB75}"/>
                </c:ext>
              </c:extLst>
            </c:dLbl>
            <c:dLbl>
              <c:idx val="3"/>
              <c:layout>
                <c:manualLayout>
                  <c:x val="-9.2960510351570061E-2"/>
                  <c:y val="0.14395414114902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A18-4C5C-8CAC-10B6947AAB75}"/>
                </c:ext>
              </c:extLst>
            </c:dLbl>
            <c:dLbl>
              <c:idx val="4"/>
              <c:layout>
                <c:manualLayout>
                  <c:x val="-5.6171026857462378E-2"/>
                  <c:y val="9.168671624380285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A18-4C5C-8CAC-10B6947AAB75}"/>
                </c:ext>
              </c:extLst>
            </c:dLbl>
            <c:dLbl>
              <c:idx val="5"/>
              <c:layout>
                <c:manualLayout>
                  <c:x val="-4.8569559667033621E-2"/>
                  <c:y val="4.000801983085447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A18-4C5C-8CAC-10B6947AAB7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j-lt"/>
                    <a:ea typeface="+mn-ea"/>
                    <a:cs typeface="+mn-cs"/>
                  </a:defRPr>
                </a:pPr>
                <a:endParaRPr lang="pl-PL"/>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'Modal split'!$AN$41:$AN$46</c:f>
              <c:strCache>
                <c:ptCount val="6"/>
                <c:pt idx="0">
                  <c:v>samochód</c:v>
                </c:pt>
                <c:pt idx="1">
                  <c:v>taksówka</c:v>
                </c:pt>
                <c:pt idx="2">
                  <c:v>komunikacja miejska</c:v>
                </c:pt>
                <c:pt idx="3">
                  <c:v>kolej</c:v>
                </c:pt>
                <c:pt idx="4">
                  <c:v>autobus regio</c:v>
                </c:pt>
                <c:pt idx="5">
                  <c:v>rower</c:v>
                </c:pt>
              </c:strCache>
            </c:strRef>
          </c:cat>
          <c:val>
            <c:numRef>
              <c:f>'Modal split'!$AO$41:$AO$46</c:f>
              <c:numCache>
                <c:formatCode>0.0%</c:formatCode>
                <c:ptCount val="6"/>
                <c:pt idx="0">
                  <c:v>0.54371165644171782</c:v>
                </c:pt>
                <c:pt idx="1">
                  <c:v>1.6359918200408996E-2</c:v>
                </c:pt>
                <c:pt idx="2">
                  <c:v>0.28834355828220859</c:v>
                </c:pt>
                <c:pt idx="3">
                  <c:v>2.0449897750511245E-2</c:v>
                </c:pt>
                <c:pt idx="4">
                  <c:v>5.0230061349693253E-2</c:v>
                </c:pt>
                <c:pt idx="5">
                  <c:v>8.0904907975460114E-2</c:v>
                </c:pt>
              </c:numCache>
            </c:numRef>
          </c:val>
          <c:extLst>
            <c:ext xmlns:c16="http://schemas.microsoft.com/office/drawing/2014/chart" uri="{C3380CC4-5D6E-409C-BE32-E72D297353CC}">
              <c16:uniqueId val="{0000000C-6A18-4C5C-8CAC-10B6947AAB75}"/>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r>
              <a:rPr lang="pl-PL" sz="1400"/>
              <a:t>Miasta 100-200 tys.</a:t>
            </a:r>
            <a:endParaRPr lang="en-U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endParaRPr lang="pl-PL"/>
        </a:p>
      </c:txPr>
    </c:title>
    <c:autoTitleDeleted val="0"/>
    <c:plotArea>
      <c:layout>
        <c:manualLayout>
          <c:layoutTarget val="inner"/>
          <c:xMode val="edge"/>
          <c:yMode val="edge"/>
          <c:x val="0.1852946865339912"/>
          <c:y val="0.20109944590259551"/>
          <c:w val="0.66960714323393811"/>
          <c:h val="0.69409740449110524"/>
        </c:manualLayout>
      </c:layout>
      <c:pieChart>
        <c:varyColors val="1"/>
        <c:ser>
          <c:idx val="0"/>
          <c:order val="0"/>
          <c:tx>
            <c:strRef>
              <c:f>'Modal split'!$AP$40</c:f>
              <c:strCache>
                <c:ptCount val="1"/>
                <c:pt idx="0">
                  <c:v>100-200</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8661-4FBE-A9BA-714EC08DDAB1}"/>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8661-4FBE-A9BA-714EC08DDAB1}"/>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8661-4FBE-A9BA-714EC08DDAB1}"/>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8661-4FBE-A9BA-714EC08DDAB1}"/>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8661-4FBE-A9BA-714EC08DDAB1}"/>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8661-4FBE-A9BA-714EC08DDAB1}"/>
              </c:ext>
            </c:extLst>
          </c:dPt>
          <c:dLbls>
            <c:dLbl>
              <c:idx val="0"/>
              <c:layout>
                <c:manualLayout>
                  <c:x val="-0.18758374274229567"/>
                  <c:y val="-0.11939851268591425"/>
                </c:manualLayout>
              </c:layout>
              <c:showLegendKey val="0"/>
              <c:showVal val="0"/>
              <c:showCatName val="1"/>
              <c:showSerName val="0"/>
              <c:showPercent val="1"/>
              <c:showBubbleSize val="0"/>
              <c:extLst>
                <c:ext xmlns:c15="http://schemas.microsoft.com/office/drawing/2012/chart" uri="{CE6537A1-D6FC-4f65-9D91-7224C49458BB}">
                  <c15:layout>
                    <c:manualLayout>
                      <c:w val="0.24816864953068896"/>
                      <c:h val="0.1238888888888889"/>
                    </c:manualLayout>
                  </c15:layout>
                </c:ext>
                <c:ext xmlns:c16="http://schemas.microsoft.com/office/drawing/2014/chart" uri="{C3380CC4-5D6E-409C-BE32-E72D297353CC}">
                  <c16:uniqueId val="{00000001-8661-4FBE-A9BA-714EC08DDAB1}"/>
                </c:ext>
              </c:extLst>
            </c:dLbl>
            <c:dLbl>
              <c:idx val="1"/>
              <c:layout>
                <c:manualLayout>
                  <c:x val="1.3638681497997207E-2"/>
                  <c:y val="-5.5005103528725577E-3"/>
                </c:manualLayout>
              </c:layout>
              <c:showLegendKey val="0"/>
              <c:showVal val="0"/>
              <c:showCatName val="1"/>
              <c:showSerName val="0"/>
              <c:showPercent val="1"/>
              <c:showBubbleSize val="0"/>
              <c:extLst>
                <c:ext xmlns:c15="http://schemas.microsoft.com/office/drawing/2012/chart" uri="{CE6537A1-D6FC-4f65-9D91-7224C49458BB}">
                  <c15:layout>
                    <c:manualLayout>
                      <c:w val="0.24564537740062528"/>
                      <c:h val="0.15625"/>
                    </c:manualLayout>
                  </c15:layout>
                </c:ext>
                <c:ext xmlns:c16="http://schemas.microsoft.com/office/drawing/2014/chart" uri="{C3380CC4-5D6E-409C-BE32-E72D297353CC}">
                  <c16:uniqueId val="{00000003-8661-4FBE-A9BA-714EC08DDAB1}"/>
                </c:ext>
              </c:extLst>
            </c:dLbl>
            <c:dLbl>
              <c:idx val="2"/>
              <c:layout>
                <c:manualLayout>
                  <c:x val="0.18311781482875158"/>
                  <c:y val="2.9658792650918636E-3"/>
                </c:manualLayout>
              </c:layout>
              <c:showLegendKey val="0"/>
              <c:showVal val="0"/>
              <c:showCatName val="1"/>
              <c:showSerName val="0"/>
              <c:showPercent val="1"/>
              <c:showBubbleSize val="0"/>
              <c:extLst>
                <c:ext xmlns:c15="http://schemas.microsoft.com/office/drawing/2012/chart" uri="{CE6537A1-D6FC-4f65-9D91-7224C49458BB}">
                  <c15:layout>
                    <c:manualLayout>
                      <c:w val="0.28289414917373829"/>
                      <c:h val="0.21611111111111111"/>
                    </c:manualLayout>
                  </c15:layout>
                </c:ext>
                <c:ext xmlns:c16="http://schemas.microsoft.com/office/drawing/2014/chart" uri="{C3380CC4-5D6E-409C-BE32-E72D297353CC}">
                  <c16:uniqueId val="{00000005-8661-4FBE-A9BA-714EC08DDAB1}"/>
                </c:ext>
              </c:extLst>
            </c:dLbl>
            <c:dLbl>
              <c:idx val="3"/>
              <c:layout>
                <c:manualLayout>
                  <c:x val="-9.0404884070152236E-2"/>
                  <c:y val="0.1301024351122775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661-4FBE-A9BA-714EC08DDAB1}"/>
                </c:ext>
              </c:extLst>
            </c:dLbl>
            <c:dLbl>
              <c:idx val="4"/>
              <c:layout>
                <c:manualLayout>
                  <c:x val="-4.653792996732934E-2"/>
                  <c:y val="7.121500437445318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661-4FBE-A9BA-714EC08DDAB1}"/>
                </c:ext>
              </c:extLst>
            </c:dLbl>
            <c:dLbl>
              <c:idx val="5"/>
              <c:layout>
                <c:manualLayout>
                  <c:x val="-3.1988408773602236E-3"/>
                  <c:y val="3.516076115485564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661-4FBE-A9BA-714EC08DDAB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j-lt"/>
                    <a:ea typeface="+mn-ea"/>
                    <a:cs typeface="+mn-cs"/>
                  </a:defRPr>
                </a:pPr>
                <a:endParaRPr lang="pl-PL"/>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'Modal split'!$AN$41:$AN$46</c:f>
              <c:strCache>
                <c:ptCount val="6"/>
                <c:pt idx="0">
                  <c:v>samochód</c:v>
                </c:pt>
                <c:pt idx="1">
                  <c:v>taksówka</c:v>
                </c:pt>
                <c:pt idx="2">
                  <c:v>komunikacja miejska</c:v>
                </c:pt>
                <c:pt idx="3">
                  <c:v>kolej</c:v>
                </c:pt>
                <c:pt idx="4">
                  <c:v>autobus regio</c:v>
                </c:pt>
                <c:pt idx="5">
                  <c:v>rower</c:v>
                </c:pt>
              </c:strCache>
            </c:strRef>
          </c:cat>
          <c:val>
            <c:numRef>
              <c:f>'Modal split'!$AP$41:$AP$46</c:f>
              <c:numCache>
                <c:formatCode>0.0%</c:formatCode>
                <c:ptCount val="6"/>
                <c:pt idx="0">
                  <c:v>0.61189162067235336</c:v>
                </c:pt>
                <c:pt idx="1">
                  <c:v>9.0316106372303074E-3</c:v>
                </c:pt>
                <c:pt idx="2">
                  <c:v>0.22842448569994986</c:v>
                </c:pt>
                <c:pt idx="3">
                  <c:v>2.1700953336678378E-2</c:v>
                </c:pt>
                <c:pt idx="4">
                  <c:v>4.641244355243352E-2</c:v>
                </c:pt>
                <c:pt idx="5">
                  <c:v>8.253888610135475E-2</c:v>
                </c:pt>
              </c:numCache>
            </c:numRef>
          </c:val>
          <c:extLst>
            <c:ext xmlns:c16="http://schemas.microsoft.com/office/drawing/2014/chart" uri="{C3380CC4-5D6E-409C-BE32-E72D297353CC}">
              <c16:uniqueId val="{0000000C-8661-4FBE-A9BA-714EC08DDAB1}"/>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r>
              <a:rPr lang="pl-PL" sz="1400"/>
              <a:t>Miasta 200-400 tys.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endParaRPr lang="pl-PL"/>
        </a:p>
      </c:txPr>
    </c:title>
    <c:autoTitleDeleted val="0"/>
    <c:plotArea>
      <c:layout>
        <c:manualLayout>
          <c:layoutTarget val="inner"/>
          <c:xMode val="edge"/>
          <c:yMode val="edge"/>
          <c:x val="0.20444377235337766"/>
          <c:y val="0.18828787890359486"/>
          <c:w val="0.64917408995157433"/>
          <c:h val="0.70489853899203436"/>
        </c:manualLayout>
      </c:layout>
      <c:pieChart>
        <c:varyColors val="1"/>
        <c:ser>
          <c:idx val="1"/>
          <c:order val="0"/>
          <c:tx>
            <c:strRef>
              <c:f>'Modal split'!$AQ$40</c:f>
              <c:strCache>
                <c:ptCount val="1"/>
                <c:pt idx="0">
                  <c:v>200-400</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61F-4885-A5BF-69B9FC4F943E}"/>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761F-4885-A5BF-69B9FC4F943E}"/>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761F-4885-A5BF-69B9FC4F943E}"/>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761F-4885-A5BF-69B9FC4F943E}"/>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761F-4885-A5BF-69B9FC4F943E}"/>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761F-4885-A5BF-69B9FC4F943E}"/>
              </c:ext>
            </c:extLst>
          </c:dPt>
          <c:dLbls>
            <c:dLbl>
              <c:idx val="0"/>
              <c:layout>
                <c:manualLayout>
                  <c:x val="-0.19651630192050024"/>
                  <c:y val="-2.254595721606574E-2"/>
                </c:manualLayout>
              </c:layout>
              <c:showLegendKey val="0"/>
              <c:showVal val="0"/>
              <c:showCatName val="1"/>
              <c:showSerName val="0"/>
              <c:showPercent val="1"/>
              <c:showBubbleSize val="0"/>
              <c:extLst>
                <c:ext xmlns:c15="http://schemas.microsoft.com/office/drawing/2012/chart" uri="{CE6537A1-D6FC-4f65-9D91-7224C49458BB}">
                  <c15:layout>
                    <c:manualLayout>
                      <c:w val="0.25710120870889352"/>
                      <c:h val="0.17342386032977691"/>
                    </c:manualLayout>
                  </c15:layout>
                </c:ext>
                <c:ext xmlns:c16="http://schemas.microsoft.com/office/drawing/2014/chart" uri="{C3380CC4-5D6E-409C-BE32-E72D297353CC}">
                  <c16:uniqueId val="{00000001-761F-4885-A5BF-69B9FC4F943E}"/>
                </c:ext>
              </c:extLst>
            </c:dLbl>
            <c:dLbl>
              <c:idx val="1"/>
              <c:layout>
                <c:manualLayout>
                  <c:x val="-4.7587857346326576E-2"/>
                  <c:y val="-2.3957322987390884E-2"/>
                </c:manualLayout>
              </c:layout>
              <c:showLegendKey val="0"/>
              <c:showVal val="0"/>
              <c:showCatName val="1"/>
              <c:showSerName val="0"/>
              <c:showPercent val="1"/>
              <c:showBubbleSize val="0"/>
              <c:extLst>
                <c:ext xmlns:c15="http://schemas.microsoft.com/office/drawing/2012/chart" uri="{CE6537A1-D6FC-4f65-9D91-7224C49458BB}">
                  <c15:layout>
                    <c:manualLayout>
                      <c:w val="0.22525698691415247"/>
                      <c:h val="0.17342386032977691"/>
                    </c:manualLayout>
                  </c15:layout>
                </c:ext>
                <c:ext xmlns:c16="http://schemas.microsoft.com/office/drawing/2014/chart" uri="{C3380CC4-5D6E-409C-BE32-E72D297353CC}">
                  <c16:uniqueId val="{00000003-761F-4885-A5BF-69B9FC4F943E}"/>
                </c:ext>
              </c:extLst>
            </c:dLbl>
            <c:dLbl>
              <c:idx val="2"/>
              <c:layout>
                <c:manualLayout>
                  <c:x val="0.1733718300844373"/>
                  <c:y val="-6.13936473265769E-2"/>
                </c:manualLayout>
              </c:layout>
              <c:showLegendKey val="0"/>
              <c:showVal val="0"/>
              <c:showCatName val="1"/>
              <c:showSerName val="0"/>
              <c:showPercent val="1"/>
              <c:showBubbleSize val="0"/>
              <c:extLst>
                <c:ext xmlns:c15="http://schemas.microsoft.com/office/drawing/2012/chart" uri="{CE6537A1-D6FC-4f65-9D91-7224C49458BB}">
                  <c15:layout>
                    <c:manualLayout>
                      <c:w val="0.31415810629745422"/>
                      <c:h val="0.22638215324927255"/>
                    </c:manualLayout>
                  </c15:layout>
                </c:ext>
                <c:ext xmlns:c16="http://schemas.microsoft.com/office/drawing/2014/chart" uri="{C3380CC4-5D6E-409C-BE32-E72D297353CC}">
                  <c16:uniqueId val="{00000005-761F-4885-A5BF-69B9FC4F943E}"/>
                </c:ext>
              </c:extLst>
            </c:dLbl>
            <c:dLbl>
              <c:idx val="3"/>
              <c:layout>
                <c:manualLayout>
                  <c:x val="-0.12921685369945105"/>
                  <c:y val="0.1823445626522678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61F-4885-A5BF-69B9FC4F943E}"/>
                </c:ext>
              </c:extLst>
            </c:dLbl>
            <c:dLbl>
              <c:idx val="4"/>
              <c:layout>
                <c:manualLayout>
                  <c:x val="-6.8544731372624887E-2"/>
                  <c:y val="8.51527833996502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761F-4885-A5BF-69B9FC4F943E}"/>
                </c:ext>
              </c:extLst>
            </c:dLbl>
            <c:dLbl>
              <c:idx val="5"/>
              <c:layout>
                <c:manualLayout>
                  <c:x val="-5.1184267442228454E-2"/>
                  <c:y val="5.050176802584446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761F-4885-A5BF-69B9FC4F94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j-lt"/>
                    <a:ea typeface="+mn-ea"/>
                    <a:cs typeface="+mn-cs"/>
                  </a:defRPr>
                </a:pPr>
                <a:endParaRPr lang="pl-PL"/>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'Modal split'!$AN$41:$AN$46</c:f>
              <c:strCache>
                <c:ptCount val="6"/>
                <c:pt idx="0">
                  <c:v>samochód</c:v>
                </c:pt>
                <c:pt idx="1">
                  <c:v>taksówka</c:v>
                </c:pt>
                <c:pt idx="2">
                  <c:v>komunikacja miejska</c:v>
                </c:pt>
                <c:pt idx="3">
                  <c:v>kolej</c:v>
                </c:pt>
                <c:pt idx="4">
                  <c:v>autobus regio</c:v>
                </c:pt>
                <c:pt idx="5">
                  <c:v>rower</c:v>
                </c:pt>
              </c:strCache>
            </c:strRef>
          </c:cat>
          <c:val>
            <c:numRef>
              <c:f>'Modal split'!$AQ$41:$AQ$46</c:f>
              <c:numCache>
                <c:formatCode>0.0%</c:formatCode>
                <c:ptCount val="6"/>
                <c:pt idx="0">
                  <c:v>0.55189780125291732</c:v>
                </c:pt>
                <c:pt idx="1">
                  <c:v>1.8425254882692543E-2</c:v>
                </c:pt>
                <c:pt idx="2">
                  <c:v>0.27637882324038821</c:v>
                </c:pt>
                <c:pt idx="3">
                  <c:v>1.5722884166564307E-2</c:v>
                </c:pt>
                <c:pt idx="4">
                  <c:v>5.3924579290013513E-2</c:v>
                </c:pt>
                <c:pt idx="5">
                  <c:v>8.3650657167424147E-2</c:v>
                </c:pt>
              </c:numCache>
            </c:numRef>
          </c:val>
          <c:extLst>
            <c:ext xmlns:c16="http://schemas.microsoft.com/office/drawing/2014/chart" uri="{C3380CC4-5D6E-409C-BE32-E72D297353CC}">
              <c16:uniqueId val="{0000000C-761F-4885-A5BF-69B9FC4F943E}"/>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r>
              <a:rPr lang="pl-PL" sz="1400"/>
              <a:t>Miasta 400-800 tys.</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2"/>
              </a:solidFill>
              <a:latin typeface="+mj-lt"/>
              <a:ea typeface="+mn-ea"/>
              <a:cs typeface="+mn-cs"/>
            </a:defRPr>
          </a:pPr>
          <a:endParaRPr lang="pl-PL"/>
        </a:p>
      </c:txPr>
    </c:title>
    <c:autoTitleDeleted val="0"/>
    <c:plotArea>
      <c:layout>
        <c:manualLayout>
          <c:layoutTarget val="inner"/>
          <c:xMode val="edge"/>
          <c:yMode val="edge"/>
          <c:x val="0.20473706976891398"/>
          <c:y val="0.20293904659636547"/>
          <c:w val="0.635189008028753"/>
          <c:h val="0.69021508807395193"/>
        </c:manualLayout>
      </c:layout>
      <c:pieChart>
        <c:varyColors val="1"/>
        <c:ser>
          <c:idx val="0"/>
          <c:order val="0"/>
          <c:tx>
            <c:strRef>
              <c:f>'Modal split'!$AR$40</c:f>
              <c:strCache>
                <c:ptCount val="1"/>
                <c:pt idx="0">
                  <c:v>400-800</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08CA-4F38-AEF5-37FE32398CDA}"/>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3-08CA-4F38-AEF5-37FE32398CDA}"/>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5-08CA-4F38-AEF5-37FE32398CDA}"/>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7-08CA-4F38-AEF5-37FE32398CDA}"/>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9-08CA-4F38-AEF5-37FE32398CDA}"/>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B-08CA-4F38-AEF5-37FE32398CDA}"/>
              </c:ext>
            </c:extLst>
          </c:dPt>
          <c:dLbls>
            <c:dLbl>
              <c:idx val="0"/>
              <c:layout>
                <c:manualLayout>
                  <c:x val="-0.18311746315319338"/>
                  <c:y val="-2.4204812301883765E-3"/>
                </c:manualLayout>
              </c:layout>
              <c:showLegendKey val="0"/>
              <c:showVal val="0"/>
              <c:showCatName val="1"/>
              <c:showSerName val="0"/>
              <c:showPercent val="1"/>
              <c:showBubbleSize val="0"/>
              <c:extLst>
                <c:ext xmlns:c15="http://schemas.microsoft.com/office/drawing/2012/chart" uri="{CE6537A1-D6FC-4f65-9D91-7224C49458BB}">
                  <c15:layout>
                    <c:manualLayout>
                      <c:w val="0.24816864953068896"/>
                      <c:h val="0.17355010919679689"/>
                    </c:manualLayout>
                  </c15:layout>
                </c:ext>
                <c:ext xmlns:c16="http://schemas.microsoft.com/office/drawing/2014/chart" uri="{C3380CC4-5D6E-409C-BE32-E72D297353CC}">
                  <c16:uniqueId val="{00000001-08CA-4F38-AEF5-37FE32398CDA}"/>
                </c:ext>
              </c:extLst>
            </c:dLbl>
            <c:dLbl>
              <c:idx val="1"/>
              <c:layout>
                <c:manualLayout>
                  <c:x val="0.27238116003699625"/>
                  <c:y val="-2.8099975734045133E-2"/>
                </c:manualLayout>
              </c:layout>
              <c:showLegendKey val="0"/>
              <c:showVal val="0"/>
              <c:showCatName val="1"/>
              <c:showSerName val="0"/>
              <c:showPercent val="1"/>
              <c:showBubbleSize val="0"/>
              <c:extLst>
                <c:ext xmlns:c15="http://schemas.microsoft.com/office/drawing/2012/chart" uri="{CE6537A1-D6FC-4f65-9D91-7224C49458BB}">
                  <c15:layout>
                    <c:manualLayout>
                      <c:w val="0.25119481770897439"/>
                      <c:h val="0.17355010919679689"/>
                    </c:manualLayout>
                  </c15:layout>
                </c:ext>
                <c:ext xmlns:c16="http://schemas.microsoft.com/office/drawing/2014/chart" uri="{C3380CC4-5D6E-409C-BE32-E72D297353CC}">
                  <c16:uniqueId val="{00000003-08CA-4F38-AEF5-37FE32398CDA}"/>
                </c:ext>
              </c:extLst>
            </c:dLbl>
            <c:dLbl>
              <c:idx val="2"/>
              <c:layout>
                <c:manualLayout>
                  <c:x val="0.20991514068780706"/>
                  <c:y val="-0.11880726144369065"/>
                </c:manualLayout>
              </c:layout>
              <c:showLegendKey val="0"/>
              <c:showVal val="0"/>
              <c:showCatName val="1"/>
              <c:showSerName val="0"/>
              <c:showPercent val="1"/>
              <c:showBubbleSize val="0"/>
              <c:extLst>
                <c:ext xmlns:c15="http://schemas.microsoft.com/office/drawing/2012/chart" uri="{CE6537A1-D6FC-4f65-9D91-7224C49458BB}">
                  <c15:layout>
                    <c:manualLayout>
                      <c:w val="0.28289414917373829"/>
                      <c:h val="0.22654695462266441"/>
                    </c:manualLayout>
                  </c15:layout>
                </c:ext>
                <c:ext xmlns:c16="http://schemas.microsoft.com/office/drawing/2014/chart" uri="{C3380CC4-5D6E-409C-BE32-E72D297353CC}">
                  <c16:uniqueId val="{00000005-08CA-4F38-AEF5-37FE32398CDA}"/>
                </c:ext>
              </c:extLst>
            </c:dLbl>
            <c:dLbl>
              <c:idx val="3"/>
              <c:layout>
                <c:manualLayout>
                  <c:x val="-0.13008760238154687"/>
                  <c:y val="0.1520562053014424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8CA-4F38-AEF5-37FE32398CDA}"/>
                </c:ext>
              </c:extLst>
            </c:dLbl>
            <c:dLbl>
              <c:idx val="4"/>
              <c:layout>
                <c:manualLayout>
                  <c:x val="-0.10630835616293832"/>
                  <c:y val="9.666868564506360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8CA-4F38-AEF5-37FE32398CDA}"/>
                </c:ext>
              </c:extLst>
            </c:dLbl>
            <c:dLbl>
              <c:idx val="5"/>
              <c:layout>
                <c:manualLayout>
                  <c:x val="-8.3470193738065052E-2"/>
                  <c:y val="3.822136282952497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8CA-4F38-AEF5-37FE32398C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j-lt"/>
                    <a:ea typeface="+mn-ea"/>
                    <a:cs typeface="+mn-cs"/>
                  </a:defRPr>
                </a:pPr>
                <a:endParaRPr lang="pl-PL"/>
              </a:p>
            </c:txP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'Modal split'!$AN$41:$AN$46</c:f>
              <c:strCache>
                <c:ptCount val="6"/>
                <c:pt idx="0">
                  <c:v>samochód</c:v>
                </c:pt>
                <c:pt idx="1">
                  <c:v>taksówka</c:v>
                </c:pt>
                <c:pt idx="2">
                  <c:v>komunikacja miejska</c:v>
                </c:pt>
                <c:pt idx="3">
                  <c:v>kolej</c:v>
                </c:pt>
                <c:pt idx="4">
                  <c:v>autobus regio</c:v>
                </c:pt>
                <c:pt idx="5">
                  <c:v>rower</c:v>
                </c:pt>
              </c:strCache>
            </c:strRef>
          </c:cat>
          <c:val>
            <c:numRef>
              <c:f>'Modal split'!$AR$41:$AR$46</c:f>
              <c:numCache>
                <c:formatCode>0.0%</c:formatCode>
                <c:ptCount val="6"/>
                <c:pt idx="0">
                  <c:v>0.47759386354461036</c:v>
                </c:pt>
                <c:pt idx="1">
                  <c:v>2.0589422688736373E-2</c:v>
                </c:pt>
                <c:pt idx="2">
                  <c:v>0.35136589960974302</c:v>
                </c:pt>
                <c:pt idx="3">
                  <c:v>2.3684564661552956E-2</c:v>
                </c:pt>
                <c:pt idx="4">
                  <c:v>4.9925985735432651E-2</c:v>
                </c:pt>
                <c:pt idx="5">
                  <c:v>7.6840263759924643E-2</c:v>
                </c:pt>
              </c:numCache>
            </c:numRef>
          </c:val>
          <c:extLst>
            <c:ext xmlns:c16="http://schemas.microsoft.com/office/drawing/2014/chart" uri="{C3380CC4-5D6E-409C-BE32-E72D297353CC}">
              <c16:uniqueId val="{0000000C-08CA-4F38-AEF5-37FE32398CDA}"/>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38163388862579"/>
          <c:y val="1.1967711583221909E-2"/>
          <c:w val="0.75174923194085208"/>
          <c:h val="0.87374258406378447"/>
        </c:manualLayout>
      </c:layout>
      <c:barChart>
        <c:barDir val="bar"/>
        <c:grouping val="stacked"/>
        <c:varyColors val="0"/>
        <c:ser>
          <c:idx val="0"/>
          <c:order val="0"/>
          <c:tx>
            <c:strRef>
              <c:f>'Modal split'!$AN$41</c:f>
              <c:strCache>
                <c:ptCount val="1"/>
                <c:pt idx="0">
                  <c:v>samochód</c:v>
                </c:pt>
              </c:strCache>
            </c:strRef>
          </c:tx>
          <c:spPr>
            <a:solidFill>
              <a:schemeClr val="accent1">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split'!$AO$41,'Modal split'!$AW$41:$BP$41)</c:f>
              <c:numCache>
                <c:formatCode>0.0%</c:formatCode>
                <c:ptCount val="21"/>
                <c:pt idx="0">
                  <c:v>0.54371165644171782</c:v>
                </c:pt>
                <c:pt idx="1">
                  <c:v>0.53023255813953485</c:v>
                </c:pt>
                <c:pt idx="2">
                  <c:v>0.51052498097894994</c:v>
                </c:pt>
                <c:pt idx="3">
                  <c:v>0.61615496112794843</c:v>
                </c:pt>
                <c:pt idx="4">
                  <c:v>0.56705882352941184</c:v>
                </c:pt>
                <c:pt idx="5">
                  <c:v>0.51168720781980448</c:v>
                </c:pt>
                <c:pt idx="6">
                  <c:v>0.4794985941893159</c:v>
                </c:pt>
                <c:pt idx="7">
                  <c:v>0.66956796961544562</c:v>
                </c:pt>
                <c:pt idx="8">
                  <c:v>0.6348103903319906</c:v>
                </c:pt>
                <c:pt idx="9">
                  <c:v>0.4506199854121079</c:v>
                </c:pt>
                <c:pt idx="10">
                  <c:v>0.6360438942037141</c:v>
                </c:pt>
                <c:pt idx="11">
                  <c:v>0.47927695287282113</c:v>
                </c:pt>
                <c:pt idx="12">
                  <c:v>0.51008581299453915</c:v>
                </c:pt>
                <c:pt idx="13">
                  <c:v>0.55505279034690802</c:v>
                </c:pt>
                <c:pt idx="14">
                  <c:v>0.70739244116947952</c:v>
                </c:pt>
                <c:pt idx="15">
                  <c:v>0.46038824763903452</c:v>
                </c:pt>
                <c:pt idx="16">
                  <c:v>0.67158627309815222</c:v>
                </c:pt>
                <c:pt idx="17">
                  <c:v>0.52716193439647341</c:v>
                </c:pt>
                <c:pt idx="18">
                  <c:v>0.56576225818226056</c:v>
                </c:pt>
                <c:pt idx="19">
                  <c:v>0.43703315423928712</c:v>
                </c:pt>
                <c:pt idx="20">
                  <c:v>0.62564862861378812</c:v>
                </c:pt>
              </c:numCache>
            </c:numRef>
          </c:val>
          <c:extLst>
            <c:ext xmlns:c16="http://schemas.microsoft.com/office/drawing/2014/chart" uri="{C3380CC4-5D6E-409C-BE32-E72D297353CC}">
              <c16:uniqueId val="{00000000-EED6-4135-AC9C-C66E3DF8F193}"/>
            </c:ext>
          </c:extLst>
        </c:ser>
        <c:ser>
          <c:idx val="1"/>
          <c:order val="1"/>
          <c:tx>
            <c:strRef>
              <c:f>'Modal split'!$AN$42</c:f>
              <c:strCache>
                <c:ptCount val="1"/>
                <c:pt idx="0">
                  <c:v>taksówka</c:v>
                </c:pt>
              </c:strCache>
            </c:strRef>
          </c:tx>
          <c:spPr>
            <a:solidFill>
              <a:schemeClr val="accent3">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split'!$AO$42,'Modal split'!$AW$42:$BP$42)</c:f>
              <c:numCache>
                <c:formatCode>0.0%</c:formatCode>
                <c:ptCount val="21"/>
                <c:pt idx="0">
                  <c:v>1.6359918200408996E-2</c:v>
                </c:pt>
                <c:pt idx="1">
                  <c:v>1.8816067653276956E-2</c:v>
                </c:pt>
                <c:pt idx="2">
                  <c:v>1.9655084960689826E-2</c:v>
                </c:pt>
                <c:pt idx="3">
                  <c:v>1.4494663328501779E-2</c:v>
                </c:pt>
                <c:pt idx="4">
                  <c:v>1.9607843137254902E-2</c:v>
                </c:pt>
                <c:pt idx="5">
                  <c:v>2.4082731265051709E-2</c:v>
                </c:pt>
                <c:pt idx="6">
                  <c:v>2.5773195876288658E-2</c:v>
                </c:pt>
                <c:pt idx="7">
                  <c:v>0</c:v>
                </c:pt>
                <c:pt idx="8">
                  <c:v>9.8624809001250178E-3</c:v>
                </c:pt>
                <c:pt idx="9">
                  <c:v>1.6338439095550692E-2</c:v>
                </c:pt>
                <c:pt idx="10">
                  <c:v>1.5053460889139E-2</c:v>
                </c:pt>
                <c:pt idx="11">
                  <c:v>5.939315687540349E-3</c:v>
                </c:pt>
                <c:pt idx="12">
                  <c:v>6.1294996099409329E-3</c:v>
                </c:pt>
                <c:pt idx="13">
                  <c:v>0</c:v>
                </c:pt>
                <c:pt idx="14">
                  <c:v>1.3786546232469691E-2</c:v>
                </c:pt>
                <c:pt idx="15">
                  <c:v>2.2298006295907658E-2</c:v>
                </c:pt>
                <c:pt idx="16">
                  <c:v>6.4794816414686833E-3</c:v>
                </c:pt>
                <c:pt idx="17">
                  <c:v>1.1020355244392583E-2</c:v>
                </c:pt>
                <c:pt idx="18">
                  <c:v>1.5817009368536316E-2</c:v>
                </c:pt>
                <c:pt idx="19">
                  <c:v>4.4293015332197608E-2</c:v>
                </c:pt>
                <c:pt idx="20">
                  <c:v>1.865579441561651E-2</c:v>
                </c:pt>
              </c:numCache>
            </c:numRef>
          </c:val>
          <c:extLst>
            <c:ext xmlns:c16="http://schemas.microsoft.com/office/drawing/2014/chart" uri="{C3380CC4-5D6E-409C-BE32-E72D297353CC}">
              <c16:uniqueId val="{00000001-EED6-4135-AC9C-C66E3DF8F193}"/>
            </c:ext>
          </c:extLst>
        </c:ser>
        <c:ser>
          <c:idx val="5"/>
          <c:order val="2"/>
          <c:tx>
            <c:strRef>
              <c:f>'Modal split'!$AN$46</c:f>
              <c:strCache>
                <c:ptCount val="1"/>
                <c:pt idx="0">
                  <c:v>rower</c:v>
                </c:pt>
              </c:strCache>
            </c:strRef>
          </c:tx>
          <c:spPr>
            <a:solidFill>
              <a:schemeClr val="accent5">
                <a:lumMod val="60000"/>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split'!$AO$46,'Modal split'!$AW$46:$BP$46)</c:f>
              <c:numCache>
                <c:formatCode>0.0%</c:formatCode>
                <c:ptCount val="21"/>
                <c:pt idx="0">
                  <c:v>8.0904907975460114E-2</c:v>
                </c:pt>
                <c:pt idx="1">
                  <c:v>8.5940803382663841E-2</c:v>
                </c:pt>
                <c:pt idx="2">
                  <c:v>7.494293685011412E-2</c:v>
                </c:pt>
                <c:pt idx="3">
                  <c:v>6.4303597311898816E-2</c:v>
                </c:pt>
                <c:pt idx="4">
                  <c:v>6.4575163398692806E-2</c:v>
                </c:pt>
                <c:pt idx="5">
                  <c:v>9.5480946309675602E-2</c:v>
                </c:pt>
                <c:pt idx="6">
                  <c:v>6.0449859418931592E-2</c:v>
                </c:pt>
                <c:pt idx="7">
                  <c:v>4.2095268238645359E-2</c:v>
                </c:pt>
                <c:pt idx="8">
                  <c:v>0.12765661897485758</c:v>
                </c:pt>
                <c:pt idx="9">
                  <c:v>4.2742523705324581E-2</c:v>
                </c:pt>
                <c:pt idx="10">
                  <c:v>5.5430500844119303E-2</c:v>
                </c:pt>
                <c:pt idx="11">
                  <c:v>7.0109748224661067E-2</c:v>
                </c:pt>
                <c:pt idx="12">
                  <c:v>8.3584085590103649E-2</c:v>
                </c:pt>
                <c:pt idx="13">
                  <c:v>0.12518853695324283</c:v>
                </c:pt>
                <c:pt idx="14">
                  <c:v>6.4654147848823382E-2</c:v>
                </c:pt>
                <c:pt idx="15">
                  <c:v>0.11883525708289609</c:v>
                </c:pt>
                <c:pt idx="16">
                  <c:v>9.2512598992080641E-2</c:v>
                </c:pt>
                <c:pt idx="17">
                  <c:v>6.1843640606767787E-2</c:v>
                </c:pt>
                <c:pt idx="18">
                  <c:v>0.16267185789025429</c:v>
                </c:pt>
                <c:pt idx="19">
                  <c:v>7.2074433232865942E-2</c:v>
                </c:pt>
                <c:pt idx="20">
                  <c:v>2.1744502100321229E-2</c:v>
                </c:pt>
              </c:numCache>
            </c:numRef>
          </c:val>
          <c:extLst>
            <c:ext xmlns:c16="http://schemas.microsoft.com/office/drawing/2014/chart" uri="{C3380CC4-5D6E-409C-BE32-E72D297353CC}">
              <c16:uniqueId val="{00000002-EED6-4135-AC9C-C66E3DF8F193}"/>
            </c:ext>
          </c:extLst>
        </c:ser>
        <c:ser>
          <c:idx val="3"/>
          <c:order val="3"/>
          <c:tx>
            <c:strRef>
              <c:f>'Modal split'!$AN$44</c:f>
              <c:strCache>
                <c:ptCount val="1"/>
                <c:pt idx="0">
                  <c:v>kolej</c:v>
                </c:pt>
              </c:strCache>
            </c:strRef>
          </c:tx>
          <c:spPr>
            <a:solidFill>
              <a:schemeClr val="accent1">
                <a:lumMod val="60000"/>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split'!$AO$44,'Modal split'!$AW$44:$BP$44)</c:f>
              <c:numCache>
                <c:formatCode>0.0%</c:formatCode>
                <c:ptCount val="21"/>
                <c:pt idx="0">
                  <c:v>2.0449897750511245E-2</c:v>
                </c:pt>
                <c:pt idx="1">
                  <c:v>1.3530655391120507E-2</c:v>
                </c:pt>
                <c:pt idx="2">
                  <c:v>3.550595992898808E-3</c:v>
                </c:pt>
                <c:pt idx="3">
                  <c:v>1.0278033996573991E-2</c:v>
                </c:pt>
                <c:pt idx="4">
                  <c:v>2.7843137254901961E-2</c:v>
                </c:pt>
                <c:pt idx="5">
                  <c:v>4.4907210653067006E-2</c:v>
                </c:pt>
                <c:pt idx="6">
                  <c:v>5.3069353327085289E-2</c:v>
                </c:pt>
                <c:pt idx="7">
                  <c:v>1.2343725272986232E-2</c:v>
                </c:pt>
                <c:pt idx="8">
                  <c:v>1.2918460897346851E-2</c:v>
                </c:pt>
                <c:pt idx="9">
                  <c:v>2.2173595915390226E-2</c:v>
                </c:pt>
                <c:pt idx="10">
                  <c:v>0</c:v>
                </c:pt>
                <c:pt idx="11">
                  <c:v>3.5248547449967728E-2</c:v>
                </c:pt>
                <c:pt idx="12">
                  <c:v>1.8499944277276272E-2</c:v>
                </c:pt>
                <c:pt idx="13">
                  <c:v>5.3041729512317753E-2</c:v>
                </c:pt>
                <c:pt idx="14">
                  <c:v>1.4024245305443307E-2</c:v>
                </c:pt>
                <c:pt idx="15">
                  <c:v>1.69202518363064E-2</c:v>
                </c:pt>
                <c:pt idx="16">
                  <c:v>1.3918886489080873E-2</c:v>
                </c:pt>
                <c:pt idx="17">
                  <c:v>1.2057565149747177E-2</c:v>
                </c:pt>
                <c:pt idx="18">
                  <c:v>1.5817009368536316E-2</c:v>
                </c:pt>
                <c:pt idx="19">
                  <c:v>1.25802647097366E-2</c:v>
                </c:pt>
                <c:pt idx="20">
                  <c:v>2.705707931801335E-2</c:v>
                </c:pt>
              </c:numCache>
            </c:numRef>
          </c:val>
          <c:extLst>
            <c:ext xmlns:c16="http://schemas.microsoft.com/office/drawing/2014/chart" uri="{C3380CC4-5D6E-409C-BE32-E72D297353CC}">
              <c16:uniqueId val="{00000003-EED6-4135-AC9C-C66E3DF8F193}"/>
            </c:ext>
          </c:extLst>
        </c:ser>
        <c:ser>
          <c:idx val="4"/>
          <c:order val="4"/>
          <c:tx>
            <c:strRef>
              <c:f>'Modal split'!$AN$45</c:f>
              <c:strCache>
                <c:ptCount val="1"/>
                <c:pt idx="0">
                  <c:v>autobus regio</c:v>
                </c:pt>
              </c:strCache>
            </c:strRef>
          </c:tx>
          <c:spPr>
            <a:solidFill>
              <a:schemeClr val="accent3">
                <a:lumMod val="60000"/>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split'!$AO$45,'Modal split'!$AW$45:$BP$45)</c:f>
              <c:numCache>
                <c:formatCode>0.0%</c:formatCode>
                <c:ptCount val="21"/>
                <c:pt idx="0">
                  <c:v>5.0230061349693253E-2</c:v>
                </c:pt>
                <c:pt idx="1">
                  <c:v>8.5095137420718808E-2</c:v>
                </c:pt>
                <c:pt idx="2">
                  <c:v>4.8693887902612219E-2</c:v>
                </c:pt>
                <c:pt idx="3">
                  <c:v>4.1112135986295963E-2</c:v>
                </c:pt>
                <c:pt idx="4">
                  <c:v>2.9803921568627455E-2</c:v>
                </c:pt>
                <c:pt idx="5">
                  <c:v>6.8423289417764557E-2</c:v>
                </c:pt>
                <c:pt idx="6">
                  <c:v>6.1152764761012196E-2</c:v>
                </c:pt>
                <c:pt idx="7">
                  <c:v>5.016616553252097E-2</c:v>
                </c:pt>
                <c:pt idx="8">
                  <c:v>1.5140991804417281E-2</c:v>
                </c:pt>
                <c:pt idx="9">
                  <c:v>4.6097738876732311E-2</c:v>
                </c:pt>
                <c:pt idx="10">
                  <c:v>4.7129994372537995E-2</c:v>
                </c:pt>
                <c:pt idx="11">
                  <c:v>4.8289218850871535E-2</c:v>
                </c:pt>
                <c:pt idx="12">
                  <c:v>6.2186559679037114E-2</c:v>
                </c:pt>
                <c:pt idx="13">
                  <c:v>6.8627450980392163E-2</c:v>
                </c:pt>
                <c:pt idx="14">
                  <c:v>4.0171143332540994E-2</c:v>
                </c:pt>
                <c:pt idx="15">
                  <c:v>3.475865687303252E-2</c:v>
                </c:pt>
                <c:pt idx="16">
                  <c:v>5.7715382769378445E-2</c:v>
                </c:pt>
                <c:pt idx="17">
                  <c:v>6.6511085180863461E-2</c:v>
                </c:pt>
                <c:pt idx="18">
                  <c:v>2.6158900109502368E-2</c:v>
                </c:pt>
                <c:pt idx="19">
                  <c:v>3.7216616432970778E-2</c:v>
                </c:pt>
                <c:pt idx="20">
                  <c:v>3.5334815913021997E-2</c:v>
                </c:pt>
              </c:numCache>
            </c:numRef>
          </c:val>
          <c:extLst>
            <c:ext xmlns:c16="http://schemas.microsoft.com/office/drawing/2014/chart" uri="{C3380CC4-5D6E-409C-BE32-E72D297353CC}">
              <c16:uniqueId val="{00000004-EED6-4135-AC9C-C66E3DF8F193}"/>
            </c:ext>
          </c:extLst>
        </c:ser>
        <c:ser>
          <c:idx val="2"/>
          <c:order val="5"/>
          <c:tx>
            <c:strRef>
              <c:f>'Modal split'!$AN$43</c:f>
              <c:strCache>
                <c:ptCount val="1"/>
                <c:pt idx="0">
                  <c:v>komunikacja miejska</c:v>
                </c:pt>
              </c:strCache>
            </c:strRef>
          </c:tx>
          <c:spPr>
            <a:solidFill>
              <a:schemeClr val="accent5">
                <a:alpha val="70000"/>
              </a:schemeClr>
            </a:solidFill>
            <a:ln>
              <a:noFill/>
            </a:ln>
            <a:effectLst/>
          </c:spPr>
          <c:invertIfNegative val="0"/>
          <c:cat>
            <c:strRef>
              <c:f>('Modal split'!$AO$40,'Modal split'!$AW$40:$BP$40)</c:f>
              <c:strCache>
                <c:ptCount val="21"/>
                <c:pt idx="0">
                  <c:v>Ogółem</c:v>
                </c:pt>
                <c:pt idx="1">
                  <c:v>Białystok</c:v>
                </c:pt>
                <c:pt idx="2">
                  <c:v>Bydgoszcz</c:v>
                </c:pt>
                <c:pt idx="3">
                  <c:v>Częstochowa</c:v>
                </c:pt>
                <c:pt idx="4">
                  <c:v>Elbląg</c:v>
                </c:pt>
                <c:pt idx="5">
                  <c:v>Gdańsk</c:v>
                </c:pt>
                <c:pt idx="6">
                  <c:v>Gdynia</c:v>
                </c:pt>
                <c:pt idx="7">
                  <c:v>Gorzów Wlkp.</c:v>
                </c:pt>
                <c:pt idx="8">
                  <c:v>Kielce</c:v>
                </c:pt>
                <c:pt idx="9">
                  <c:v>Kraków</c:v>
                </c:pt>
                <c:pt idx="10">
                  <c:v>Lublin</c:v>
                </c:pt>
                <c:pt idx="11">
                  <c:v>Łódź</c:v>
                </c:pt>
                <c:pt idx="12">
                  <c:v>Olsztyn</c:v>
                </c:pt>
                <c:pt idx="13">
                  <c:v>Opole</c:v>
                </c:pt>
                <c:pt idx="14">
                  <c:v>Płock</c:v>
                </c:pt>
                <c:pt idx="15">
                  <c:v>Poznań</c:v>
                </c:pt>
                <c:pt idx="16">
                  <c:v>Rzeszów</c:v>
                </c:pt>
                <c:pt idx="17">
                  <c:v>Szczecin</c:v>
                </c:pt>
                <c:pt idx="18">
                  <c:v>Toruń</c:v>
                </c:pt>
                <c:pt idx="19">
                  <c:v>Wrocław</c:v>
                </c:pt>
                <c:pt idx="20">
                  <c:v>Zielona Góra</c:v>
                </c:pt>
              </c:strCache>
            </c:strRef>
          </c:cat>
          <c:val>
            <c:numRef>
              <c:f>('Modal split'!$AO$43,'Modal split'!$AW$43:$BP$43)</c:f>
              <c:numCache>
                <c:formatCode>0.0%</c:formatCode>
                <c:ptCount val="21"/>
                <c:pt idx="0">
                  <c:v>0.28834355828220859</c:v>
                </c:pt>
                <c:pt idx="1">
                  <c:v>0.26638477801268501</c:v>
                </c:pt>
                <c:pt idx="2">
                  <c:v>0.34263251331473493</c:v>
                </c:pt>
                <c:pt idx="3">
                  <c:v>0.25365660824878117</c:v>
                </c:pt>
                <c:pt idx="4">
                  <c:v>0.2911111111111111</c:v>
                </c:pt>
                <c:pt idx="5">
                  <c:v>0.25541861453463666</c:v>
                </c:pt>
                <c:pt idx="6">
                  <c:v>0.32005623242736647</c:v>
                </c:pt>
                <c:pt idx="7">
                  <c:v>0.22582687134040197</c:v>
                </c:pt>
                <c:pt idx="8">
                  <c:v>0.19961105709126267</c:v>
                </c:pt>
                <c:pt idx="9">
                  <c:v>0.42202771699489422</c:v>
                </c:pt>
                <c:pt idx="10">
                  <c:v>0.24634214969048962</c:v>
                </c:pt>
                <c:pt idx="11">
                  <c:v>0.36113621691413816</c:v>
                </c:pt>
                <c:pt idx="12">
                  <c:v>0.3195140978491029</c:v>
                </c:pt>
                <c:pt idx="13">
                  <c:v>0.19808949220713926</c:v>
                </c:pt>
                <c:pt idx="14">
                  <c:v>0.15997147611124318</c:v>
                </c:pt>
                <c:pt idx="15">
                  <c:v>0.34679958027282265</c:v>
                </c:pt>
                <c:pt idx="16">
                  <c:v>0.15778737700983922</c:v>
                </c:pt>
                <c:pt idx="17">
                  <c:v>0.32140541942175543</c:v>
                </c:pt>
                <c:pt idx="18">
                  <c:v>0.21377296508091009</c:v>
                </c:pt>
                <c:pt idx="19">
                  <c:v>0.39680251605294192</c:v>
                </c:pt>
                <c:pt idx="20">
                  <c:v>0.27155917963923898</c:v>
                </c:pt>
              </c:numCache>
            </c:numRef>
          </c:val>
          <c:extLst>
            <c:ext xmlns:c16="http://schemas.microsoft.com/office/drawing/2014/chart" uri="{C3380CC4-5D6E-409C-BE32-E72D297353CC}">
              <c16:uniqueId val="{00000005-EED6-4135-AC9C-C66E3DF8F193}"/>
            </c:ext>
          </c:extLst>
        </c:ser>
        <c:dLbls>
          <c:showLegendKey val="0"/>
          <c:showVal val="0"/>
          <c:showCatName val="0"/>
          <c:showSerName val="0"/>
          <c:showPercent val="0"/>
          <c:showBubbleSize val="0"/>
        </c:dLbls>
        <c:gapWidth val="50"/>
        <c:overlap val="100"/>
        <c:axId val="-2084583184"/>
        <c:axId val="-2084582640"/>
      </c:barChart>
      <c:catAx>
        <c:axId val="-2084583184"/>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j-lt"/>
                <a:ea typeface="+mn-ea"/>
                <a:cs typeface="+mn-cs"/>
              </a:defRPr>
            </a:pPr>
            <a:endParaRPr lang="pl-PL"/>
          </a:p>
        </c:txPr>
        <c:crossAx val="-2084582640"/>
        <c:crosses val="autoZero"/>
        <c:auto val="1"/>
        <c:lblAlgn val="ctr"/>
        <c:lblOffset val="100"/>
        <c:noMultiLvlLbl val="0"/>
      </c:catAx>
      <c:valAx>
        <c:axId val="-2084582640"/>
        <c:scaling>
          <c:orientation val="minMax"/>
          <c:max val="1"/>
        </c:scaling>
        <c:delete val="0"/>
        <c:axPos val="b"/>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j-lt"/>
                <a:ea typeface="+mn-ea"/>
                <a:cs typeface="+mn-cs"/>
              </a:defRPr>
            </a:pPr>
            <a:endParaRPr lang="pl-PL"/>
          </a:p>
        </c:txPr>
        <c:crossAx val="-2084583184"/>
        <c:crosses val="autoZero"/>
        <c:crossBetween val="between"/>
      </c:valAx>
      <c:spPr>
        <a:noFill/>
        <a:ln>
          <a:noFill/>
        </a:ln>
        <a:effectLst/>
      </c:spPr>
    </c:plotArea>
    <c:legend>
      <c:legendPos val="b"/>
      <c:layout>
        <c:manualLayout>
          <c:xMode val="edge"/>
          <c:yMode val="edge"/>
          <c:x val="3.4721998150759908E-2"/>
          <c:y val="0.9475447789686865"/>
          <c:w val="0.93393992417614491"/>
          <c:h val="5.062485232470256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100">
          <a:latin typeface="+mj-lt"/>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'Modal split'!$AN$156</c:f>
              <c:strCache>
                <c:ptCount val="1"/>
                <c:pt idx="0">
                  <c:v>Codziennie</c:v>
                </c:pt>
              </c:strCache>
            </c:strRef>
          </c:tx>
          <c:spPr>
            <a:solidFill>
              <a:schemeClr val="accent1"/>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split'!$AO$156:$AV$156</c:f>
              <c:numCache>
                <c:formatCode>0.00%</c:formatCode>
                <c:ptCount val="8"/>
                <c:pt idx="0">
                  <c:v>1.2800000000000001E-2</c:v>
                </c:pt>
                <c:pt idx="1">
                  <c:v>1.6E-2</c:v>
                </c:pt>
                <c:pt idx="2">
                  <c:v>3.9300000000000002E-2</c:v>
                </c:pt>
                <c:pt idx="3">
                  <c:v>6.3299999999999995E-2</c:v>
                </c:pt>
                <c:pt idx="4">
                  <c:v>7.8200000000000006E-2</c:v>
                </c:pt>
                <c:pt idx="5">
                  <c:v>0.22559999999999999</c:v>
                </c:pt>
                <c:pt idx="6">
                  <c:v>0.34720000000000001</c:v>
                </c:pt>
                <c:pt idx="7">
                  <c:v>0.63239999999999996</c:v>
                </c:pt>
              </c:numCache>
            </c:numRef>
          </c:val>
          <c:extLst>
            <c:ext xmlns:c16="http://schemas.microsoft.com/office/drawing/2014/chart" uri="{C3380CC4-5D6E-409C-BE32-E72D297353CC}">
              <c16:uniqueId val="{00000000-A92A-4F6A-AAA4-3432D5A3B860}"/>
            </c:ext>
          </c:extLst>
        </c:ser>
        <c:ser>
          <c:idx val="1"/>
          <c:order val="1"/>
          <c:tx>
            <c:strRef>
              <c:f>'Modal split'!$AN$157</c:f>
              <c:strCache>
                <c:ptCount val="1"/>
                <c:pt idx="0">
                  <c:v>Kilka razy w tygodniu</c:v>
                </c:pt>
              </c:strCache>
            </c:strRef>
          </c:tx>
          <c:spPr>
            <a:solidFill>
              <a:schemeClr val="accent2"/>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split'!$AO$157:$AV$157</c:f>
              <c:numCache>
                <c:formatCode>0.00%</c:formatCode>
                <c:ptCount val="8"/>
                <c:pt idx="0">
                  <c:v>2.87E-2</c:v>
                </c:pt>
                <c:pt idx="1">
                  <c:v>3.1800000000000002E-2</c:v>
                </c:pt>
                <c:pt idx="2">
                  <c:v>5.9900000000000002E-2</c:v>
                </c:pt>
                <c:pt idx="3">
                  <c:v>0.1585</c:v>
                </c:pt>
                <c:pt idx="4">
                  <c:v>0.26939999999999997</c:v>
                </c:pt>
                <c:pt idx="5">
                  <c:v>0.246</c:v>
                </c:pt>
                <c:pt idx="6">
                  <c:v>0.20399999999999999</c:v>
                </c:pt>
                <c:pt idx="7">
                  <c:v>0.2092</c:v>
                </c:pt>
              </c:numCache>
            </c:numRef>
          </c:val>
          <c:extLst>
            <c:ext xmlns:c16="http://schemas.microsoft.com/office/drawing/2014/chart" uri="{C3380CC4-5D6E-409C-BE32-E72D297353CC}">
              <c16:uniqueId val="{00000001-A92A-4F6A-AAA4-3432D5A3B860}"/>
            </c:ext>
          </c:extLst>
        </c:ser>
        <c:ser>
          <c:idx val="2"/>
          <c:order val="2"/>
          <c:tx>
            <c:strRef>
              <c:f>'Modal split'!$AN$158</c:f>
              <c:strCache>
                <c:ptCount val="1"/>
                <c:pt idx="0">
                  <c:v>Raz w tygodniu</c:v>
                </c:pt>
              </c:strCache>
            </c:strRef>
          </c:tx>
          <c:spPr>
            <a:solidFill>
              <a:schemeClr val="accent3"/>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split'!$AO$158:$AV$158</c:f>
              <c:numCache>
                <c:formatCode>0.00%</c:formatCode>
                <c:ptCount val="8"/>
                <c:pt idx="0">
                  <c:v>4.8800000000000003E-2</c:v>
                </c:pt>
                <c:pt idx="1">
                  <c:v>3.4200000000000001E-2</c:v>
                </c:pt>
                <c:pt idx="2">
                  <c:v>5.1799999999999999E-2</c:v>
                </c:pt>
                <c:pt idx="3">
                  <c:v>8.6900000000000005E-2</c:v>
                </c:pt>
                <c:pt idx="4">
                  <c:v>0.14149999999999999</c:v>
                </c:pt>
                <c:pt idx="5">
                  <c:v>8.6499999999999994E-2</c:v>
                </c:pt>
                <c:pt idx="6">
                  <c:v>5.0500000000000003E-2</c:v>
                </c:pt>
                <c:pt idx="7">
                  <c:v>5.3999999999999999E-2</c:v>
                </c:pt>
              </c:numCache>
            </c:numRef>
          </c:val>
          <c:extLst>
            <c:ext xmlns:c16="http://schemas.microsoft.com/office/drawing/2014/chart" uri="{C3380CC4-5D6E-409C-BE32-E72D297353CC}">
              <c16:uniqueId val="{00000002-A92A-4F6A-AAA4-3432D5A3B860}"/>
            </c:ext>
          </c:extLst>
        </c:ser>
        <c:ser>
          <c:idx val="3"/>
          <c:order val="3"/>
          <c:tx>
            <c:strRef>
              <c:f>'Modal split'!$AN$159</c:f>
              <c:strCache>
                <c:ptCount val="1"/>
                <c:pt idx="0">
                  <c:v>Kilka razy w miesiącu</c:v>
                </c:pt>
              </c:strCache>
            </c:strRef>
          </c:tx>
          <c:spPr>
            <a:solidFill>
              <a:schemeClr val="accent4"/>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split'!$AO$159:$AV$159</c:f>
              <c:numCache>
                <c:formatCode>0.00%</c:formatCode>
                <c:ptCount val="8"/>
                <c:pt idx="0">
                  <c:v>0.1706</c:v>
                </c:pt>
                <c:pt idx="1">
                  <c:v>0.10829999999999999</c:v>
                </c:pt>
                <c:pt idx="2">
                  <c:v>0.1278</c:v>
                </c:pt>
                <c:pt idx="3">
                  <c:v>0.1603</c:v>
                </c:pt>
                <c:pt idx="4">
                  <c:v>0.23499999999999999</c:v>
                </c:pt>
                <c:pt idx="5">
                  <c:v>0.1817</c:v>
                </c:pt>
                <c:pt idx="6">
                  <c:v>6.6699999999999995E-2</c:v>
                </c:pt>
                <c:pt idx="7">
                  <c:v>5.7500000000000002E-2</c:v>
                </c:pt>
              </c:numCache>
            </c:numRef>
          </c:val>
          <c:extLst>
            <c:ext xmlns:c16="http://schemas.microsoft.com/office/drawing/2014/chart" uri="{C3380CC4-5D6E-409C-BE32-E72D297353CC}">
              <c16:uniqueId val="{00000003-A92A-4F6A-AAA4-3432D5A3B860}"/>
            </c:ext>
          </c:extLst>
        </c:ser>
        <c:ser>
          <c:idx val="4"/>
          <c:order val="4"/>
          <c:tx>
            <c:strRef>
              <c:f>'Modal split'!$AN$160</c:f>
              <c:strCache>
                <c:ptCount val="1"/>
                <c:pt idx="0">
                  <c:v>Raz w miesiącu i rzadziej</c:v>
                </c:pt>
              </c:strCache>
            </c:strRef>
          </c:tx>
          <c:spPr>
            <a:solidFill>
              <a:schemeClr val="accent5"/>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split'!$AO$160:$AV$160</c:f>
              <c:numCache>
                <c:formatCode>0.00%</c:formatCode>
                <c:ptCount val="8"/>
                <c:pt idx="0">
                  <c:v>0.46079999999999999</c:v>
                </c:pt>
                <c:pt idx="1">
                  <c:v>0.45700000000000002</c:v>
                </c:pt>
                <c:pt idx="2">
                  <c:v>0.34489999999999998</c:v>
                </c:pt>
                <c:pt idx="3">
                  <c:v>0.18310000000000001</c:v>
                </c:pt>
                <c:pt idx="4">
                  <c:v>0.1865</c:v>
                </c:pt>
                <c:pt idx="5">
                  <c:v>0.17469999999999999</c:v>
                </c:pt>
                <c:pt idx="6">
                  <c:v>4.7699999999999999E-2</c:v>
                </c:pt>
                <c:pt idx="7">
                  <c:v>2.9100000000000001E-2</c:v>
                </c:pt>
              </c:numCache>
            </c:numRef>
          </c:val>
          <c:extLst>
            <c:ext xmlns:c16="http://schemas.microsoft.com/office/drawing/2014/chart" uri="{C3380CC4-5D6E-409C-BE32-E72D297353CC}">
              <c16:uniqueId val="{00000004-A92A-4F6A-AAA4-3432D5A3B860}"/>
            </c:ext>
          </c:extLst>
        </c:ser>
        <c:ser>
          <c:idx val="5"/>
          <c:order val="5"/>
          <c:tx>
            <c:strRef>
              <c:f>'Modal split'!$AN$161</c:f>
              <c:strCache>
                <c:ptCount val="1"/>
                <c:pt idx="0">
                  <c:v>W ogóle nie korzystam</c:v>
                </c:pt>
              </c:strCache>
            </c:strRef>
          </c:tx>
          <c:spPr>
            <a:solidFill>
              <a:schemeClr val="accent6"/>
            </a:solidFill>
            <a:ln>
              <a:noFill/>
            </a:ln>
            <a:effectLst/>
          </c:spPr>
          <c:invertIfNegative val="0"/>
          <c:cat>
            <c:strRef>
              <c:f>'Modal split'!$AO$155:$AV$155</c:f>
              <c:strCache>
                <c:ptCount val="8"/>
                <c:pt idx="0">
                  <c:v>Taksówka</c:v>
                </c:pt>
                <c:pt idx="1">
                  <c:v>Kolej</c:v>
                </c:pt>
                <c:pt idx="2">
                  <c:v>Autobus regionalny</c:v>
                </c:pt>
                <c:pt idx="3">
                  <c:v>Rower</c:v>
                </c:pt>
                <c:pt idx="4">
                  <c:v>Samochod jako pasażer</c:v>
                </c:pt>
                <c:pt idx="5">
                  <c:v>Komunikacja miejska</c:v>
                </c:pt>
                <c:pt idx="6">
                  <c:v>Samochod jako kierowca</c:v>
                </c:pt>
                <c:pt idx="7">
                  <c:v>Pieszo</c:v>
                </c:pt>
              </c:strCache>
            </c:strRef>
          </c:cat>
          <c:val>
            <c:numRef>
              <c:f>'Modal split'!$AO$161:$AV$161</c:f>
              <c:numCache>
                <c:formatCode>0.00%</c:formatCode>
                <c:ptCount val="8"/>
                <c:pt idx="0">
                  <c:v>0.27829999999999999</c:v>
                </c:pt>
                <c:pt idx="1">
                  <c:v>0.35270000000000001</c:v>
                </c:pt>
                <c:pt idx="2">
                  <c:v>0.37619999999999998</c:v>
                </c:pt>
                <c:pt idx="3">
                  <c:v>0.34799999999999998</c:v>
                </c:pt>
                <c:pt idx="4">
                  <c:v>8.9300000000000004E-2</c:v>
                </c:pt>
                <c:pt idx="5">
                  <c:v>8.5599999999999996E-2</c:v>
                </c:pt>
                <c:pt idx="6">
                  <c:v>0.28399999999999997</c:v>
                </c:pt>
                <c:pt idx="7">
                  <c:v>1.78E-2</c:v>
                </c:pt>
              </c:numCache>
            </c:numRef>
          </c:val>
          <c:extLst>
            <c:ext xmlns:c16="http://schemas.microsoft.com/office/drawing/2014/chart" uri="{C3380CC4-5D6E-409C-BE32-E72D297353CC}">
              <c16:uniqueId val="{00000005-A92A-4F6A-AAA4-3432D5A3B860}"/>
            </c:ext>
          </c:extLst>
        </c:ser>
        <c:dLbls>
          <c:showLegendKey val="0"/>
          <c:showVal val="0"/>
          <c:showCatName val="0"/>
          <c:showSerName val="0"/>
          <c:showPercent val="0"/>
          <c:showBubbleSize val="0"/>
        </c:dLbls>
        <c:gapWidth val="50"/>
        <c:overlap val="100"/>
        <c:axId val="-2084586448"/>
        <c:axId val="-2084587536"/>
      </c:barChart>
      <c:catAx>
        <c:axId val="-208458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7536"/>
        <c:crosses val="autoZero"/>
        <c:auto val="1"/>
        <c:lblAlgn val="ctr"/>
        <c:lblOffset val="100"/>
        <c:noMultiLvlLbl val="0"/>
      </c:catAx>
      <c:valAx>
        <c:axId val="-208458753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855784246239424"/>
          <c:y val="4.9030532649877424E-2"/>
          <c:w val="0.49364584029575953"/>
          <c:h val="0.646043074568877"/>
        </c:manualLayout>
      </c:layout>
      <c:barChart>
        <c:barDir val="bar"/>
        <c:grouping val="stacked"/>
        <c:varyColors val="0"/>
        <c:ser>
          <c:idx val="0"/>
          <c:order val="0"/>
          <c:tx>
            <c:strRef>
              <c:f>Ocena!$N$10</c:f>
              <c:strCache>
                <c:ptCount val="1"/>
                <c:pt idx="0">
                  <c:v>Bardzo źle</c:v>
                </c:pt>
              </c:strCache>
            </c:strRef>
          </c:tx>
          <c:spPr>
            <a:solidFill>
              <a:srgbClr val="C0000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Ocena!$O$10:$U$10</c:f>
              <c:numCache>
                <c:formatCode>0.00%</c:formatCode>
                <c:ptCount val="7"/>
                <c:pt idx="0">
                  <c:v>6.4999999999999997E-3</c:v>
                </c:pt>
                <c:pt idx="1">
                  <c:v>8.6999999999999994E-3</c:v>
                </c:pt>
                <c:pt idx="2">
                  <c:v>1.6199999999999999E-2</c:v>
                </c:pt>
                <c:pt idx="3">
                  <c:v>1.5800000000000002E-2</c:v>
                </c:pt>
                <c:pt idx="4">
                  <c:v>3.3099999999999997E-2</c:v>
                </c:pt>
                <c:pt idx="5">
                  <c:v>2.3800000000000002E-2</c:v>
                </c:pt>
                <c:pt idx="6">
                  <c:v>0.05</c:v>
                </c:pt>
              </c:numCache>
            </c:numRef>
          </c:val>
          <c:extLst>
            <c:ext xmlns:c16="http://schemas.microsoft.com/office/drawing/2014/chart" uri="{C3380CC4-5D6E-409C-BE32-E72D297353CC}">
              <c16:uniqueId val="{00000000-14A4-4D89-8975-D97783893899}"/>
            </c:ext>
          </c:extLst>
        </c:ser>
        <c:ser>
          <c:idx val="1"/>
          <c:order val="1"/>
          <c:tx>
            <c:strRef>
              <c:f>Ocena!$N$11</c:f>
              <c:strCache>
                <c:ptCount val="1"/>
                <c:pt idx="0">
                  <c:v>Źle</c:v>
                </c:pt>
              </c:strCache>
            </c:strRef>
          </c:tx>
          <c:spPr>
            <a:solidFill>
              <a:srgbClr val="FF000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Ocena!$O$11:$U$11</c:f>
              <c:numCache>
                <c:formatCode>0.00%</c:formatCode>
                <c:ptCount val="7"/>
                <c:pt idx="0">
                  <c:v>4.6399999999999997E-2</c:v>
                </c:pt>
                <c:pt idx="1">
                  <c:v>4.5400000000000003E-2</c:v>
                </c:pt>
                <c:pt idx="2">
                  <c:v>6.7100000000000007E-2</c:v>
                </c:pt>
                <c:pt idx="3">
                  <c:v>7.7299999999999994E-2</c:v>
                </c:pt>
                <c:pt idx="4">
                  <c:v>7.5899999999999995E-2</c:v>
                </c:pt>
                <c:pt idx="5">
                  <c:v>0.1085</c:v>
                </c:pt>
                <c:pt idx="6">
                  <c:v>0.14940000000000001</c:v>
                </c:pt>
              </c:numCache>
            </c:numRef>
          </c:val>
          <c:extLst>
            <c:ext xmlns:c16="http://schemas.microsoft.com/office/drawing/2014/chart" uri="{C3380CC4-5D6E-409C-BE32-E72D297353CC}">
              <c16:uniqueId val="{00000001-14A4-4D89-8975-D97783893899}"/>
            </c:ext>
          </c:extLst>
        </c:ser>
        <c:ser>
          <c:idx val="2"/>
          <c:order val="2"/>
          <c:tx>
            <c:strRef>
              <c:f>Ocena!$N$12</c:f>
              <c:strCache>
                <c:ptCount val="1"/>
                <c:pt idx="0">
                  <c:v>Ani źle. ani dobrze</c:v>
                </c:pt>
              </c:strCache>
            </c:strRef>
          </c:tx>
          <c:spPr>
            <a:solidFill>
              <a:srgbClr val="FFC00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Ocena!$O$12:$U$12</c:f>
              <c:numCache>
                <c:formatCode>0.00%</c:formatCode>
                <c:ptCount val="7"/>
                <c:pt idx="0">
                  <c:v>0.1734</c:v>
                </c:pt>
                <c:pt idx="1">
                  <c:v>0.19370000000000001</c:v>
                </c:pt>
                <c:pt idx="2">
                  <c:v>0.16</c:v>
                </c:pt>
                <c:pt idx="3">
                  <c:v>0.16139999999999999</c:v>
                </c:pt>
                <c:pt idx="4">
                  <c:v>0.1409</c:v>
                </c:pt>
                <c:pt idx="5">
                  <c:v>0.20230000000000001</c:v>
                </c:pt>
                <c:pt idx="6">
                  <c:v>0.22309999999999999</c:v>
                </c:pt>
              </c:numCache>
            </c:numRef>
          </c:val>
          <c:extLst>
            <c:ext xmlns:c16="http://schemas.microsoft.com/office/drawing/2014/chart" uri="{C3380CC4-5D6E-409C-BE32-E72D297353CC}">
              <c16:uniqueId val="{00000002-14A4-4D89-8975-D97783893899}"/>
            </c:ext>
          </c:extLst>
        </c:ser>
        <c:ser>
          <c:idx val="3"/>
          <c:order val="3"/>
          <c:tx>
            <c:strRef>
              <c:f>Ocena!$N$13</c:f>
              <c:strCache>
                <c:ptCount val="1"/>
                <c:pt idx="0">
                  <c:v>Dobrze</c:v>
                </c:pt>
              </c:strCache>
            </c:strRef>
          </c:tx>
          <c:spPr>
            <a:solidFill>
              <a:srgbClr val="92D05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Ocena!$O$13:$U$13</c:f>
              <c:numCache>
                <c:formatCode>0.00%</c:formatCode>
                <c:ptCount val="7"/>
                <c:pt idx="0">
                  <c:v>0.52070000000000005</c:v>
                </c:pt>
                <c:pt idx="1">
                  <c:v>0.51359999999999995</c:v>
                </c:pt>
                <c:pt idx="2">
                  <c:v>0.46689999999999998</c:v>
                </c:pt>
                <c:pt idx="3">
                  <c:v>0.3659</c:v>
                </c:pt>
                <c:pt idx="4">
                  <c:v>0.24879999999999999</c:v>
                </c:pt>
                <c:pt idx="5">
                  <c:v>0.4793</c:v>
                </c:pt>
                <c:pt idx="6">
                  <c:v>0.25619999999999998</c:v>
                </c:pt>
              </c:numCache>
            </c:numRef>
          </c:val>
          <c:extLst>
            <c:ext xmlns:c16="http://schemas.microsoft.com/office/drawing/2014/chart" uri="{C3380CC4-5D6E-409C-BE32-E72D297353CC}">
              <c16:uniqueId val="{00000003-14A4-4D89-8975-D97783893899}"/>
            </c:ext>
          </c:extLst>
        </c:ser>
        <c:ser>
          <c:idx val="4"/>
          <c:order val="4"/>
          <c:tx>
            <c:strRef>
              <c:f>Ocena!$N$14</c:f>
              <c:strCache>
                <c:ptCount val="1"/>
                <c:pt idx="0">
                  <c:v>Bardzo dobrze</c:v>
                </c:pt>
              </c:strCache>
            </c:strRef>
          </c:tx>
          <c:spPr>
            <a:solidFill>
              <a:srgbClr val="00B05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Ocena!$O$14:$U$14</c:f>
              <c:numCache>
                <c:formatCode>0.00%</c:formatCode>
                <c:ptCount val="7"/>
                <c:pt idx="0">
                  <c:v>0.20660000000000001</c:v>
                </c:pt>
                <c:pt idx="1">
                  <c:v>0.18240000000000001</c:v>
                </c:pt>
                <c:pt idx="2">
                  <c:v>0.23760000000000001</c:v>
                </c:pt>
                <c:pt idx="3">
                  <c:v>0.17219999999999999</c:v>
                </c:pt>
                <c:pt idx="4">
                  <c:v>0.1545</c:v>
                </c:pt>
                <c:pt idx="5">
                  <c:v>0.1356</c:v>
                </c:pt>
                <c:pt idx="6">
                  <c:v>8.1799999999999998E-2</c:v>
                </c:pt>
              </c:numCache>
            </c:numRef>
          </c:val>
          <c:extLst>
            <c:ext xmlns:c16="http://schemas.microsoft.com/office/drawing/2014/chart" uri="{C3380CC4-5D6E-409C-BE32-E72D297353CC}">
              <c16:uniqueId val="{00000004-14A4-4D89-8975-D97783893899}"/>
            </c:ext>
          </c:extLst>
        </c:ser>
        <c:ser>
          <c:idx val="5"/>
          <c:order val="5"/>
          <c:tx>
            <c:strRef>
              <c:f>Ocena!$N$15</c:f>
              <c:strCache>
                <c:ptCount val="1"/>
                <c:pt idx="0">
                  <c:v>Trudno powiedzieć</c:v>
                </c:pt>
              </c:strCache>
            </c:strRef>
          </c:tx>
          <c:spPr>
            <a:solidFill>
              <a:srgbClr val="00B0F0"/>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Ocena!$O$15:$U$15</c:f>
              <c:numCache>
                <c:formatCode>0.00%</c:formatCode>
                <c:ptCount val="7"/>
                <c:pt idx="0">
                  <c:v>3.5299999999999998E-2</c:v>
                </c:pt>
                <c:pt idx="1">
                  <c:v>4.6600000000000003E-2</c:v>
                </c:pt>
                <c:pt idx="2">
                  <c:v>3.1699999999999999E-2</c:v>
                </c:pt>
                <c:pt idx="3">
                  <c:v>7.6999999999999999E-2</c:v>
                </c:pt>
                <c:pt idx="4">
                  <c:v>8.5900000000000004E-2</c:v>
                </c:pt>
                <c:pt idx="5">
                  <c:v>3.6200000000000003E-2</c:v>
                </c:pt>
                <c:pt idx="6">
                  <c:v>6.4299999999999996E-2</c:v>
                </c:pt>
              </c:numCache>
            </c:numRef>
          </c:val>
          <c:extLst>
            <c:ext xmlns:c16="http://schemas.microsoft.com/office/drawing/2014/chart" uri="{C3380CC4-5D6E-409C-BE32-E72D297353CC}">
              <c16:uniqueId val="{00000005-14A4-4D89-8975-D97783893899}"/>
            </c:ext>
          </c:extLst>
        </c:ser>
        <c:ser>
          <c:idx val="6"/>
          <c:order val="6"/>
          <c:tx>
            <c:strRef>
              <c:f>Ocena!$N$16</c:f>
              <c:strCache>
                <c:ptCount val="1"/>
                <c:pt idx="0">
                  <c:v>Nie korzystam/ nie dotyczy mnie</c:v>
                </c:pt>
              </c:strCache>
            </c:strRef>
          </c:tx>
          <c:spPr>
            <a:solidFill>
              <a:schemeClr val="tx1"/>
            </a:solidFill>
            <a:ln>
              <a:noFill/>
            </a:ln>
            <a:effectLst/>
          </c:spPr>
          <c:invertIfNegative val="0"/>
          <c:cat>
            <c:strRef>
              <c:f>Ocena!$O$8:$U$9</c:f>
              <c:strCache>
                <c:ptCount val="7"/>
                <c:pt idx="0">
                  <c:v>Bezpieczeństwo jazdy</c:v>
                </c:pt>
                <c:pt idx="1">
                  <c:v>Bezpieczeństwo osobiste (pojazdy i przystanki)</c:v>
                </c:pt>
                <c:pt idx="2">
                  <c:v>Łatwość przesiadki w komunikacji miejskiej</c:v>
                </c:pt>
                <c:pt idx="3">
                  <c:v>Łatwość przesiadki komunikacja miejska - kolej</c:v>
                </c:pt>
                <c:pt idx="4">
                  <c:v>Wspólny bilet na komunikację miejską i kolej</c:v>
                </c:pt>
                <c:pt idx="5">
                  <c:v>Czas podróży</c:v>
                </c:pt>
                <c:pt idx="6">
                  <c:v>Dopasowanie parkingów parkuj i jedź</c:v>
                </c:pt>
              </c:strCache>
            </c:strRef>
          </c:cat>
          <c:val>
            <c:numRef>
              <c:f>Ocena!$O$16:$U$16</c:f>
              <c:numCache>
                <c:formatCode>0.00%</c:formatCode>
                <c:ptCount val="7"/>
                <c:pt idx="0">
                  <c:v>1.0999999999999999E-2</c:v>
                </c:pt>
                <c:pt idx="1">
                  <c:v>9.5999999999999992E-3</c:v>
                </c:pt>
                <c:pt idx="2">
                  <c:v>2.06E-2</c:v>
                </c:pt>
                <c:pt idx="3">
                  <c:v>0.13039999999999999</c:v>
                </c:pt>
                <c:pt idx="4">
                  <c:v>0.26090000000000002</c:v>
                </c:pt>
                <c:pt idx="5">
                  <c:v>1.43E-2</c:v>
                </c:pt>
                <c:pt idx="6">
                  <c:v>0.17519999999999999</c:v>
                </c:pt>
              </c:numCache>
            </c:numRef>
          </c:val>
          <c:extLst>
            <c:ext xmlns:c16="http://schemas.microsoft.com/office/drawing/2014/chart" uri="{C3380CC4-5D6E-409C-BE32-E72D297353CC}">
              <c16:uniqueId val="{00000006-14A4-4D89-8975-D97783893899}"/>
            </c:ext>
          </c:extLst>
        </c:ser>
        <c:dLbls>
          <c:showLegendKey val="0"/>
          <c:showVal val="0"/>
          <c:showCatName val="0"/>
          <c:showSerName val="0"/>
          <c:showPercent val="0"/>
          <c:showBubbleSize val="0"/>
        </c:dLbls>
        <c:gapWidth val="50"/>
        <c:overlap val="100"/>
        <c:axId val="-2084582096"/>
        <c:axId val="-2084581008"/>
      </c:barChart>
      <c:catAx>
        <c:axId val="-2084582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1008"/>
        <c:crosses val="autoZero"/>
        <c:auto val="1"/>
        <c:lblAlgn val="ctr"/>
        <c:lblOffset val="100"/>
        <c:noMultiLvlLbl val="0"/>
      </c:catAx>
      <c:valAx>
        <c:axId val="-208458100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2096"/>
        <c:crosses val="autoZero"/>
        <c:crossBetween val="between"/>
      </c:valAx>
      <c:spPr>
        <a:noFill/>
        <a:ln>
          <a:noFill/>
        </a:ln>
        <a:effectLst/>
      </c:spPr>
    </c:plotArea>
    <c:legend>
      <c:legendPos val="b"/>
      <c:layout>
        <c:manualLayout>
          <c:xMode val="edge"/>
          <c:yMode val="edge"/>
          <c:x val="4.9611941490446752E-2"/>
          <c:y val="0.81597756598677895"/>
          <c:w val="0.89857111483597896"/>
          <c:h val="0.152032474035173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Ocena!$N$10</c:f>
              <c:strCache>
                <c:ptCount val="1"/>
                <c:pt idx="0">
                  <c:v>Bardzo źle</c:v>
                </c:pt>
              </c:strCache>
            </c:strRef>
          </c:tx>
          <c:spPr>
            <a:solidFill>
              <a:srgbClr val="C0000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Ocena!$V$10:$AE$10</c:f>
              <c:numCache>
                <c:formatCode>0.00%</c:formatCode>
                <c:ptCount val="10"/>
                <c:pt idx="0">
                  <c:v>7.7000000000000002E-3</c:v>
                </c:pt>
                <c:pt idx="1">
                  <c:v>6.8999999999999999E-3</c:v>
                </c:pt>
                <c:pt idx="2">
                  <c:v>1.26E-2</c:v>
                </c:pt>
                <c:pt idx="3">
                  <c:v>1.3899999999999999E-2</c:v>
                </c:pt>
                <c:pt idx="4">
                  <c:v>1.52E-2</c:v>
                </c:pt>
                <c:pt idx="5">
                  <c:v>1.7899999999999999E-2</c:v>
                </c:pt>
                <c:pt idx="6">
                  <c:v>2.4400000000000002E-2</c:v>
                </c:pt>
                <c:pt idx="7">
                  <c:v>2.1000000000000001E-2</c:v>
                </c:pt>
                <c:pt idx="8">
                  <c:v>4.7100000000000003E-2</c:v>
                </c:pt>
                <c:pt idx="9">
                  <c:v>4.7E-2</c:v>
                </c:pt>
              </c:numCache>
            </c:numRef>
          </c:val>
          <c:extLst>
            <c:ext xmlns:c16="http://schemas.microsoft.com/office/drawing/2014/chart" uri="{C3380CC4-5D6E-409C-BE32-E72D297353CC}">
              <c16:uniqueId val="{00000000-8DEA-4AFE-90A4-87E770091BC9}"/>
            </c:ext>
          </c:extLst>
        </c:ser>
        <c:ser>
          <c:idx val="1"/>
          <c:order val="1"/>
          <c:tx>
            <c:strRef>
              <c:f>Ocena!$N$11</c:f>
              <c:strCache>
                <c:ptCount val="1"/>
                <c:pt idx="0">
                  <c:v>Źle</c:v>
                </c:pt>
              </c:strCache>
            </c:strRef>
          </c:tx>
          <c:spPr>
            <a:solidFill>
              <a:srgbClr val="FF000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Ocena!$V$11:$AE$11</c:f>
              <c:numCache>
                <c:formatCode>0.00%</c:formatCode>
                <c:ptCount val="10"/>
                <c:pt idx="0">
                  <c:v>3.8600000000000002E-2</c:v>
                </c:pt>
                <c:pt idx="1">
                  <c:v>4.2500000000000003E-2</c:v>
                </c:pt>
                <c:pt idx="2">
                  <c:v>7.0499999999999993E-2</c:v>
                </c:pt>
                <c:pt idx="3">
                  <c:v>6.8599999999999994E-2</c:v>
                </c:pt>
                <c:pt idx="4">
                  <c:v>7.5899999999999995E-2</c:v>
                </c:pt>
                <c:pt idx="5">
                  <c:v>9.7600000000000006E-2</c:v>
                </c:pt>
                <c:pt idx="6">
                  <c:v>8.77E-2</c:v>
                </c:pt>
                <c:pt idx="7">
                  <c:v>0.1211</c:v>
                </c:pt>
                <c:pt idx="8">
                  <c:v>0.17369999999999999</c:v>
                </c:pt>
                <c:pt idx="9">
                  <c:v>0.19800000000000001</c:v>
                </c:pt>
              </c:numCache>
            </c:numRef>
          </c:val>
          <c:extLst>
            <c:ext xmlns:c16="http://schemas.microsoft.com/office/drawing/2014/chart" uri="{C3380CC4-5D6E-409C-BE32-E72D297353CC}">
              <c16:uniqueId val="{00000001-8DEA-4AFE-90A4-87E770091BC9}"/>
            </c:ext>
          </c:extLst>
        </c:ser>
        <c:ser>
          <c:idx val="2"/>
          <c:order val="2"/>
          <c:tx>
            <c:strRef>
              <c:f>Ocena!$N$12</c:f>
              <c:strCache>
                <c:ptCount val="1"/>
                <c:pt idx="0">
                  <c:v>Ani źle. ani dobrze</c:v>
                </c:pt>
              </c:strCache>
            </c:strRef>
          </c:tx>
          <c:spPr>
            <a:solidFill>
              <a:srgbClr val="FFC00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Ocena!$V$12:$AE$12</c:f>
              <c:numCache>
                <c:formatCode>0.00%</c:formatCode>
                <c:ptCount val="10"/>
                <c:pt idx="0">
                  <c:v>0.1009</c:v>
                </c:pt>
                <c:pt idx="1">
                  <c:v>0.15040000000000001</c:v>
                </c:pt>
                <c:pt idx="2">
                  <c:v>0.1333</c:v>
                </c:pt>
                <c:pt idx="3">
                  <c:v>0.19839999999999999</c:v>
                </c:pt>
                <c:pt idx="4">
                  <c:v>0.187</c:v>
                </c:pt>
                <c:pt idx="5">
                  <c:v>0.2014</c:v>
                </c:pt>
                <c:pt idx="6">
                  <c:v>0.14710000000000001</c:v>
                </c:pt>
                <c:pt idx="7">
                  <c:v>0.2117</c:v>
                </c:pt>
                <c:pt idx="8">
                  <c:v>0.28189999999999998</c:v>
                </c:pt>
                <c:pt idx="9">
                  <c:v>0.29670000000000002</c:v>
                </c:pt>
              </c:numCache>
            </c:numRef>
          </c:val>
          <c:extLst>
            <c:ext xmlns:c16="http://schemas.microsoft.com/office/drawing/2014/chart" uri="{C3380CC4-5D6E-409C-BE32-E72D297353CC}">
              <c16:uniqueId val="{00000002-8DEA-4AFE-90A4-87E770091BC9}"/>
            </c:ext>
          </c:extLst>
        </c:ser>
        <c:ser>
          <c:idx val="3"/>
          <c:order val="3"/>
          <c:tx>
            <c:strRef>
              <c:f>Ocena!$N$13</c:f>
              <c:strCache>
                <c:ptCount val="1"/>
                <c:pt idx="0">
                  <c:v>Dobrze</c:v>
                </c:pt>
              </c:strCache>
            </c:strRef>
          </c:tx>
          <c:spPr>
            <a:solidFill>
              <a:srgbClr val="92D05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Ocena!$V$13:$AE$13</c:f>
              <c:numCache>
                <c:formatCode>0.00%</c:formatCode>
                <c:ptCount val="10"/>
                <c:pt idx="0">
                  <c:v>0.55520000000000003</c:v>
                </c:pt>
                <c:pt idx="1">
                  <c:v>0.57740000000000002</c:v>
                </c:pt>
                <c:pt idx="2">
                  <c:v>0.49109999999999998</c:v>
                </c:pt>
                <c:pt idx="3">
                  <c:v>0.54900000000000004</c:v>
                </c:pt>
                <c:pt idx="4">
                  <c:v>0.4718</c:v>
                </c:pt>
                <c:pt idx="5">
                  <c:v>0.52200000000000002</c:v>
                </c:pt>
                <c:pt idx="6">
                  <c:v>0.45569999999999999</c:v>
                </c:pt>
                <c:pt idx="7">
                  <c:v>0.49840000000000001</c:v>
                </c:pt>
                <c:pt idx="8">
                  <c:v>0.32940000000000003</c:v>
                </c:pt>
                <c:pt idx="9">
                  <c:v>0.35099999999999998</c:v>
                </c:pt>
              </c:numCache>
            </c:numRef>
          </c:val>
          <c:extLst>
            <c:ext xmlns:c16="http://schemas.microsoft.com/office/drawing/2014/chart" uri="{C3380CC4-5D6E-409C-BE32-E72D297353CC}">
              <c16:uniqueId val="{00000003-8DEA-4AFE-90A4-87E770091BC9}"/>
            </c:ext>
          </c:extLst>
        </c:ser>
        <c:ser>
          <c:idx val="4"/>
          <c:order val="4"/>
          <c:tx>
            <c:strRef>
              <c:f>Ocena!$N$14</c:f>
              <c:strCache>
                <c:ptCount val="1"/>
                <c:pt idx="0">
                  <c:v>Bardzo dobrze</c:v>
                </c:pt>
              </c:strCache>
            </c:strRef>
          </c:tx>
          <c:spPr>
            <a:solidFill>
              <a:srgbClr val="00B05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Ocena!$V$14:$AE$14</c:f>
              <c:numCache>
                <c:formatCode>0.00%</c:formatCode>
                <c:ptCount val="10"/>
                <c:pt idx="0">
                  <c:v>0.28799999999999998</c:v>
                </c:pt>
                <c:pt idx="1">
                  <c:v>0.21390000000000001</c:v>
                </c:pt>
                <c:pt idx="2">
                  <c:v>0.27310000000000001</c:v>
                </c:pt>
                <c:pt idx="3">
                  <c:v>0.15079999999999999</c:v>
                </c:pt>
                <c:pt idx="4">
                  <c:v>0.1482</c:v>
                </c:pt>
                <c:pt idx="5">
                  <c:v>0.1426</c:v>
                </c:pt>
                <c:pt idx="6">
                  <c:v>0.27210000000000001</c:v>
                </c:pt>
                <c:pt idx="7">
                  <c:v>0.13139999999999999</c:v>
                </c:pt>
                <c:pt idx="8">
                  <c:v>8.2100000000000006E-2</c:v>
                </c:pt>
                <c:pt idx="9">
                  <c:v>7.4899999999999994E-2</c:v>
                </c:pt>
              </c:numCache>
            </c:numRef>
          </c:val>
          <c:extLst>
            <c:ext xmlns:c16="http://schemas.microsoft.com/office/drawing/2014/chart" uri="{C3380CC4-5D6E-409C-BE32-E72D297353CC}">
              <c16:uniqueId val="{00000004-8DEA-4AFE-90A4-87E770091BC9}"/>
            </c:ext>
          </c:extLst>
        </c:ser>
        <c:ser>
          <c:idx val="5"/>
          <c:order val="5"/>
          <c:tx>
            <c:strRef>
              <c:f>Ocena!$N$15</c:f>
              <c:strCache>
                <c:ptCount val="1"/>
                <c:pt idx="0">
                  <c:v>Trudno powiedzieć</c:v>
                </c:pt>
              </c:strCache>
            </c:strRef>
          </c:tx>
          <c:spPr>
            <a:solidFill>
              <a:srgbClr val="00B0F0"/>
            </a:solidFill>
            <a:ln>
              <a:noFill/>
            </a:ln>
            <a:effectLst/>
          </c:spPr>
          <c:invertIfNegative val="0"/>
          <c:cat>
            <c:strRef>
              <c:f>Ocena!$V$9:$AE$9</c:f>
              <c:strCache>
                <c:ptCount val="10"/>
                <c:pt idx="0">
                  <c:v>Czytelność informacji o rozkładzie jazdy</c:v>
                </c:pt>
                <c:pt idx="1">
                  <c:v>Dogodna lokalizacja przystanków</c:v>
                </c:pt>
                <c:pt idx="2">
                  <c:v>Łatwość zakupu biletów</c:v>
                </c:pt>
                <c:pt idx="3">
                  <c:v>Korzystny przebieg tras</c:v>
                </c:pt>
                <c:pt idx="4">
                  <c:v>Dostosowanie pojazdów do wjazdu wózkiem</c:v>
                </c:pt>
                <c:pt idx="5">
                  <c:v>Odpowiednie godziny kursowania</c:v>
                </c:pt>
                <c:pt idx="6">
                  <c:v>Informacja za ile minut przyjedzie pojazd</c:v>
                </c:pt>
                <c:pt idx="7">
                  <c:v>Odpowiednia częstotliwość kursowania</c:v>
                </c:pt>
                <c:pt idx="8">
                  <c:v>Informacja w sytuacjach awaryjnych</c:v>
                </c:pt>
                <c:pt idx="9">
                  <c:v>Poziom cen biletów</c:v>
                </c:pt>
              </c:strCache>
            </c:strRef>
          </c:cat>
          <c:val>
            <c:numRef>
              <c:f>Ocena!$V$15:$AE$15</c:f>
              <c:numCache>
                <c:formatCode>0.00%</c:formatCode>
                <c:ptCount val="10"/>
                <c:pt idx="0">
                  <c:v>9.4999999999999998E-3</c:v>
                </c:pt>
                <c:pt idx="1">
                  <c:v>8.8999999999999999E-3</c:v>
                </c:pt>
                <c:pt idx="2">
                  <c:v>1.95E-2</c:v>
                </c:pt>
                <c:pt idx="3">
                  <c:v>1.9300000000000001E-2</c:v>
                </c:pt>
                <c:pt idx="4">
                  <c:v>0.1019</c:v>
                </c:pt>
                <c:pt idx="5">
                  <c:v>1.8499999999999999E-2</c:v>
                </c:pt>
                <c:pt idx="6">
                  <c:v>1.2999999999999999E-2</c:v>
                </c:pt>
                <c:pt idx="7">
                  <c:v>1.6299999999999999E-2</c:v>
                </c:pt>
                <c:pt idx="8">
                  <c:v>8.5699999999999998E-2</c:v>
                </c:pt>
                <c:pt idx="9">
                  <c:v>3.2399999999999998E-2</c:v>
                </c:pt>
              </c:numCache>
            </c:numRef>
          </c:val>
          <c:extLst>
            <c:ext xmlns:c16="http://schemas.microsoft.com/office/drawing/2014/chart" uri="{C3380CC4-5D6E-409C-BE32-E72D297353CC}">
              <c16:uniqueId val="{00000005-8DEA-4AFE-90A4-87E770091BC9}"/>
            </c:ext>
          </c:extLst>
        </c:ser>
        <c:dLbls>
          <c:showLegendKey val="0"/>
          <c:showVal val="0"/>
          <c:showCatName val="0"/>
          <c:showSerName val="0"/>
          <c:showPercent val="0"/>
          <c:showBubbleSize val="0"/>
        </c:dLbls>
        <c:gapWidth val="75"/>
        <c:overlap val="100"/>
        <c:axId val="-2084584272"/>
        <c:axId val="-2084584816"/>
      </c:barChart>
      <c:catAx>
        <c:axId val="-2084584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4816"/>
        <c:crosses val="autoZero"/>
        <c:auto val="1"/>
        <c:lblAlgn val="ctr"/>
        <c:lblOffset val="100"/>
        <c:noMultiLvlLbl val="0"/>
      </c:catAx>
      <c:valAx>
        <c:axId val="-20845848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4272"/>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Ocena!$N$10</c:f>
              <c:strCache>
                <c:ptCount val="1"/>
                <c:pt idx="0">
                  <c:v>Bardzo źle</c:v>
                </c:pt>
              </c:strCache>
            </c:strRef>
          </c:tx>
          <c:spPr>
            <a:solidFill>
              <a:srgbClr val="C0000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Ocena!$AF$10:$AO$10</c:f>
              <c:numCache>
                <c:formatCode>0.00%</c:formatCode>
                <c:ptCount val="10"/>
                <c:pt idx="0">
                  <c:v>2.23E-2</c:v>
                </c:pt>
                <c:pt idx="1">
                  <c:v>6.6E-3</c:v>
                </c:pt>
                <c:pt idx="2">
                  <c:v>2.4400000000000002E-2</c:v>
                </c:pt>
                <c:pt idx="3">
                  <c:v>6.1600000000000002E-2</c:v>
                </c:pt>
                <c:pt idx="4">
                  <c:v>1.84E-2</c:v>
                </c:pt>
                <c:pt idx="5">
                  <c:v>1.9699999999999999E-2</c:v>
                </c:pt>
                <c:pt idx="6">
                  <c:v>1.2200000000000001E-2</c:v>
                </c:pt>
                <c:pt idx="7">
                  <c:v>1.2200000000000001E-2</c:v>
                </c:pt>
                <c:pt idx="8">
                  <c:v>2.2200000000000001E-2</c:v>
                </c:pt>
                <c:pt idx="9">
                  <c:v>1.44E-2</c:v>
                </c:pt>
              </c:numCache>
            </c:numRef>
          </c:val>
          <c:extLst>
            <c:ext xmlns:c16="http://schemas.microsoft.com/office/drawing/2014/chart" uri="{C3380CC4-5D6E-409C-BE32-E72D297353CC}">
              <c16:uniqueId val="{00000000-32AA-4E51-8CF1-B10A95FCC905}"/>
            </c:ext>
          </c:extLst>
        </c:ser>
        <c:ser>
          <c:idx val="1"/>
          <c:order val="1"/>
          <c:tx>
            <c:strRef>
              <c:f>Ocena!$N$11</c:f>
              <c:strCache>
                <c:ptCount val="1"/>
                <c:pt idx="0">
                  <c:v>Źle</c:v>
                </c:pt>
              </c:strCache>
            </c:strRef>
          </c:tx>
          <c:spPr>
            <a:solidFill>
              <a:srgbClr val="FF000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Ocena!$AF$11:$AO$11</c:f>
              <c:numCache>
                <c:formatCode>0.00%</c:formatCode>
                <c:ptCount val="10"/>
                <c:pt idx="0">
                  <c:v>0.124</c:v>
                </c:pt>
                <c:pt idx="1">
                  <c:v>4.4900000000000002E-2</c:v>
                </c:pt>
                <c:pt idx="2">
                  <c:v>0.11700000000000001</c:v>
                </c:pt>
                <c:pt idx="3">
                  <c:v>0.23730000000000001</c:v>
                </c:pt>
                <c:pt idx="4">
                  <c:v>0.13880000000000001</c:v>
                </c:pt>
                <c:pt idx="5">
                  <c:v>0.1295</c:v>
                </c:pt>
                <c:pt idx="6">
                  <c:v>7.5999999999999998E-2</c:v>
                </c:pt>
                <c:pt idx="7">
                  <c:v>6.5699999999999995E-2</c:v>
                </c:pt>
                <c:pt idx="8">
                  <c:v>9.3399999999999997E-2</c:v>
                </c:pt>
                <c:pt idx="9">
                  <c:v>9.9299999999999999E-2</c:v>
                </c:pt>
              </c:numCache>
            </c:numRef>
          </c:val>
          <c:extLst>
            <c:ext xmlns:c16="http://schemas.microsoft.com/office/drawing/2014/chart" uri="{C3380CC4-5D6E-409C-BE32-E72D297353CC}">
              <c16:uniqueId val="{00000001-32AA-4E51-8CF1-B10A95FCC905}"/>
            </c:ext>
          </c:extLst>
        </c:ser>
        <c:ser>
          <c:idx val="2"/>
          <c:order val="2"/>
          <c:tx>
            <c:strRef>
              <c:f>Ocena!$N$12</c:f>
              <c:strCache>
                <c:ptCount val="1"/>
                <c:pt idx="0">
                  <c:v>Ani źle. ani dobrze</c:v>
                </c:pt>
              </c:strCache>
            </c:strRef>
          </c:tx>
          <c:spPr>
            <a:solidFill>
              <a:srgbClr val="FFC00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Ocena!$AF$12:$AO$12</c:f>
              <c:numCache>
                <c:formatCode>0.00%</c:formatCode>
                <c:ptCount val="10"/>
                <c:pt idx="0">
                  <c:v>0.26340000000000002</c:v>
                </c:pt>
                <c:pt idx="1">
                  <c:v>0.17899999999999999</c:v>
                </c:pt>
                <c:pt idx="2">
                  <c:v>0.22470000000000001</c:v>
                </c:pt>
                <c:pt idx="3">
                  <c:v>0.2424</c:v>
                </c:pt>
                <c:pt idx="4">
                  <c:v>0.3009</c:v>
                </c:pt>
                <c:pt idx="5">
                  <c:v>0.31490000000000001</c:v>
                </c:pt>
                <c:pt idx="6">
                  <c:v>0.25359999999999999</c:v>
                </c:pt>
                <c:pt idx="7">
                  <c:v>0.22239999999999999</c:v>
                </c:pt>
                <c:pt idx="8">
                  <c:v>0.2311</c:v>
                </c:pt>
                <c:pt idx="9">
                  <c:v>0.2097</c:v>
                </c:pt>
              </c:numCache>
            </c:numRef>
          </c:val>
          <c:extLst>
            <c:ext xmlns:c16="http://schemas.microsoft.com/office/drawing/2014/chart" uri="{C3380CC4-5D6E-409C-BE32-E72D297353CC}">
              <c16:uniqueId val="{00000002-32AA-4E51-8CF1-B10A95FCC905}"/>
            </c:ext>
          </c:extLst>
        </c:ser>
        <c:ser>
          <c:idx val="3"/>
          <c:order val="3"/>
          <c:tx>
            <c:strRef>
              <c:f>Ocena!$N$13</c:f>
              <c:strCache>
                <c:ptCount val="1"/>
                <c:pt idx="0">
                  <c:v>Dobrze</c:v>
                </c:pt>
              </c:strCache>
            </c:strRef>
          </c:tx>
          <c:spPr>
            <a:solidFill>
              <a:srgbClr val="92D05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Ocena!$AF$13:$AO$13</c:f>
              <c:numCache>
                <c:formatCode>0.00%</c:formatCode>
                <c:ptCount val="10"/>
                <c:pt idx="0">
                  <c:v>0.48949999999999999</c:v>
                </c:pt>
                <c:pt idx="1">
                  <c:v>0.60850000000000004</c:v>
                </c:pt>
                <c:pt idx="2">
                  <c:v>0.50700000000000001</c:v>
                </c:pt>
                <c:pt idx="3">
                  <c:v>0.36749999999999999</c:v>
                </c:pt>
                <c:pt idx="4">
                  <c:v>0.44729999999999998</c:v>
                </c:pt>
                <c:pt idx="5">
                  <c:v>0.42230000000000001</c:v>
                </c:pt>
                <c:pt idx="6">
                  <c:v>0.51239999999999997</c:v>
                </c:pt>
                <c:pt idx="7">
                  <c:v>0.54559999999999997</c:v>
                </c:pt>
                <c:pt idx="8">
                  <c:v>0.53539999999999999</c:v>
                </c:pt>
                <c:pt idx="9">
                  <c:v>0.4803</c:v>
                </c:pt>
              </c:numCache>
            </c:numRef>
          </c:val>
          <c:extLst>
            <c:ext xmlns:c16="http://schemas.microsoft.com/office/drawing/2014/chart" uri="{C3380CC4-5D6E-409C-BE32-E72D297353CC}">
              <c16:uniqueId val="{00000003-32AA-4E51-8CF1-B10A95FCC905}"/>
            </c:ext>
          </c:extLst>
        </c:ser>
        <c:ser>
          <c:idx val="4"/>
          <c:order val="4"/>
          <c:tx>
            <c:strRef>
              <c:f>Ocena!$N$14</c:f>
              <c:strCache>
                <c:ptCount val="1"/>
                <c:pt idx="0">
                  <c:v>Bardzo dobrze</c:v>
                </c:pt>
              </c:strCache>
            </c:strRef>
          </c:tx>
          <c:spPr>
            <a:solidFill>
              <a:srgbClr val="00B05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Ocena!$AF$14:$AO$14</c:f>
              <c:numCache>
                <c:formatCode>0.00%</c:formatCode>
                <c:ptCount val="10"/>
                <c:pt idx="0">
                  <c:v>8.3199999999999996E-2</c:v>
                </c:pt>
                <c:pt idx="1">
                  <c:v>0.14180000000000001</c:v>
                </c:pt>
                <c:pt idx="2">
                  <c:v>8.7800000000000003E-2</c:v>
                </c:pt>
                <c:pt idx="3">
                  <c:v>6.6299999999999998E-2</c:v>
                </c:pt>
                <c:pt idx="4">
                  <c:v>6.7500000000000004E-2</c:v>
                </c:pt>
                <c:pt idx="5">
                  <c:v>6.3899999999999998E-2</c:v>
                </c:pt>
                <c:pt idx="6">
                  <c:v>0.1021</c:v>
                </c:pt>
                <c:pt idx="7">
                  <c:v>0.1191</c:v>
                </c:pt>
                <c:pt idx="8">
                  <c:v>0.1013</c:v>
                </c:pt>
                <c:pt idx="9">
                  <c:v>0.1099</c:v>
                </c:pt>
              </c:numCache>
            </c:numRef>
          </c:val>
          <c:extLst>
            <c:ext xmlns:c16="http://schemas.microsoft.com/office/drawing/2014/chart" uri="{C3380CC4-5D6E-409C-BE32-E72D297353CC}">
              <c16:uniqueId val="{00000004-32AA-4E51-8CF1-B10A95FCC905}"/>
            </c:ext>
          </c:extLst>
        </c:ser>
        <c:ser>
          <c:idx val="5"/>
          <c:order val="5"/>
          <c:tx>
            <c:strRef>
              <c:f>Ocena!$N$15</c:f>
              <c:strCache>
                <c:ptCount val="1"/>
                <c:pt idx="0">
                  <c:v>Trudno powiedzieć</c:v>
                </c:pt>
              </c:strCache>
            </c:strRef>
          </c:tx>
          <c:spPr>
            <a:solidFill>
              <a:srgbClr val="00B0F0"/>
            </a:solidFill>
            <a:ln>
              <a:noFill/>
            </a:ln>
            <a:effectLst/>
          </c:spPr>
          <c:invertIfNegative val="0"/>
          <c:cat>
            <c:strRef>
              <c:f>Ocena!$AF$9:$AO$9</c:f>
              <c:strCache>
                <c:ptCount val="10"/>
                <c:pt idx="0">
                  <c:v>Dostępność miejsc siedzących</c:v>
                </c:pt>
                <c:pt idx="1">
                  <c:v>Dostępność miejsc stojących</c:v>
                </c:pt>
                <c:pt idx="2">
                  <c:v>Odpowiedniość temperatury zimą</c:v>
                </c:pt>
                <c:pt idx="3">
                  <c:v>Odpowiedniość temperatury latem</c:v>
                </c:pt>
                <c:pt idx="4">
                  <c:v>Poziom hałasu</c:v>
                </c:pt>
                <c:pt idx="5">
                  <c:v>Poziom drgań</c:v>
                </c:pt>
                <c:pt idx="6">
                  <c:v>Dostępność informacji pasażerskiej</c:v>
                </c:pt>
                <c:pt idx="7">
                  <c:v>Odpowiedni stan techniczny</c:v>
                </c:pt>
                <c:pt idx="8">
                  <c:v>Czystość</c:v>
                </c:pt>
                <c:pt idx="9">
                  <c:v>Podróż z wózkiem lub bagażem</c:v>
                </c:pt>
              </c:strCache>
            </c:strRef>
          </c:cat>
          <c:val>
            <c:numRef>
              <c:f>Ocena!$AF$15:$AO$15</c:f>
              <c:numCache>
                <c:formatCode>0.00%</c:formatCode>
                <c:ptCount val="10"/>
                <c:pt idx="0">
                  <c:v>1.7600000000000001E-2</c:v>
                </c:pt>
                <c:pt idx="1">
                  <c:v>1.9199999999999998E-2</c:v>
                </c:pt>
                <c:pt idx="2">
                  <c:v>3.9E-2</c:v>
                </c:pt>
                <c:pt idx="3">
                  <c:v>2.5000000000000001E-2</c:v>
                </c:pt>
                <c:pt idx="4">
                  <c:v>2.7099999999999999E-2</c:v>
                </c:pt>
                <c:pt idx="5">
                  <c:v>4.9599999999999998E-2</c:v>
                </c:pt>
                <c:pt idx="6">
                  <c:v>4.3700000000000003E-2</c:v>
                </c:pt>
                <c:pt idx="7">
                  <c:v>3.49E-2</c:v>
                </c:pt>
                <c:pt idx="8">
                  <c:v>1.66E-2</c:v>
                </c:pt>
                <c:pt idx="9">
                  <c:v>8.6400000000000005E-2</c:v>
                </c:pt>
              </c:numCache>
            </c:numRef>
          </c:val>
          <c:extLst>
            <c:ext xmlns:c16="http://schemas.microsoft.com/office/drawing/2014/chart" uri="{C3380CC4-5D6E-409C-BE32-E72D297353CC}">
              <c16:uniqueId val="{00000005-32AA-4E51-8CF1-B10A95FCC905}"/>
            </c:ext>
          </c:extLst>
        </c:ser>
        <c:dLbls>
          <c:showLegendKey val="0"/>
          <c:showVal val="0"/>
          <c:showCatName val="0"/>
          <c:showSerName val="0"/>
          <c:showPercent val="0"/>
          <c:showBubbleSize val="0"/>
        </c:dLbls>
        <c:gapWidth val="75"/>
        <c:overlap val="100"/>
        <c:axId val="-2084586992"/>
        <c:axId val="-2084585904"/>
      </c:barChart>
      <c:catAx>
        <c:axId val="-208458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5904"/>
        <c:crosses val="autoZero"/>
        <c:auto val="1"/>
        <c:lblAlgn val="ctr"/>
        <c:lblOffset val="100"/>
        <c:noMultiLvlLbl val="0"/>
      </c:catAx>
      <c:valAx>
        <c:axId val="-20845859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6992"/>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spPr>
            <a:solidFill>
              <a:schemeClr val="accent1"/>
            </a:solidFill>
            <a:ln>
              <a:noFill/>
            </a:ln>
            <a:effectLst/>
          </c:spPr>
          <c:invertIfNegative val="0"/>
          <c:val>
            <c:numRef>
              <c:f>'Koszt transport zbiorowy'!$S$2:$S$91</c:f>
              <c:numCache>
                <c:formatCode>General</c:formatCode>
                <c:ptCount val="90"/>
                <c:pt idx="6" formatCode="0.00">
                  <c:v>-9.752200000000002</c:v>
                </c:pt>
                <c:pt idx="9" formatCode="0.00">
                  <c:v>-7.2423999999999964</c:v>
                </c:pt>
                <c:pt idx="16" formatCode="0.00">
                  <c:v>-3.8857999999999997</c:v>
                </c:pt>
                <c:pt idx="22" formatCode="0.00">
                  <c:v>-1.9913999999999987</c:v>
                </c:pt>
                <c:pt idx="25" formatCode="0.00">
                  <c:v>-1.1867999999999981</c:v>
                </c:pt>
                <c:pt idx="26" formatCode="0.00">
                  <c:v>-0.94359999999999999</c:v>
                </c:pt>
                <c:pt idx="27" formatCode="0.00">
                  <c:v>-0.90879999999999939</c:v>
                </c:pt>
                <c:pt idx="28" formatCode="0.00">
                  <c:v>-0.46539999999999893</c:v>
                </c:pt>
                <c:pt idx="30" formatCode="0.00">
                  <c:v>-0.28609999999999758</c:v>
                </c:pt>
                <c:pt idx="31" formatCode="0.00">
                  <c:v>6.2200000000000699E-2</c:v>
                </c:pt>
                <c:pt idx="33" formatCode="0.00">
                  <c:v>0.73160000000000025</c:v>
                </c:pt>
                <c:pt idx="34" formatCode="0.00">
                  <c:v>0.75959999999999894</c:v>
                </c:pt>
                <c:pt idx="36" formatCode="0.00">
                  <c:v>1.0360000000000014</c:v>
                </c:pt>
                <c:pt idx="37" formatCode="0.00">
                  <c:v>1.0816000000000017</c:v>
                </c:pt>
                <c:pt idx="38" formatCode="0.00">
                  <c:v>1.5473999999999997</c:v>
                </c:pt>
                <c:pt idx="39" formatCode="0.00">
                  <c:v>1.7697999999999983</c:v>
                </c:pt>
                <c:pt idx="41" formatCode="0.00">
                  <c:v>2.1472000000000016</c:v>
                </c:pt>
                <c:pt idx="42" formatCode="0.00">
                  <c:v>2.2292000000000023</c:v>
                </c:pt>
                <c:pt idx="43" formatCode="0.00">
                  <c:v>2.4690000000000047</c:v>
                </c:pt>
                <c:pt idx="44" formatCode="0.00">
                  <c:v>2.7809999999999988</c:v>
                </c:pt>
                <c:pt idx="45" formatCode="0.00">
                  <c:v>3.3461999999999996</c:v>
                </c:pt>
                <c:pt idx="47" formatCode="0.00">
                  <c:v>3.5362000000000045</c:v>
                </c:pt>
                <c:pt idx="48" formatCode="0.00">
                  <c:v>3.5985999999999994</c:v>
                </c:pt>
                <c:pt idx="49" formatCode="0.00">
                  <c:v>3.6384000000000007</c:v>
                </c:pt>
                <c:pt idx="50" formatCode="0.00">
                  <c:v>3.6578000000000017</c:v>
                </c:pt>
                <c:pt idx="51" formatCode="0.00">
                  <c:v>4.0461999999999989</c:v>
                </c:pt>
                <c:pt idx="52" formatCode="0.00">
                  <c:v>4.2538000000000018</c:v>
                </c:pt>
                <c:pt idx="53" formatCode="0.00">
                  <c:v>4.653100000000002</c:v>
                </c:pt>
                <c:pt idx="54" formatCode="0.00">
                  <c:v>4.7690000000000001</c:v>
                </c:pt>
                <c:pt idx="55" formatCode="0.00">
                  <c:v>4.8728000000000016</c:v>
                </c:pt>
                <c:pt idx="56" formatCode="0.00">
                  <c:v>5.1884000000000015</c:v>
                </c:pt>
                <c:pt idx="58" formatCode="0.00">
                  <c:v>5.5029000000000003</c:v>
                </c:pt>
                <c:pt idx="59" formatCode="0.00">
                  <c:v>5.9328000000000074</c:v>
                </c:pt>
                <c:pt idx="61" formatCode="0.00">
                  <c:v>6.615199999999998</c:v>
                </c:pt>
                <c:pt idx="62" formatCode="0.00">
                  <c:v>7.2081999999999979</c:v>
                </c:pt>
                <c:pt idx="63" formatCode="0.00">
                  <c:v>7.4312000000000005</c:v>
                </c:pt>
                <c:pt idx="64" formatCode="0.00">
                  <c:v>7.5763999999999996</c:v>
                </c:pt>
                <c:pt idx="68" formatCode="0.00">
                  <c:v>8.0764000000000031</c:v>
                </c:pt>
                <c:pt idx="70" formatCode="0.00">
                  <c:v>8.4885000000000019</c:v>
                </c:pt>
                <c:pt idx="71" formatCode="0.00">
                  <c:v>8.5878000000000014</c:v>
                </c:pt>
                <c:pt idx="73" formatCode="0.00">
                  <c:v>8.7090000000000014</c:v>
                </c:pt>
                <c:pt idx="76" formatCode="0.00">
                  <c:v>9.6724000000000032</c:v>
                </c:pt>
                <c:pt idx="79" formatCode="0.00">
                  <c:v>10.556799999999999</c:v>
                </c:pt>
                <c:pt idx="80" formatCode="0.00">
                  <c:v>10.603000000000002</c:v>
                </c:pt>
                <c:pt idx="81" formatCode="0.00">
                  <c:v>11.345200000000002</c:v>
                </c:pt>
                <c:pt idx="82" formatCode="0.00">
                  <c:v>12.276400000000004</c:v>
                </c:pt>
                <c:pt idx="83" formatCode="0.00">
                  <c:v>12.301000000000005</c:v>
                </c:pt>
                <c:pt idx="84" formatCode="0.00">
                  <c:v>12.349</c:v>
                </c:pt>
                <c:pt idx="87" formatCode="0.00">
                  <c:v>15.275400000000001</c:v>
                </c:pt>
                <c:pt idx="88" formatCode="0.00">
                  <c:v>16.940800000000003</c:v>
                </c:pt>
              </c:numCache>
            </c:numRef>
          </c:val>
          <c:extLst>
            <c:ext xmlns:c16="http://schemas.microsoft.com/office/drawing/2014/chart" uri="{C3380CC4-5D6E-409C-BE32-E72D297353CC}">
              <c16:uniqueId val="{00000000-22FA-4D17-A2C3-234E763C6E31}"/>
            </c:ext>
          </c:extLst>
        </c:ser>
        <c:ser>
          <c:idx val="1"/>
          <c:order val="1"/>
          <c:spPr>
            <a:solidFill>
              <a:schemeClr val="accent2"/>
            </a:solidFill>
            <a:ln>
              <a:noFill/>
            </a:ln>
            <a:effectLst/>
          </c:spPr>
          <c:invertIfNegative val="0"/>
          <c:val>
            <c:numRef>
              <c:f>'Koszt transport zbiorowy'!$T$2:$T$91</c:f>
              <c:numCache>
                <c:formatCode>0.00</c:formatCode>
                <c:ptCount val="90"/>
                <c:pt idx="0">
                  <c:v>-34.5304</c:v>
                </c:pt>
                <c:pt idx="1">
                  <c:v>-30.101399999999998</c:v>
                </c:pt>
                <c:pt idx="2">
                  <c:v>-28.313000000000002</c:v>
                </c:pt>
                <c:pt idx="3">
                  <c:v>-22.991500000000009</c:v>
                </c:pt>
                <c:pt idx="4">
                  <c:v>-17.325000000000003</c:v>
                </c:pt>
                <c:pt idx="5">
                  <c:v>-13.007399999999997</c:v>
                </c:pt>
                <c:pt idx="7">
                  <c:v>-9.4519999999999982</c:v>
                </c:pt>
                <c:pt idx="8">
                  <c:v>-8.2402999999999906</c:v>
                </c:pt>
                <c:pt idx="10">
                  <c:v>-6.3105999999999938</c:v>
                </c:pt>
                <c:pt idx="11">
                  <c:v>-4.9642999999999979</c:v>
                </c:pt>
                <c:pt idx="12">
                  <c:v>-4.4421999999999926</c:v>
                </c:pt>
                <c:pt idx="13">
                  <c:v>-4.0904000000000025</c:v>
                </c:pt>
                <c:pt idx="14">
                  <c:v>-4.0260000000000034</c:v>
                </c:pt>
                <c:pt idx="15">
                  <c:v>-3.9710000000000036</c:v>
                </c:pt>
                <c:pt idx="17">
                  <c:v>-3.7440999999999995</c:v>
                </c:pt>
                <c:pt idx="18">
                  <c:v>-3.3290999999999968</c:v>
                </c:pt>
                <c:pt idx="19">
                  <c:v>-2.892799999999994</c:v>
                </c:pt>
                <c:pt idx="20">
                  <c:v>-2.1732999999999976</c:v>
                </c:pt>
                <c:pt idx="21">
                  <c:v>-2.1483999999999952</c:v>
                </c:pt>
                <c:pt idx="23">
                  <c:v>-1.556599999999996</c:v>
                </c:pt>
                <c:pt idx="24">
                  <c:v>-1.403299999999998</c:v>
                </c:pt>
                <c:pt idx="29">
                  <c:v>-0.43269999999998987</c:v>
                </c:pt>
                <c:pt idx="32">
                  <c:v>0.64500000000000313</c:v>
                </c:pt>
                <c:pt idx="35">
                  <c:v>0.98750000000000071</c:v>
                </c:pt>
                <c:pt idx="40">
                  <c:v>2.1149999999999949</c:v>
                </c:pt>
                <c:pt idx="46">
                  <c:v>3.479499999999998</c:v>
                </c:pt>
                <c:pt idx="57">
                  <c:v>5.4383000000000017</c:v>
                </c:pt>
                <c:pt idx="60">
                  <c:v>6.540300000000002</c:v>
                </c:pt>
                <c:pt idx="65">
                  <c:v>7.714500000000001</c:v>
                </c:pt>
                <c:pt idx="66">
                  <c:v>7.8488000000000042</c:v>
                </c:pt>
                <c:pt idx="67">
                  <c:v>7.9472000000000023</c:v>
                </c:pt>
                <c:pt idx="69">
                  <c:v>8.2167999999999992</c:v>
                </c:pt>
                <c:pt idx="72">
                  <c:v>8.6000000000000085</c:v>
                </c:pt>
                <c:pt idx="74">
                  <c:v>8.865000000000002</c:v>
                </c:pt>
                <c:pt idx="75">
                  <c:v>9.4962000000000018</c:v>
                </c:pt>
                <c:pt idx="77">
                  <c:v>9.7047000000000097</c:v>
                </c:pt>
                <c:pt idx="78">
                  <c:v>10.150199999999998</c:v>
                </c:pt>
                <c:pt idx="85">
                  <c:v>12.4224</c:v>
                </c:pt>
                <c:pt idx="86">
                  <c:v>13.202000000000005</c:v>
                </c:pt>
                <c:pt idx="89">
                  <c:v>25.120000000000005</c:v>
                </c:pt>
              </c:numCache>
            </c:numRef>
          </c:val>
          <c:extLst>
            <c:ext xmlns:c16="http://schemas.microsoft.com/office/drawing/2014/chart" uri="{C3380CC4-5D6E-409C-BE32-E72D297353CC}">
              <c16:uniqueId val="{00000001-22FA-4D17-A2C3-234E763C6E31}"/>
            </c:ext>
          </c:extLst>
        </c:ser>
        <c:dLbls>
          <c:showLegendKey val="0"/>
          <c:showVal val="0"/>
          <c:showCatName val="0"/>
          <c:showSerName val="0"/>
          <c:showPercent val="0"/>
          <c:showBubbleSize val="0"/>
        </c:dLbls>
        <c:gapWidth val="100"/>
        <c:overlap val="100"/>
        <c:axId val="-99654784"/>
        <c:axId val="-99654240"/>
      </c:barChart>
      <c:catAx>
        <c:axId val="-99654784"/>
        <c:scaling>
          <c:orientation val="minMax"/>
        </c:scaling>
        <c:delete val="1"/>
        <c:axPos val="b"/>
        <c:numFmt formatCode="0" sourceLinked="0"/>
        <c:majorTickMark val="none"/>
        <c:minorTickMark val="none"/>
        <c:tickLblPos val="nextTo"/>
        <c:crossAx val="-99654240"/>
        <c:crosses val="autoZero"/>
        <c:auto val="1"/>
        <c:lblAlgn val="ctr"/>
        <c:lblOffset val="100"/>
        <c:noMultiLvlLbl val="0"/>
      </c:catAx>
      <c:valAx>
        <c:axId val="-99654240"/>
        <c:scaling>
          <c:orientation val="minMax"/>
          <c:max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r>
                  <a:rPr lang="pl-PL" sz="900"/>
                  <a:t>Różnica między kosztem przejazdu transportem</a:t>
                </a:r>
                <a:r>
                  <a:rPr lang="pl-PL" sz="900" baseline="0"/>
                  <a:t> publicznym a samochodem (im mniej tym transport publiczny korzystniejszy)</a:t>
                </a:r>
                <a:endParaRPr lang="pl-PL" sz="900"/>
              </a:p>
            </c:rich>
          </c:tx>
          <c:overlay val="0"/>
          <c:spPr>
            <a:noFill/>
            <a:ln>
              <a:noFill/>
            </a:ln>
            <a:effectLst/>
          </c:spPr>
        </c:title>
        <c:numFmt formatCode="#,##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99654784"/>
        <c:crosses val="autoZero"/>
        <c:crossBetween val="between"/>
        <c:maj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C000"/>
            </a:solidFill>
            <a:ln>
              <a:noFill/>
            </a:ln>
            <a:effectLst/>
          </c:spPr>
          <c:invertIfNegative val="0"/>
          <c:cat>
            <c:strRef>
              <c:f>'Sytuacje awaryjne'!$E$41:$AB$41</c:f>
              <c:strCache>
                <c:ptCount val="24"/>
                <c:pt idx="0">
                  <c:v>Ogółem</c:v>
                </c:pt>
                <c:pt idx="1">
                  <c:v>100-200 tys. mieszkańcow</c:v>
                </c:pt>
                <c:pt idx="2">
                  <c:v>200-400 tys. mieszkańcow</c:v>
                </c:pt>
                <c:pt idx="3">
                  <c:v>400-800 tys. mieszkańców</c:v>
                </c:pt>
                <c:pt idx="4">
                  <c:v>Płock</c:v>
                </c:pt>
                <c:pt idx="5">
                  <c:v>Zielona Góra</c:v>
                </c:pt>
                <c:pt idx="6">
                  <c:v>Olsztyn</c:v>
                </c:pt>
                <c:pt idx="7">
                  <c:v>Białystok</c:v>
                </c:pt>
                <c:pt idx="8">
                  <c:v>Lublin</c:v>
                </c:pt>
                <c:pt idx="9">
                  <c:v>Opole</c:v>
                </c:pt>
                <c:pt idx="10">
                  <c:v>Kielce</c:v>
                </c:pt>
                <c:pt idx="11">
                  <c:v>Rzeszów</c:v>
                </c:pt>
                <c:pt idx="12">
                  <c:v>Gdynia</c:v>
                </c:pt>
                <c:pt idx="13">
                  <c:v>Toruń</c:v>
                </c:pt>
                <c:pt idx="14">
                  <c:v>Poznań</c:v>
                </c:pt>
                <c:pt idx="15">
                  <c:v>Bydgoszcz</c:v>
                </c:pt>
                <c:pt idx="16">
                  <c:v>Kraków</c:v>
                </c:pt>
                <c:pt idx="17">
                  <c:v>Szczecin</c:v>
                </c:pt>
                <c:pt idx="18">
                  <c:v>Łódź</c:v>
                </c:pt>
                <c:pt idx="19">
                  <c:v>Częstochowa</c:v>
                </c:pt>
                <c:pt idx="20">
                  <c:v>Gorzów Wielkopolski</c:v>
                </c:pt>
                <c:pt idx="21">
                  <c:v>Wrocław</c:v>
                </c:pt>
                <c:pt idx="22">
                  <c:v>Elbląg</c:v>
                </c:pt>
                <c:pt idx="23">
                  <c:v>Gdańsk</c:v>
                </c:pt>
              </c:strCache>
            </c:strRef>
          </c:cat>
          <c:val>
            <c:numRef>
              <c:f>'Sytuacje awaryjne'!$E$42:$AB$42</c:f>
              <c:numCache>
                <c:formatCode>0.00%</c:formatCode>
                <c:ptCount val="24"/>
                <c:pt idx="0">
                  <c:v>0.22086700689945243</c:v>
                </c:pt>
                <c:pt idx="1">
                  <c:v>0.18490758253915512</c:v>
                </c:pt>
                <c:pt idx="2">
                  <c:v>0.20422481803418926</c:v>
                </c:pt>
                <c:pt idx="3">
                  <c:v>0.2617193068255384</c:v>
                </c:pt>
                <c:pt idx="4">
                  <c:v>8.0000835484951668E-2</c:v>
                </c:pt>
                <c:pt idx="5">
                  <c:v>0.16335986363163793</c:v>
                </c:pt>
                <c:pt idx="6">
                  <c:v>0.16344993752786233</c:v>
                </c:pt>
                <c:pt idx="7">
                  <c:v>0.16774233322309803</c:v>
                </c:pt>
                <c:pt idx="8">
                  <c:v>0.16785323316240156</c:v>
                </c:pt>
                <c:pt idx="9">
                  <c:v>0.16849782522017381</c:v>
                </c:pt>
                <c:pt idx="10">
                  <c:v>0.1709692727552822</c:v>
                </c:pt>
                <c:pt idx="11">
                  <c:v>0.18964325463721576</c:v>
                </c:pt>
                <c:pt idx="12">
                  <c:v>0.19386425160107731</c:v>
                </c:pt>
                <c:pt idx="13">
                  <c:v>0.20941240654050744</c:v>
                </c:pt>
                <c:pt idx="14">
                  <c:v>0.22651351632783209</c:v>
                </c:pt>
                <c:pt idx="15">
                  <c:v>0.22758474307171822</c:v>
                </c:pt>
                <c:pt idx="16">
                  <c:v>0.24014331319135307</c:v>
                </c:pt>
                <c:pt idx="17">
                  <c:v>0.24125624825796732</c:v>
                </c:pt>
                <c:pt idx="18">
                  <c:v>0.26854210095263681</c:v>
                </c:pt>
                <c:pt idx="19">
                  <c:v>0.28274316464991389</c:v>
                </c:pt>
                <c:pt idx="20">
                  <c:v>0.28964545795565139</c:v>
                </c:pt>
                <c:pt idx="21">
                  <c:v>0.29645859282784498</c:v>
                </c:pt>
                <c:pt idx="22">
                  <c:v>0.29970960741983926</c:v>
                </c:pt>
                <c:pt idx="23">
                  <c:v>0.30096129232925345</c:v>
                </c:pt>
              </c:numCache>
            </c:numRef>
          </c:val>
          <c:extLst>
            <c:ext xmlns:c16="http://schemas.microsoft.com/office/drawing/2014/chart" uri="{C3380CC4-5D6E-409C-BE32-E72D297353CC}">
              <c16:uniqueId val="{00000000-2112-4962-98A6-DA6F4FD7E67A}"/>
            </c:ext>
          </c:extLst>
        </c:ser>
        <c:dLbls>
          <c:showLegendKey val="0"/>
          <c:showVal val="0"/>
          <c:showCatName val="0"/>
          <c:showSerName val="0"/>
          <c:showPercent val="0"/>
          <c:showBubbleSize val="0"/>
        </c:dLbls>
        <c:gapWidth val="219"/>
        <c:overlap val="-27"/>
        <c:axId val="-2084583728"/>
        <c:axId val="-2084585360"/>
      </c:barChart>
      <c:catAx>
        <c:axId val="-208458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mn-cs"/>
              </a:defRPr>
            </a:pPr>
            <a:endParaRPr lang="pl-PL"/>
          </a:p>
        </c:txPr>
        <c:crossAx val="-2084585360"/>
        <c:crosses val="autoZero"/>
        <c:auto val="1"/>
        <c:lblAlgn val="ctr"/>
        <c:lblOffset val="100"/>
        <c:noMultiLvlLbl val="0"/>
      </c:catAx>
      <c:valAx>
        <c:axId val="-2084585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3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471166668076265"/>
          <c:y val="0"/>
          <c:w val="0.48357688371660307"/>
          <c:h val="0.86225293266913072"/>
        </c:manualLayout>
      </c:layout>
      <c:barChart>
        <c:barDir val="bar"/>
        <c:grouping val="stacked"/>
        <c:varyColors val="0"/>
        <c:ser>
          <c:idx val="0"/>
          <c:order val="0"/>
          <c:tx>
            <c:strRef>
              <c:f>Opinie!$N$2</c:f>
              <c:strCache>
                <c:ptCount val="1"/>
                <c:pt idx="0">
                  <c:v>Zdecydowanie się NIE zgadzam</c:v>
                </c:pt>
              </c:strCache>
            </c:strRef>
          </c:tx>
          <c:spPr>
            <a:solidFill>
              <a:srgbClr val="C00000"/>
            </a:solidFill>
            <a:ln>
              <a:noFill/>
            </a:ln>
            <a:effectLst/>
          </c:spPr>
          <c:invertIfNegative val="0"/>
          <c:cat>
            <c:strRef>
              <c:f>Opinie!$O$1:$W$1</c:f>
              <c:strCache>
                <c:ptCount val="9"/>
                <c:pt idx="0">
                  <c:v>Bez samochodu nie był(a)bym w stanie dotrzeć do pracy</c:v>
                </c:pt>
                <c:pt idx="1">
                  <c:v>W moim mieście łatwo znaleźć miejsce do zaparkowania (nie dotyczy miejsc pod domem)</c:v>
                </c:pt>
                <c:pt idx="2">
                  <c:v>Komunikacja miejska w godzinach szczytu nie zapewni takiego czasu przejazdu jak samochód</c:v>
                </c:pt>
                <c:pt idx="3">
                  <c:v>Jestem przyzwyczajony(a) do jazdy samochodem, nawet jeśli wiąże się to ze staniem w korkach</c:v>
                </c:pt>
                <c:pt idx="4">
                  <c:v>Komunikacja w moim mieście jeżdzi wolno, często zatrzymuje się na sygnalizacjach i utyka w korkach</c:v>
                </c:pt>
                <c:pt idx="5">
                  <c:v>Przesiadki pomiędzy pojazdami komunikacji miejskiej nie są uciążliwe</c:v>
                </c:pt>
                <c:pt idx="6">
                  <c:v>Czasem zastanawiam się czy iść pieszo czy jechać autobusem</c:v>
                </c:pt>
                <c:pt idx="7">
                  <c:v>Środki komunikacji miejskiej w moim mieście są komfortowe</c:v>
                </c:pt>
                <c:pt idx="8">
                  <c:v>Za pomocą komunikacji łatwo mogę dostać się do wszystkich ważnych miejsc w moim mieście</c:v>
                </c:pt>
              </c:strCache>
            </c:strRef>
          </c:cat>
          <c:val>
            <c:numRef>
              <c:f>Opinie!$O$2:$W$2</c:f>
              <c:numCache>
                <c:formatCode>0.00%</c:formatCode>
                <c:ptCount val="9"/>
                <c:pt idx="0">
                  <c:v>0.27210000000000001</c:v>
                </c:pt>
                <c:pt idx="1">
                  <c:v>0.23849999999999999</c:v>
                </c:pt>
                <c:pt idx="2">
                  <c:v>0.14369999999999999</c:v>
                </c:pt>
                <c:pt idx="3">
                  <c:v>9.4399999999999998E-2</c:v>
                </c:pt>
                <c:pt idx="4">
                  <c:v>3.2800000000000003E-2</c:v>
                </c:pt>
                <c:pt idx="5">
                  <c:v>3.44E-2</c:v>
                </c:pt>
                <c:pt idx="6">
                  <c:v>3.0200000000000001E-2</c:v>
                </c:pt>
                <c:pt idx="7">
                  <c:v>2.1999999999999999E-2</c:v>
                </c:pt>
                <c:pt idx="8">
                  <c:v>2.0400000000000001E-2</c:v>
                </c:pt>
              </c:numCache>
            </c:numRef>
          </c:val>
          <c:extLst>
            <c:ext xmlns:c16="http://schemas.microsoft.com/office/drawing/2014/chart" uri="{C3380CC4-5D6E-409C-BE32-E72D297353CC}">
              <c16:uniqueId val="{00000000-98C8-4771-A619-E82A91D79B88}"/>
            </c:ext>
          </c:extLst>
        </c:ser>
        <c:ser>
          <c:idx val="1"/>
          <c:order val="1"/>
          <c:tx>
            <c:strRef>
              <c:f>Opinie!$N$3</c:f>
              <c:strCache>
                <c:ptCount val="1"/>
                <c:pt idx="0">
                  <c:v>Raczej się NIE zgadzam</c:v>
                </c:pt>
              </c:strCache>
            </c:strRef>
          </c:tx>
          <c:spPr>
            <a:solidFill>
              <a:srgbClr val="FF0000"/>
            </a:solidFill>
            <a:ln>
              <a:noFill/>
            </a:ln>
            <a:effectLst/>
          </c:spPr>
          <c:invertIfNegative val="0"/>
          <c:cat>
            <c:strRef>
              <c:f>Opinie!$O$1:$W$1</c:f>
              <c:strCache>
                <c:ptCount val="9"/>
                <c:pt idx="0">
                  <c:v>Bez samochodu nie był(a)bym w stanie dotrzeć do pracy</c:v>
                </c:pt>
                <c:pt idx="1">
                  <c:v>W moim mieście łatwo znaleźć miejsce do zaparkowania (nie dotyczy miejsc pod domem)</c:v>
                </c:pt>
                <c:pt idx="2">
                  <c:v>Komunikacja miejska w godzinach szczytu nie zapewni takiego czasu przejazdu jak samochód</c:v>
                </c:pt>
                <c:pt idx="3">
                  <c:v>Jestem przyzwyczajony(a) do jazdy samochodem, nawet jeśli wiąże się to ze staniem w korkach</c:v>
                </c:pt>
                <c:pt idx="4">
                  <c:v>Komunikacja w moim mieście jeżdzi wolno, często zatrzymuje się na sygnalizacjach i utyka w korkach</c:v>
                </c:pt>
                <c:pt idx="5">
                  <c:v>Przesiadki pomiędzy pojazdami komunikacji miejskiej nie są uciążliwe</c:v>
                </c:pt>
                <c:pt idx="6">
                  <c:v>Czasem zastanawiam się czy iść pieszo czy jechać autobusem</c:v>
                </c:pt>
                <c:pt idx="7">
                  <c:v>Środki komunikacji miejskiej w moim mieście są komfortowe</c:v>
                </c:pt>
                <c:pt idx="8">
                  <c:v>Za pomocą komunikacji łatwo mogę dostać się do wszystkich ważnych miejsc w moim mieście</c:v>
                </c:pt>
              </c:strCache>
            </c:strRef>
          </c:cat>
          <c:val>
            <c:numRef>
              <c:f>Opinie!$O$3:$W$3</c:f>
              <c:numCache>
                <c:formatCode>0.00%</c:formatCode>
                <c:ptCount val="9"/>
                <c:pt idx="0">
                  <c:v>0.31740000000000002</c:v>
                </c:pt>
                <c:pt idx="1">
                  <c:v>0.36349999999999999</c:v>
                </c:pt>
                <c:pt idx="2">
                  <c:v>0.29480000000000001</c:v>
                </c:pt>
                <c:pt idx="3">
                  <c:v>0.26</c:v>
                </c:pt>
                <c:pt idx="4">
                  <c:v>0.20519999999999999</c:v>
                </c:pt>
                <c:pt idx="5">
                  <c:v>0.14979999999999999</c:v>
                </c:pt>
                <c:pt idx="6">
                  <c:v>0.1421</c:v>
                </c:pt>
                <c:pt idx="7">
                  <c:v>0.13159999999999999</c:v>
                </c:pt>
                <c:pt idx="8">
                  <c:v>7.3499999999999996E-2</c:v>
                </c:pt>
              </c:numCache>
            </c:numRef>
          </c:val>
          <c:extLst>
            <c:ext xmlns:c16="http://schemas.microsoft.com/office/drawing/2014/chart" uri="{C3380CC4-5D6E-409C-BE32-E72D297353CC}">
              <c16:uniqueId val="{00000001-98C8-4771-A619-E82A91D79B88}"/>
            </c:ext>
          </c:extLst>
        </c:ser>
        <c:ser>
          <c:idx val="2"/>
          <c:order val="2"/>
          <c:tx>
            <c:strRef>
              <c:f>Opinie!$N$4</c:f>
              <c:strCache>
                <c:ptCount val="1"/>
                <c:pt idx="0">
                  <c:v>Trochę się zgadzam. a trochę nie</c:v>
                </c:pt>
              </c:strCache>
            </c:strRef>
          </c:tx>
          <c:spPr>
            <a:solidFill>
              <a:srgbClr val="FFC000"/>
            </a:solidFill>
            <a:ln>
              <a:noFill/>
            </a:ln>
            <a:effectLst/>
          </c:spPr>
          <c:invertIfNegative val="0"/>
          <c:cat>
            <c:strRef>
              <c:f>Opinie!$O$1:$W$1</c:f>
              <c:strCache>
                <c:ptCount val="9"/>
                <c:pt idx="0">
                  <c:v>Bez samochodu nie był(a)bym w stanie dotrzeć do pracy</c:v>
                </c:pt>
                <c:pt idx="1">
                  <c:v>W moim mieście łatwo znaleźć miejsce do zaparkowania (nie dotyczy miejsc pod domem)</c:v>
                </c:pt>
                <c:pt idx="2">
                  <c:v>Komunikacja miejska w godzinach szczytu nie zapewni takiego czasu przejazdu jak samochód</c:v>
                </c:pt>
                <c:pt idx="3">
                  <c:v>Jestem przyzwyczajony(a) do jazdy samochodem, nawet jeśli wiąże się to ze staniem w korkach</c:v>
                </c:pt>
                <c:pt idx="4">
                  <c:v>Komunikacja w moim mieście jeżdzi wolno, często zatrzymuje się na sygnalizacjach i utyka w korkach</c:v>
                </c:pt>
                <c:pt idx="5">
                  <c:v>Przesiadki pomiędzy pojazdami komunikacji miejskiej nie są uciążliwe</c:v>
                </c:pt>
                <c:pt idx="6">
                  <c:v>Czasem zastanawiam się czy iść pieszo czy jechać autobusem</c:v>
                </c:pt>
                <c:pt idx="7">
                  <c:v>Środki komunikacji miejskiej w moim mieście są komfortowe</c:v>
                </c:pt>
                <c:pt idx="8">
                  <c:v>Za pomocą komunikacji łatwo mogę dostać się do wszystkich ważnych miejsc w moim mieście</c:v>
                </c:pt>
              </c:strCache>
            </c:strRef>
          </c:cat>
          <c:val>
            <c:numRef>
              <c:f>Opinie!$O$4:$W$4</c:f>
              <c:numCache>
                <c:formatCode>0.00%</c:formatCode>
                <c:ptCount val="9"/>
                <c:pt idx="0">
                  <c:v>0.19070000000000001</c:v>
                </c:pt>
                <c:pt idx="1">
                  <c:v>0.2228</c:v>
                </c:pt>
                <c:pt idx="2">
                  <c:v>0.27179999999999999</c:v>
                </c:pt>
                <c:pt idx="3">
                  <c:v>0.30430000000000001</c:v>
                </c:pt>
                <c:pt idx="4">
                  <c:v>0.34599999999999997</c:v>
                </c:pt>
                <c:pt idx="5">
                  <c:v>0.27060000000000001</c:v>
                </c:pt>
                <c:pt idx="6">
                  <c:v>0.29249999999999998</c:v>
                </c:pt>
                <c:pt idx="7">
                  <c:v>0.31430000000000002</c:v>
                </c:pt>
                <c:pt idx="8">
                  <c:v>0.20169999999999999</c:v>
                </c:pt>
              </c:numCache>
            </c:numRef>
          </c:val>
          <c:extLst>
            <c:ext xmlns:c16="http://schemas.microsoft.com/office/drawing/2014/chart" uri="{C3380CC4-5D6E-409C-BE32-E72D297353CC}">
              <c16:uniqueId val="{00000002-98C8-4771-A619-E82A91D79B88}"/>
            </c:ext>
          </c:extLst>
        </c:ser>
        <c:ser>
          <c:idx val="3"/>
          <c:order val="3"/>
          <c:tx>
            <c:strRef>
              <c:f>Opinie!$N$5</c:f>
              <c:strCache>
                <c:ptCount val="1"/>
                <c:pt idx="0">
                  <c:v>Raczej się zgadzam</c:v>
                </c:pt>
              </c:strCache>
            </c:strRef>
          </c:tx>
          <c:spPr>
            <a:solidFill>
              <a:srgbClr val="92D050"/>
            </a:solidFill>
            <a:ln>
              <a:noFill/>
            </a:ln>
            <a:effectLst/>
          </c:spPr>
          <c:invertIfNegative val="0"/>
          <c:cat>
            <c:strRef>
              <c:f>Opinie!$O$1:$W$1</c:f>
              <c:strCache>
                <c:ptCount val="9"/>
                <c:pt idx="0">
                  <c:v>Bez samochodu nie był(a)bym w stanie dotrzeć do pracy</c:v>
                </c:pt>
                <c:pt idx="1">
                  <c:v>W moim mieście łatwo znaleźć miejsce do zaparkowania (nie dotyczy miejsc pod domem)</c:v>
                </c:pt>
                <c:pt idx="2">
                  <c:v>Komunikacja miejska w godzinach szczytu nie zapewni takiego czasu przejazdu jak samochód</c:v>
                </c:pt>
                <c:pt idx="3">
                  <c:v>Jestem przyzwyczajony(a) do jazdy samochodem, nawet jeśli wiąże się to ze staniem w korkach</c:v>
                </c:pt>
                <c:pt idx="4">
                  <c:v>Komunikacja w moim mieście jeżdzi wolno, często zatrzymuje się na sygnalizacjach i utyka w korkach</c:v>
                </c:pt>
                <c:pt idx="5">
                  <c:v>Przesiadki pomiędzy pojazdami komunikacji miejskiej nie są uciążliwe</c:v>
                </c:pt>
                <c:pt idx="6">
                  <c:v>Czasem zastanawiam się czy iść pieszo czy jechać autobusem</c:v>
                </c:pt>
                <c:pt idx="7">
                  <c:v>Środki komunikacji miejskiej w moim mieście są komfortowe</c:v>
                </c:pt>
                <c:pt idx="8">
                  <c:v>Za pomocą komunikacji łatwo mogę dostać się do wszystkich ważnych miejsc w moim mieście</c:v>
                </c:pt>
              </c:strCache>
            </c:strRef>
          </c:cat>
          <c:val>
            <c:numRef>
              <c:f>Opinie!$O$5:$W$5</c:f>
              <c:numCache>
                <c:formatCode>0.00%</c:formatCode>
                <c:ptCount val="9"/>
                <c:pt idx="0">
                  <c:v>0.15959999999999999</c:v>
                </c:pt>
                <c:pt idx="1">
                  <c:v>0.15909999999999999</c:v>
                </c:pt>
                <c:pt idx="2">
                  <c:v>0.2283</c:v>
                </c:pt>
                <c:pt idx="3">
                  <c:v>0.28839999999999999</c:v>
                </c:pt>
                <c:pt idx="4">
                  <c:v>0.3286</c:v>
                </c:pt>
                <c:pt idx="5">
                  <c:v>0.46229999999999999</c:v>
                </c:pt>
                <c:pt idx="6">
                  <c:v>0.42870000000000003</c:v>
                </c:pt>
                <c:pt idx="7">
                  <c:v>0.46039999999999998</c:v>
                </c:pt>
                <c:pt idx="8">
                  <c:v>0.55069999999999997</c:v>
                </c:pt>
              </c:numCache>
            </c:numRef>
          </c:val>
          <c:extLst>
            <c:ext xmlns:c16="http://schemas.microsoft.com/office/drawing/2014/chart" uri="{C3380CC4-5D6E-409C-BE32-E72D297353CC}">
              <c16:uniqueId val="{00000003-98C8-4771-A619-E82A91D79B88}"/>
            </c:ext>
          </c:extLst>
        </c:ser>
        <c:ser>
          <c:idx val="4"/>
          <c:order val="4"/>
          <c:tx>
            <c:strRef>
              <c:f>Opinie!$N$6</c:f>
              <c:strCache>
                <c:ptCount val="1"/>
                <c:pt idx="0">
                  <c:v>Zdecydowanie się zgadzam</c:v>
                </c:pt>
              </c:strCache>
            </c:strRef>
          </c:tx>
          <c:spPr>
            <a:solidFill>
              <a:srgbClr val="00B050"/>
            </a:solidFill>
            <a:ln>
              <a:noFill/>
            </a:ln>
            <a:effectLst/>
          </c:spPr>
          <c:invertIfNegative val="0"/>
          <c:cat>
            <c:strRef>
              <c:f>Opinie!$O$1:$W$1</c:f>
              <c:strCache>
                <c:ptCount val="9"/>
                <c:pt idx="0">
                  <c:v>Bez samochodu nie był(a)bym w stanie dotrzeć do pracy</c:v>
                </c:pt>
                <c:pt idx="1">
                  <c:v>W moim mieście łatwo znaleźć miejsce do zaparkowania (nie dotyczy miejsc pod domem)</c:v>
                </c:pt>
                <c:pt idx="2">
                  <c:v>Komunikacja miejska w godzinach szczytu nie zapewni takiego czasu przejazdu jak samochód</c:v>
                </c:pt>
                <c:pt idx="3">
                  <c:v>Jestem przyzwyczajony(a) do jazdy samochodem, nawet jeśli wiąże się to ze staniem w korkach</c:v>
                </c:pt>
                <c:pt idx="4">
                  <c:v>Komunikacja w moim mieście jeżdzi wolno, często zatrzymuje się na sygnalizacjach i utyka w korkach</c:v>
                </c:pt>
                <c:pt idx="5">
                  <c:v>Przesiadki pomiędzy pojazdami komunikacji miejskiej nie są uciążliwe</c:v>
                </c:pt>
                <c:pt idx="6">
                  <c:v>Czasem zastanawiam się czy iść pieszo czy jechać autobusem</c:v>
                </c:pt>
                <c:pt idx="7">
                  <c:v>Środki komunikacji miejskiej w moim mieście są komfortowe</c:v>
                </c:pt>
                <c:pt idx="8">
                  <c:v>Za pomocą komunikacji łatwo mogę dostać się do wszystkich ważnych miejsc w moim mieście</c:v>
                </c:pt>
              </c:strCache>
            </c:strRef>
          </c:cat>
          <c:val>
            <c:numRef>
              <c:f>Opinie!$O$6:$W$6</c:f>
              <c:numCache>
                <c:formatCode>0.00%</c:formatCode>
                <c:ptCount val="9"/>
                <c:pt idx="0">
                  <c:v>6.0299999999999999E-2</c:v>
                </c:pt>
                <c:pt idx="1">
                  <c:v>1.6E-2</c:v>
                </c:pt>
                <c:pt idx="2">
                  <c:v>6.1499999999999999E-2</c:v>
                </c:pt>
                <c:pt idx="3">
                  <c:v>5.2900000000000003E-2</c:v>
                </c:pt>
                <c:pt idx="4">
                  <c:v>8.7400000000000005E-2</c:v>
                </c:pt>
                <c:pt idx="5">
                  <c:v>8.3099999999999993E-2</c:v>
                </c:pt>
                <c:pt idx="6">
                  <c:v>0.1065</c:v>
                </c:pt>
                <c:pt idx="7">
                  <c:v>7.1599999999999997E-2</c:v>
                </c:pt>
                <c:pt idx="8">
                  <c:v>0.1537</c:v>
                </c:pt>
              </c:numCache>
            </c:numRef>
          </c:val>
          <c:extLst>
            <c:ext xmlns:c16="http://schemas.microsoft.com/office/drawing/2014/chart" uri="{C3380CC4-5D6E-409C-BE32-E72D297353CC}">
              <c16:uniqueId val="{00000004-98C8-4771-A619-E82A91D79B88}"/>
            </c:ext>
          </c:extLst>
        </c:ser>
        <c:dLbls>
          <c:showLegendKey val="0"/>
          <c:showVal val="0"/>
          <c:showCatName val="0"/>
          <c:showSerName val="0"/>
          <c:showPercent val="0"/>
          <c:showBubbleSize val="0"/>
        </c:dLbls>
        <c:gapWidth val="75"/>
        <c:overlap val="100"/>
        <c:axId val="-1911990544"/>
        <c:axId val="-1911989456"/>
      </c:barChart>
      <c:catAx>
        <c:axId val="-19119905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911989456"/>
        <c:crosses val="autoZero"/>
        <c:auto val="1"/>
        <c:lblAlgn val="ctr"/>
        <c:lblOffset val="100"/>
        <c:noMultiLvlLbl val="0"/>
      </c:catAx>
      <c:valAx>
        <c:axId val="-191198945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911990544"/>
        <c:crosses val="autoZero"/>
        <c:crossBetween val="between"/>
      </c:valAx>
      <c:spPr>
        <a:noFill/>
        <a:ln>
          <a:noFill/>
        </a:ln>
        <a:effectLst/>
      </c:spPr>
    </c:plotArea>
    <c:legend>
      <c:legendPos val="b"/>
      <c:layout>
        <c:manualLayout>
          <c:xMode val="edge"/>
          <c:yMode val="edge"/>
          <c:x val="1.562838479776494E-2"/>
          <c:y val="0.93154049021183272"/>
          <c:w val="0.96158247136401187"/>
          <c:h val="5.04523069070147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Wyjście!$A$4</c:f>
              <c:strCache>
                <c:ptCount val="1"/>
                <c:pt idx="0">
                  <c:v>Pełen koszt użycia samochodu</c:v>
                </c:pt>
              </c:strCache>
            </c:strRef>
          </c:tx>
          <c:spPr>
            <a:ln w="28575" cap="rnd">
              <a:solidFill>
                <a:schemeClr val="accent1"/>
              </a:solidFill>
              <a:round/>
            </a:ln>
            <a:effectLst/>
          </c:spPr>
          <c:marker>
            <c:symbol val="none"/>
          </c:marker>
          <c:cat>
            <c:numRef>
              <c:f>Wyjście!$B$3:$F$3</c:f>
              <c:numCache>
                <c:formatCode>#,##0</c:formatCode>
                <c:ptCount val="5"/>
                <c:pt idx="0">
                  <c:v>10000</c:v>
                </c:pt>
                <c:pt idx="1">
                  <c:v>30000</c:v>
                </c:pt>
                <c:pt idx="2">
                  <c:v>50000</c:v>
                </c:pt>
                <c:pt idx="3">
                  <c:v>70000</c:v>
                </c:pt>
                <c:pt idx="4">
                  <c:v>90000</c:v>
                </c:pt>
              </c:numCache>
            </c:numRef>
          </c:cat>
          <c:val>
            <c:numRef>
              <c:f>Wyjście!$B$4:$F$4</c:f>
              <c:numCache>
                <c:formatCode>General</c:formatCode>
                <c:ptCount val="5"/>
                <c:pt idx="0">
                  <c:v>2.1431878346450279</c:v>
                </c:pt>
                <c:pt idx="1">
                  <c:v>6.4295635039350731</c:v>
                </c:pt>
                <c:pt idx="2">
                  <c:v>10.715939173225136</c:v>
                </c:pt>
                <c:pt idx="3">
                  <c:v>15.002314842515187</c:v>
                </c:pt>
                <c:pt idx="4">
                  <c:v>19.288690511805246</c:v>
                </c:pt>
              </c:numCache>
            </c:numRef>
          </c:val>
          <c:smooth val="0"/>
          <c:extLst>
            <c:ext xmlns:c16="http://schemas.microsoft.com/office/drawing/2014/chart" uri="{C3380CC4-5D6E-409C-BE32-E72D297353CC}">
              <c16:uniqueId val="{00000000-3EF6-4E65-82BF-55415E41580F}"/>
            </c:ext>
          </c:extLst>
        </c:ser>
        <c:ser>
          <c:idx val="1"/>
          <c:order val="1"/>
          <c:tx>
            <c:strRef>
              <c:f>Wyjście!$A$5</c:f>
              <c:strCache>
                <c:ptCount val="1"/>
                <c:pt idx="0">
                  <c:v>Tylko krańcowy koszt użycia samochodu</c:v>
                </c:pt>
              </c:strCache>
            </c:strRef>
          </c:tx>
          <c:spPr>
            <a:ln w="28575" cap="rnd">
              <a:solidFill>
                <a:schemeClr val="accent2"/>
              </a:solidFill>
              <a:round/>
            </a:ln>
            <a:effectLst/>
          </c:spPr>
          <c:marker>
            <c:symbol val="none"/>
          </c:marker>
          <c:cat>
            <c:numRef>
              <c:f>Wyjście!$B$3:$F$3</c:f>
              <c:numCache>
                <c:formatCode>#,##0</c:formatCode>
                <c:ptCount val="5"/>
                <c:pt idx="0">
                  <c:v>10000</c:v>
                </c:pt>
                <c:pt idx="1">
                  <c:v>30000</c:v>
                </c:pt>
                <c:pt idx="2">
                  <c:v>50000</c:v>
                </c:pt>
                <c:pt idx="3">
                  <c:v>70000</c:v>
                </c:pt>
                <c:pt idx="4">
                  <c:v>90000</c:v>
                </c:pt>
              </c:numCache>
            </c:numRef>
          </c:cat>
          <c:val>
            <c:numRef>
              <c:f>Wyjście!$B$5:$F$5</c:f>
              <c:numCache>
                <c:formatCode>General</c:formatCode>
                <c:ptCount val="5"/>
                <c:pt idx="0">
                  <c:v>3.763621260953335</c:v>
                </c:pt>
                <c:pt idx="1">
                  <c:v>11.290863782860013</c:v>
                </c:pt>
                <c:pt idx="2">
                  <c:v>18.818106304766701</c:v>
                </c:pt>
                <c:pt idx="3">
                  <c:v>26.345348826673384</c:v>
                </c:pt>
                <c:pt idx="4">
                  <c:v>33.872591348580009</c:v>
                </c:pt>
              </c:numCache>
            </c:numRef>
          </c:val>
          <c:smooth val="0"/>
          <c:extLst>
            <c:ext xmlns:c16="http://schemas.microsoft.com/office/drawing/2014/chart" uri="{C3380CC4-5D6E-409C-BE32-E72D297353CC}">
              <c16:uniqueId val="{00000001-3EF6-4E65-82BF-55415E41580F}"/>
            </c:ext>
          </c:extLst>
        </c:ser>
        <c:ser>
          <c:idx val="2"/>
          <c:order val="2"/>
          <c:tx>
            <c:strRef>
              <c:f>Wyjście!$A$6</c:f>
              <c:strCache>
                <c:ptCount val="1"/>
                <c:pt idx="0">
                  <c:v>Bez korzyści dla kierowców</c:v>
                </c:pt>
              </c:strCache>
            </c:strRef>
          </c:tx>
          <c:spPr>
            <a:ln w="28575" cap="rnd">
              <a:solidFill>
                <a:schemeClr val="accent3"/>
              </a:solidFill>
              <a:round/>
            </a:ln>
            <a:effectLst/>
          </c:spPr>
          <c:marker>
            <c:symbol val="none"/>
          </c:marker>
          <c:cat>
            <c:numRef>
              <c:f>Wyjście!$B$3:$F$3</c:f>
              <c:numCache>
                <c:formatCode>#,##0</c:formatCode>
                <c:ptCount val="5"/>
                <c:pt idx="0">
                  <c:v>10000</c:v>
                </c:pt>
                <c:pt idx="1">
                  <c:v>30000</c:v>
                </c:pt>
                <c:pt idx="2">
                  <c:v>50000</c:v>
                </c:pt>
                <c:pt idx="3">
                  <c:v>70000</c:v>
                </c:pt>
                <c:pt idx="4">
                  <c:v>90000</c:v>
                </c:pt>
              </c:numCache>
            </c:numRef>
          </c:cat>
          <c:val>
            <c:numRef>
              <c:f>Wyjście!$B$6:$F$6</c:f>
              <c:numCache>
                <c:formatCode>General</c:formatCode>
                <c:ptCount val="5"/>
                <c:pt idx="0">
                  <c:v>5.0515004271519457</c:v>
                </c:pt>
                <c:pt idx="1">
                  <c:v>15.154501281455845</c:v>
                </c:pt>
                <c:pt idx="2">
                  <c:v>25.257502135759758</c:v>
                </c:pt>
                <c:pt idx="3">
                  <c:v>35.360502990063615</c:v>
                </c:pt>
                <c:pt idx="4">
                  <c:v>45.463503844367509</c:v>
                </c:pt>
              </c:numCache>
            </c:numRef>
          </c:val>
          <c:smooth val="0"/>
          <c:extLst>
            <c:ext xmlns:c16="http://schemas.microsoft.com/office/drawing/2014/chart" uri="{C3380CC4-5D6E-409C-BE32-E72D297353CC}">
              <c16:uniqueId val="{00000002-3EF6-4E65-82BF-55415E41580F}"/>
            </c:ext>
          </c:extLst>
        </c:ser>
        <c:dLbls>
          <c:showLegendKey val="0"/>
          <c:showVal val="0"/>
          <c:showCatName val="0"/>
          <c:showSerName val="0"/>
          <c:showPercent val="0"/>
          <c:showBubbleSize val="0"/>
        </c:dLbls>
        <c:smooth val="0"/>
        <c:axId val="-1911987824"/>
        <c:axId val="-1911991088"/>
      </c:lineChart>
      <c:catAx>
        <c:axId val="-1911987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pl-PL"/>
                  <a:t>Skorygowany koszt budowy miejsca parkingowego [zł]</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pl-PL"/>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911991088"/>
        <c:crosses val="autoZero"/>
        <c:auto val="1"/>
        <c:lblAlgn val="ctr"/>
        <c:lblOffset val="100"/>
        <c:noMultiLvlLbl val="0"/>
      </c:catAx>
      <c:valAx>
        <c:axId val="-191199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pl-PL"/>
                  <a:t>Krytyczny dzienny uniknięty </a:t>
                </a:r>
                <a:br>
                  <a:rPr lang="pl-PL"/>
                </a:br>
                <a:r>
                  <a:rPr lang="pl-PL"/>
                  <a:t>przebieg samochodu [km]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91198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'Do Wykresu3'!$C$1</c:f>
              <c:strCache>
                <c:ptCount val="1"/>
                <c:pt idx="0">
                  <c:v>Inwestycje w transport miejski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 Wykresu3'!$B$2:$B$9</c:f>
              <c:strCache>
                <c:ptCount val="8"/>
                <c:pt idx="0">
                  <c:v>Liczba zabitych w wypadkach drogowych</c:v>
                </c:pt>
                <c:pt idx="1">
                  <c:v>Liczba wypadków z udziałem pojazdów komunikacji miejskiej</c:v>
                </c:pt>
                <c:pt idx="2">
                  <c:v>Przeciętne wynagrodzenie brutto</c:v>
                </c:pt>
                <c:pt idx="3">
                  <c:v>Stopa bezrobocia</c:v>
                </c:pt>
                <c:pt idx="4">
                  <c:v>Liczba dni z przekroczeniem normy PM10</c:v>
                </c:pt>
                <c:pt idx="5">
                  <c:v>Przychody ze sprzedaży biletów łącznie</c:v>
                </c:pt>
                <c:pt idx="6">
                  <c:v>Przychody ze sprzedaży biletów długookresowych</c:v>
                </c:pt>
                <c:pt idx="7">
                  <c:v>Liczba pasażerów</c:v>
                </c:pt>
              </c:strCache>
            </c:strRef>
          </c:cat>
          <c:val>
            <c:numRef>
              <c:f>'Do Wykresu3'!$C$2:$C$9</c:f>
              <c:numCache>
                <c:formatCode>0.0%</c:formatCode>
                <c:ptCount val="8"/>
                <c:pt idx="0">
                  <c:v>0.49740000000000001</c:v>
                </c:pt>
                <c:pt idx="1">
                  <c:v>0.31180000000000002</c:v>
                </c:pt>
                <c:pt idx="2">
                  <c:v>0.4869</c:v>
                </c:pt>
                <c:pt idx="3">
                  <c:v>0.14410000000000001</c:v>
                </c:pt>
                <c:pt idx="4">
                  <c:v>0.26939999999999997</c:v>
                </c:pt>
                <c:pt idx="5">
                  <c:v>0.52090000000000003</c:v>
                </c:pt>
                <c:pt idx="6">
                  <c:v>0.2228</c:v>
                </c:pt>
                <c:pt idx="7">
                  <c:v>0.28989999999999999</c:v>
                </c:pt>
              </c:numCache>
            </c:numRef>
          </c:val>
          <c:extLst>
            <c:ext xmlns:c16="http://schemas.microsoft.com/office/drawing/2014/chart" uri="{C3380CC4-5D6E-409C-BE32-E72D297353CC}">
              <c16:uniqueId val="{00000000-1354-458D-8EF4-BA83B799D856}"/>
            </c:ext>
          </c:extLst>
        </c:ser>
        <c:ser>
          <c:idx val="1"/>
          <c:order val="1"/>
          <c:tx>
            <c:strRef>
              <c:f>'Do Wykresu3'!$D$1</c:f>
              <c:strCache>
                <c:ptCount val="1"/>
                <c:pt idx="0">
                  <c:v>Czynniki zewnętrzne - transportowe</c:v>
                </c:pt>
              </c:strCache>
            </c:strRef>
          </c:tx>
          <c:spPr>
            <a:solidFill>
              <a:schemeClr val="accent2"/>
            </a:solidFill>
            <a:ln>
              <a:noFill/>
            </a:ln>
            <a:effectLst/>
          </c:spPr>
          <c:invertIfNegative val="0"/>
          <c:dLbls>
            <c:dLbl>
              <c:idx val="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54-458D-8EF4-BA83B799D856}"/>
                </c:ext>
              </c:extLst>
            </c:dLbl>
            <c:dLbl>
              <c:idx val="7"/>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54-458D-8EF4-BA83B799D85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 Wykresu3'!$B$2:$B$9</c:f>
              <c:strCache>
                <c:ptCount val="8"/>
                <c:pt idx="0">
                  <c:v>Liczba zabitych w wypadkach drogowych</c:v>
                </c:pt>
                <c:pt idx="1">
                  <c:v>Liczba wypadków z udziałem pojazdów komunikacji miejskiej</c:v>
                </c:pt>
                <c:pt idx="2">
                  <c:v>Przeciętne wynagrodzenie brutto</c:v>
                </c:pt>
                <c:pt idx="3">
                  <c:v>Stopa bezrobocia</c:v>
                </c:pt>
                <c:pt idx="4">
                  <c:v>Liczba dni z przekroczeniem normy PM10</c:v>
                </c:pt>
                <c:pt idx="5">
                  <c:v>Przychody ze sprzedaży biletów łącznie</c:v>
                </c:pt>
                <c:pt idx="6">
                  <c:v>Przychody ze sprzedaży biletów długookresowych</c:v>
                </c:pt>
                <c:pt idx="7">
                  <c:v>Liczba pasażerów</c:v>
                </c:pt>
              </c:strCache>
            </c:strRef>
          </c:cat>
          <c:val>
            <c:numRef>
              <c:f>'Do Wykresu3'!$D$2:$D$9</c:f>
              <c:numCache>
                <c:formatCode>0.0%</c:formatCode>
                <c:ptCount val="8"/>
                <c:pt idx="0">
                  <c:v>0</c:v>
                </c:pt>
                <c:pt idx="1">
                  <c:v>0</c:v>
                </c:pt>
                <c:pt idx="2">
                  <c:v>0</c:v>
                </c:pt>
                <c:pt idx="3">
                  <c:v>0</c:v>
                </c:pt>
                <c:pt idx="4">
                  <c:v>0</c:v>
                </c:pt>
                <c:pt idx="5">
                  <c:v>1.2999999999999999E-3</c:v>
                </c:pt>
                <c:pt idx="6">
                  <c:v>0.45619999999999999</c:v>
                </c:pt>
                <c:pt idx="7">
                  <c:v>9.3399999999999997E-2</c:v>
                </c:pt>
              </c:numCache>
            </c:numRef>
          </c:val>
          <c:extLst>
            <c:ext xmlns:c16="http://schemas.microsoft.com/office/drawing/2014/chart" uri="{C3380CC4-5D6E-409C-BE32-E72D297353CC}">
              <c16:uniqueId val="{00000003-1354-458D-8EF4-BA83B799D856}"/>
            </c:ext>
          </c:extLst>
        </c:ser>
        <c:ser>
          <c:idx val="2"/>
          <c:order val="2"/>
          <c:tx>
            <c:strRef>
              <c:f>'Do Wykresu3'!$E$1</c:f>
              <c:strCache>
                <c:ptCount val="1"/>
                <c:pt idx="0">
                  <c:v>Czynniki zewnętrzne - pozostałe</c:v>
                </c:pt>
              </c:strCache>
            </c:strRef>
          </c:tx>
          <c:spPr>
            <a:solidFill>
              <a:schemeClr val="accent3"/>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4-1354-458D-8EF4-BA83B799D856}"/>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 Wykresu3'!$B$2:$B$9</c:f>
              <c:strCache>
                <c:ptCount val="8"/>
                <c:pt idx="0">
                  <c:v>Liczba zabitych w wypadkach drogowych</c:v>
                </c:pt>
                <c:pt idx="1">
                  <c:v>Liczba wypadków z udziałem pojazdów komunikacji miejskiej</c:v>
                </c:pt>
                <c:pt idx="2">
                  <c:v>Przeciętne wynagrodzenie brutto</c:v>
                </c:pt>
                <c:pt idx="3">
                  <c:v>Stopa bezrobocia</c:v>
                </c:pt>
                <c:pt idx="4">
                  <c:v>Liczba dni z przekroczeniem normy PM10</c:v>
                </c:pt>
                <c:pt idx="5">
                  <c:v>Przychody ze sprzedaży biletów łącznie</c:v>
                </c:pt>
                <c:pt idx="6">
                  <c:v>Przychody ze sprzedaży biletów długookresowych</c:v>
                </c:pt>
                <c:pt idx="7">
                  <c:v>Liczba pasażerów</c:v>
                </c:pt>
              </c:strCache>
            </c:strRef>
          </c:cat>
          <c:val>
            <c:numRef>
              <c:f>'Do Wykresu3'!$E$2:$E$9</c:f>
              <c:numCache>
                <c:formatCode>0.0%</c:formatCode>
                <c:ptCount val="8"/>
                <c:pt idx="0">
                  <c:v>0.40179999999999999</c:v>
                </c:pt>
                <c:pt idx="1">
                  <c:v>0.2843</c:v>
                </c:pt>
                <c:pt idx="2">
                  <c:v>0.2989</c:v>
                </c:pt>
                <c:pt idx="3">
                  <c:v>0.72030000000000005</c:v>
                </c:pt>
                <c:pt idx="4">
                  <c:v>1.7100000000000001E-2</c:v>
                </c:pt>
                <c:pt idx="5">
                  <c:v>0.37259999999999999</c:v>
                </c:pt>
                <c:pt idx="6">
                  <c:v>0.25629999999999997</c:v>
                </c:pt>
                <c:pt idx="7">
                  <c:v>0.60309999999999997</c:v>
                </c:pt>
              </c:numCache>
            </c:numRef>
          </c:val>
          <c:extLst>
            <c:ext xmlns:c16="http://schemas.microsoft.com/office/drawing/2014/chart" uri="{C3380CC4-5D6E-409C-BE32-E72D297353CC}">
              <c16:uniqueId val="{00000005-1354-458D-8EF4-BA83B799D856}"/>
            </c:ext>
          </c:extLst>
        </c:ser>
        <c:dLbls>
          <c:showLegendKey val="0"/>
          <c:showVal val="0"/>
          <c:showCatName val="0"/>
          <c:showSerName val="0"/>
          <c:showPercent val="0"/>
          <c:showBubbleSize val="0"/>
        </c:dLbls>
        <c:gapWidth val="50"/>
        <c:overlap val="100"/>
        <c:axId val="-99658048"/>
        <c:axId val="-99657504"/>
      </c:barChart>
      <c:catAx>
        <c:axId val="-99658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99657504"/>
        <c:crosses val="autoZero"/>
        <c:auto val="1"/>
        <c:lblAlgn val="ctr"/>
        <c:lblOffset val="100"/>
        <c:noMultiLvlLbl val="0"/>
      </c:catAx>
      <c:valAx>
        <c:axId val="-996575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965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07239720034997"/>
          <c:y val="4.4616038587603768E-2"/>
          <c:w val="0.73574170249995341"/>
          <c:h val="0.55214928510297223"/>
        </c:manualLayout>
      </c:layout>
      <c:barChart>
        <c:barDir val="col"/>
        <c:grouping val="clustered"/>
        <c:varyColors val="0"/>
        <c:ser>
          <c:idx val="0"/>
          <c:order val="0"/>
          <c:tx>
            <c:strRef>
              <c:f>Arkusz1!$B$1</c:f>
              <c:strCache>
                <c:ptCount val="1"/>
                <c:pt idx="0">
                  <c:v>iloraz szans</c:v>
                </c:pt>
              </c:strCache>
            </c:strRef>
          </c:tx>
          <c:spPr>
            <a:solidFill>
              <a:schemeClr val="accent1"/>
            </a:solidFill>
            <a:ln>
              <a:noFill/>
            </a:ln>
            <a:effectLst/>
          </c:spPr>
          <c:invertIfNegative val="0"/>
          <c:cat>
            <c:strRef>
              <c:f>Arkusz1!$A$2:$A$12</c:f>
              <c:strCache>
                <c:ptCount val="11"/>
                <c:pt idx="0">
                  <c:v>bezpieczeństwo w ruchu</c:v>
                </c:pt>
                <c:pt idx="1">
                  <c:v>częstotliwość kursowania</c:v>
                </c:pt>
                <c:pt idx="2">
                  <c:v>przebieg tras</c:v>
                </c:pt>
                <c:pt idx="3">
                  <c:v>jakość pracy kierowców</c:v>
                </c:pt>
                <c:pt idx="4">
                  <c:v>punktualność i niezawodność</c:v>
                </c:pt>
                <c:pt idx="5">
                  <c:v>lokalizacja przystanków</c:v>
                </c:pt>
                <c:pt idx="6">
                  <c:v>dostępność miejsc siedzących</c:v>
                </c:pt>
                <c:pt idx="7">
                  <c:v>jakość informacji </c:v>
                </c:pt>
                <c:pt idx="8">
                  <c:v>czystość</c:v>
                </c:pt>
                <c:pt idx="9">
                  <c:v>ceny biletów</c:v>
                </c:pt>
                <c:pt idx="10">
                  <c:v>wygoda</c:v>
                </c:pt>
              </c:strCache>
            </c:strRef>
          </c:cat>
          <c:val>
            <c:numRef>
              <c:f>Arkusz1!$B$2:$B$12</c:f>
              <c:numCache>
                <c:formatCode>General</c:formatCode>
                <c:ptCount val="11"/>
                <c:pt idx="0">
                  <c:v>1.573698</c:v>
                </c:pt>
                <c:pt idx="1">
                  <c:v>1.56769</c:v>
                </c:pt>
                <c:pt idx="2">
                  <c:v>1.5409250000000001</c:v>
                </c:pt>
                <c:pt idx="3">
                  <c:v>1.417818</c:v>
                </c:pt>
                <c:pt idx="4">
                  <c:v>1.386226</c:v>
                </c:pt>
                <c:pt idx="5">
                  <c:v>1.3671960000000001</c:v>
                </c:pt>
                <c:pt idx="6">
                  <c:v>1.3533440000000001</c:v>
                </c:pt>
                <c:pt idx="7">
                  <c:v>1.3416090000000001</c:v>
                </c:pt>
                <c:pt idx="8">
                  <c:v>1.313164</c:v>
                </c:pt>
                <c:pt idx="9">
                  <c:v>1.3062229999999999</c:v>
                </c:pt>
                <c:pt idx="10">
                  <c:v>1.2765550000000001</c:v>
                </c:pt>
              </c:numCache>
            </c:numRef>
          </c:val>
          <c:extLst>
            <c:ext xmlns:c16="http://schemas.microsoft.com/office/drawing/2014/chart" uri="{C3380CC4-5D6E-409C-BE32-E72D297353CC}">
              <c16:uniqueId val="{00000000-E41C-4F28-A139-DC77DADD1588}"/>
            </c:ext>
          </c:extLst>
        </c:ser>
        <c:dLbls>
          <c:showLegendKey val="0"/>
          <c:showVal val="0"/>
          <c:showCatName val="0"/>
          <c:showSerName val="0"/>
          <c:showPercent val="0"/>
          <c:showBubbleSize val="0"/>
        </c:dLbls>
        <c:gapWidth val="219"/>
        <c:overlap val="-27"/>
        <c:axId val="-99653696"/>
        <c:axId val="-245676480"/>
      </c:barChart>
      <c:lineChart>
        <c:grouping val="standard"/>
        <c:varyColors val="0"/>
        <c:ser>
          <c:idx val="1"/>
          <c:order val="1"/>
          <c:tx>
            <c:strRef>
              <c:f>Arkusz1!$C$1</c:f>
              <c:strCache>
                <c:ptCount val="1"/>
                <c:pt idx="0">
                  <c:v>ocena jakości</c:v>
                </c:pt>
              </c:strCache>
            </c:strRef>
          </c:tx>
          <c:spPr>
            <a:ln w="28575" cap="rnd">
              <a:solidFill>
                <a:schemeClr val="accent2"/>
              </a:solidFill>
              <a:round/>
            </a:ln>
            <a:effectLst/>
          </c:spPr>
          <c:marker>
            <c:symbol val="none"/>
          </c:marker>
          <c:cat>
            <c:strRef>
              <c:f>Arkusz1!$A$2:$A$12</c:f>
              <c:strCache>
                <c:ptCount val="11"/>
                <c:pt idx="0">
                  <c:v>bezpieczeństwo w ruchu</c:v>
                </c:pt>
                <c:pt idx="1">
                  <c:v>częstotliwość kursowania</c:v>
                </c:pt>
                <c:pt idx="2">
                  <c:v>przebieg tras</c:v>
                </c:pt>
                <c:pt idx="3">
                  <c:v>jakość pracy kierowców</c:v>
                </c:pt>
                <c:pt idx="4">
                  <c:v>punktualność i niezawodność</c:v>
                </c:pt>
                <c:pt idx="5">
                  <c:v>lokalizacja przystanków</c:v>
                </c:pt>
                <c:pt idx="6">
                  <c:v>dostępność miejsc siedzących</c:v>
                </c:pt>
                <c:pt idx="7">
                  <c:v>jakość informacji </c:v>
                </c:pt>
                <c:pt idx="8">
                  <c:v>czystość</c:v>
                </c:pt>
                <c:pt idx="9">
                  <c:v>ceny biletów</c:v>
                </c:pt>
                <c:pt idx="10">
                  <c:v>wygoda</c:v>
                </c:pt>
              </c:strCache>
            </c:strRef>
          </c:cat>
          <c:val>
            <c:numRef>
              <c:f>Arkusz1!$C$2:$C$12</c:f>
              <c:numCache>
                <c:formatCode>General</c:formatCode>
                <c:ptCount val="11"/>
                <c:pt idx="0">
                  <c:v>3.732532751091703</c:v>
                </c:pt>
                <c:pt idx="1">
                  <c:v>3.6572052401746724</c:v>
                </c:pt>
                <c:pt idx="2">
                  <c:v>3.7237991266375547</c:v>
                </c:pt>
                <c:pt idx="3">
                  <c:v>3.9137554585152841</c:v>
                </c:pt>
                <c:pt idx="4">
                  <c:v>3.6441048034934496</c:v>
                </c:pt>
                <c:pt idx="5">
                  <c:v>3.7106986899563319</c:v>
                </c:pt>
                <c:pt idx="6">
                  <c:v>3.3406113537117905</c:v>
                </c:pt>
                <c:pt idx="7">
                  <c:v>3.7860262008733625</c:v>
                </c:pt>
                <c:pt idx="8">
                  <c:v>3.7303493449781659</c:v>
                </c:pt>
                <c:pt idx="9">
                  <c:v>3.5665938864628819</c:v>
                </c:pt>
                <c:pt idx="10">
                  <c:v>3.6877729257641922</c:v>
                </c:pt>
              </c:numCache>
            </c:numRef>
          </c:val>
          <c:smooth val="0"/>
          <c:extLst>
            <c:ext xmlns:c16="http://schemas.microsoft.com/office/drawing/2014/chart" uri="{C3380CC4-5D6E-409C-BE32-E72D297353CC}">
              <c16:uniqueId val="{00000001-E41C-4F28-A139-DC77DADD1588}"/>
            </c:ext>
          </c:extLst>
        </c:ser>
        <c:dLbls>
          <c:showLegendKey val="0"/>
          <c:showVal val="0"/>
          <c:showCatName val="0"/>
          <c:showSerName val="0"/>
          <c:showPercent val="0"/>
          <c:showBubbleSize val="0"/>
        </c:dLbls>
        <c:marker val="1"/>
        <c:smooth val="0"/>
        <c:axId val="-245679200"/>
        <c:axId val="-245675936"/>
      </c:lineChart>
      <c:catAx>
        <c:axId val="-9965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45676480"/>
        <c:crosses val="autoZero"/>
        <c:auto val="1"/>
        <c:lblAlgn val="ctr"/>
        <c:lblOffset val="100"/>
        <c:noMultiLvlLbl val="0"/>
      </c:catAx>
      <c:valAx>
        <c:axId val="-245676480"/>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pl-PL"/>
                  <a:t>Iloraz</a:t>
                </a:r>
                <a:r>
                  <a:rPr lang="pl-PL" baseline="0"/>
                  <a:t> szans</a:t>
                </a:r>
                <a:endParaRPr lang="pl-PL"/>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99653696"/>
        <c:crosses val="autoZero"/>
        <c:crossBetween val="between"/>
      </c:valAx>
      <c:valAx>
        <c:axId val="-24567593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pl-PL"/>
                  <a:t>Ocena jakości</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45679200"/>
        <c:crosses val="max"/>
        <c:crossBetween val="between"/>
      </c:valAx>
      <c:catAx>
        <c:axId val="-245679200"/>
        <c:scaling>
          <c:orientation val="minMax"/>
        </c:scaling>
        <c:delete val="1"/>
        <c:axPos val="b"/>
        <c:numFmt formatCode="General" sourceLinked="1"/>
        <c:majorTickMark val="out"/>
        <c:minorTickMark val="none"/>
        <c:tickLblPos val="nextTo"/>
        <c:crossAx val="-2456759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328907899122318"/>
          <c:y val="3.7672929687937881E-2"/>
          <c:w val="0.50072867135780885"/>
          <c:h val="0.80827404201076447"/>
        </c:manualLayout>
      </c:layout>
      <c:pieChart>
        <c:varyColors val="1"/>
        <c:ser>
          <c:idx val="0"/>
          <c:order val="0"/>
          <c:tx>
            <c:strRef>
              <c:f>Arkusz1!$A$31</c:f>
              <c:strCache>
                <c:ptCount val="1"/>
                <c:pt idx="0">
                  <c:v>UDZIAŁ INWESTYCJI WG szacowanej całkowitej wartości projektu</c:v>
                </c:pt>
              </c:strCache>
            </c:strRef>
          </c:tx>
          <c:dPt>
            <c:idx val="0"/>
            <c:bubble3D val="0"/>
            <c:spPr>
              <a:solidFill>
                <a:schemeClr val="accent2"/>
              </a:solidFill>
              <a:ln>
                <a:noFill/>
              </a:ln>
              <a:effectLst/>
            </c:spPr>
            <c:extLst>
              <c:ext xmlns:c16="http://schemas.microsoft.com/office/drawing/2014/chart" uri="{C3380CC4-5D6E-409C-BE32-E72D297353CC}">
                <c16:uniqueId val="{00000001-7241-484C-B9F4-493F3919C645}"/>
              </c:ext>
            </c:extLst>
          </c:dPt>
          <c:dPt>
            <c:idx val="1"/>
            <c:bubble3D val="0"/>
            <c:spPr>
              <a:solidFill>
                <a:schemeClr val="accent4"/>
              </a:solidFill>
              <a:ln>
                <a:noFill/>
              </a:ln>
              <a:effectLst/>
            </c:spPr>
            <c:extLst>
              <c:ext xmlns:c16="http://schemas.microsoft.com/office/drawing/2014/chart" uri="{C3380CC4-5D6E-409C-BE32-E72D297353CC}">
                <c16:uniqueId val="{00000003-7241-484C-B9F4-493F3919C645}"/>
              </c:ext>
            </c:extLst>
          </c:dPt>
          <c:dPt>
            <c:idx val="2"/>
            <c:bubble3D val="0"/>
            <c:spPr>
              <a:solidFill>
                <a:schemeClr val="accent6"/>
              </a:solidFill>
              <a:ln>
                <a:noFill/>
              </a:ln>
              <a:effectLst/>
            </c:spPr>
            <c:extLst>
              <c:ext xmlns:c16="http://schemas.microsoft.com/office/drawing/2014/chart" uri="{C3380CC4-5D6E-409C-BE32-E72D297353CC}">
                <c16:uniqueId val="{00000005-7241-484C-B9F4-493F3919C645}"/>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j-lt"/>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1-7241-484C-B9F4-493F3919C645}"/>
                </c:ext>
              </c:extLst>
            </c:dLbl>
            <c:dLbl>
              <c:idx val="1"/>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j-lt"/>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3-7241-484C-B9F4-493F3919C645}"/>
                </c:ext>
              </c:extLst>
            </c:dLbl>
            <c:dLbl>
              <c:idx val="2"/>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j-lt"/>
                      <a:ea typeface="+mn-ea"/>
                      <a:cs typeface="+mn-cs"/>
                    </a:defRPr>
                  </a:pPr>
                  <a:endParaRPr lang="pl-PL"/>
                </a:p>
              </c:txPr>
              <c:showLegendKey val="0"/>
              <c:showVal val="0"/>
              <c:showCatName val="0"/>
              <c:showSerName val="0"/>
              <c:showPercent val="1"/>
              <c:showBubbleSize val="0"/>
              <c:extLst>
                <c:ext xmlns:c16="http://schemas.microsoft.com/office/drawing/2014/chart" uri="{C3380CC4-5D6E-409C-BE32-E72D297353CC}">
                  <c16:uniqueId val="{00000005-7241-484C-B9F4-493F3919C645}"/>
                </c:ext>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j-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Arkusz1!$A$20:$A$22</c:f>
              <c:strCache>
                <c:ptCount val="3"/>
                <c:pt idx="0">
                  <c:v>taborowe</c:v>
                </c:pt>
                <c:pt idx="1">
                  <c:v>infrastrukturalne</c:v>
                </c:pt>
                <c:pt idx="2">
                  <c:v>rozwiązania ITS</c:v>
                </c:pt>
              </c:strCache>
            </c:strRef>
          </c:cat>
          <c:val>
            <c:numRef>
              <c:f>Arkusz1!$B$20:$B$22</c:f>
              <c:numCache>
                <c:formatCode>General</c:formatCode>
                <c:ptCount val="3"/>
                <c:pt idx="0">
                  <c:v>6278.7510000000002</c:v>
                </c:pt>
                <c:pt idx="1">
                  <c:v>9137.3399999999983</c:v>
                </c:pt>
                <c:pt idx="2">
                  <c:v>1584.9790999999998</c:v>
                </c:pt>
              </c:numCache>
            </c:numRef>
          </c:val>
          <c:extLst>
            <c:ext xmlns:c16="http://schemas.microsoft.com/office/drawing/2014/chart" uri="{C3380CC4-5D6E-409C-BE32-E72D297353CC}">
              <c16:uniqueId val="{00000006-7241-484C-B9F4-493F3919C645}"/>
            </c:ext>
          </c:extLst>
        </c:ser>
        <c:dLbls>
          <c:showLegendKey val="0"/>
          <c:showVal val="0"/>
          <c:showCatName val="0"/>
          <c:showSerName val="0"/>
          <c:showPercent val="1"/>
          <c:showBubbleSize val="0"/>
          <c:showLeaderLines val="1"/>
        </c:dLbls>
        <c:firstSliceAng val="0"/>
      </c:pieChart>
      <c:spPr>
        <a:noFill/>
        <a:ln w="25400">
          <a:noFill/>
        </a:ln>
        <a:effectLst/>
      </c:spPr>
    </c:plotArea>
    <c:legend>
      <c:legendPos val="t"/>
      <c:layout>
        <c:manualLayout>
          <c:xMode val="edge"/>
          <c:yMode val="edge"/>
          <c:x val="5.755868395575095E-2"/>
          <c:y val="0.87247287950539509"/>
          <c:w val="0.9"/>
          <c:h val="6.8755421128439659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j-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Arkusz1!$A$2</c:f>
              <c:strCache>
                <c:ptCount val="1"/>
                <c:pt idx="0">
                  <c:v>Suma szacowanej całkowitej wartości projektów [mln zł]</c:v>
                </c:pt>
              </c:strCache>
            </c:strRef>
          </c:tx>
          <c:spPr>
            <a:solidFill>
              <a:schemeClr val="accent2"/>
            </a:solidFill>
            <a:ln>
              <a:noFill/>
            </a:ln>
            <a:effectLst>
              <a:softEdge rad="0"/>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Arkusz1!$B$1:$F$1</c:f>
              <c:strCache>
                <c:ptCount val="5"/>
                <c:pt idx="0">
                  <c:v>Tramwaje</c:v>
                </c:pt>
                <c:pt idx="1">
                  <c:v>Metro</c:v>
                </c:pt>
                <c:pt idx="2">
                  <c:v>Autobusy</c:v>
                </c:pt>
                <c:pt idx="3">
                  <c:v>Węzły przesiadkowe</c:v>
                </c:pt>
                <c:pt idx="4">
                  <c:v>System SDIP</c:v>
                </c:pt>
              </c:strCache>
            </c:strRef>
          </c:cat>
          <c:val>
            <c:numRef>
              <c:f>Arkusz1!$B$2:$F$2</c:f>
              <c:numCache>
                <c:formatCode>General</c:formatCode>
                <c:ptCount val="5"/>
                <c:pt idx="0">
                  <c:v>8737.69</c:v>
                </c:pt>
                <c:pt idx="1">
                  <c:v>6728.7199999999993</c:v>
                </c:pt>
                <c:pt idx="2">
                  <c:v>1349.7300000000002</c:v>
                </c:pt>
                <c:pt idx="3">
                  <c:v>312.85000000000002</c:v>
                </c:pt>
                <c:pt idx="4">
                  <c:v>43.37</c:v>
                </c:pt>
              </c:numCache>
            </c:numRef>
          </c:val>
          <c:extLst>
            <c:ext xmlns:c16="http://schemas.microsoft.com/office/drawing/2014/chart" uri="{C3380CC4-5D6E-409C-BE32-E72D297353CC}">
              <c16:uniqueId val="{00000000-DF08-42AA-8DF8-8D287400D3F2}"/>
            </c:ext>
          </c:extLst>
        </c:ser>
        <c:dLbls>
          <c:showLegendKey val="0"/>
          <c:showVal val="1"/>
          <c:showCatName val="0"/>
          <c:showSerName val="0"/>
          <c:showPercent val="0"/>
          <c:showBubbleSize val="0"/>
        </c:dLbls>
        <c:gapWidth val="150"/>
        <c:overlap val="-25"/>
        <c:axId val="-245678656"/>
        <c:axId val="-245677568"/>
      </c:barChart>
      <c:catAx>
        <c:axId val="-245678656"/>
        <c:scaling>
          <c:orientation val="minMax"/>
        </c:scaling>
        <c:delete val="0"/>
        <c:axPos val="b"/>
        <c:numFmt formatCode="General" sourceLinked="1"/>
        <c:majorTickMark val="none"/>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j-lt"/>
                <a:ea typeface="+mn-ea"/>
                <a:cs typeface="+mn-cs"/>
              </a:defRPr>
            </a:pPr>
            <a:endParaRPr lang="pl-PL"/>
          </a:p>
        </c:txPr>
        <c:crossAx val="-245677568"/>
        <c:crosses val="autoZero"/>
        <c:auto val="1"/>
        <c:lblAlgn val="ctr"/>
        <c:lblOffset val="100"/>
        <c:tickMarkSkip val="1"/>
        <c:noMultiLvlLbl val="0"/>
      </c:catAx>
      <c:valAx>
        <c:axId val="-245677568"/>
        <c:scaling>
          <c:orientation val="minMax"/>
        </c:scaling>
        <c:delete val="1"/>
        <c:axPos val="l"/>
        <c:numFmt formatCode="#,##0.00\ &quot;zł&quot;" sourceLinked="0"/>
        <c:majorTickMark val="out"/>
        <c:minorTickMark val="none"/>
        <c:tickLblPos val="low"/>
        <c:crossAx val="-245678656"/>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j-lt"/>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004775444736079"/>
          <c:y val="0.12760138781191532"/>
          <c:w val="0.56363261883931171"/>
          <c:h val="0.78902828942391068"/>
        </c:manualLayout>
      </c:layout>
      <c:barChart>
        <c:barDir val="col"/>
        <c:grouping val="clustered"/>
        <c:varyColors val="0"/>
        <c:ser>
          <c:idx val="1"/>
          <c:order val="0"/>
          <c:tx>
            <c:strRef>
              <c:f>'Wykres 5'!$A$3</c:f>
              <c:strCache>
                <c:ptCount val="1"/>
                <c:pt idx="0">
                  <c:v>Wydatki gmin na lokalny transport zbiorowy</c:v>
                </c:pt>
              </c:strCache>
            </c:strRef>
          </c:tx>
          <c:spPr>
            <a:solidFill>
              <a:schemeClr val="accent2"/>
            </a:solidFill>
            <a:ln>
              <a:noFill/>
            </a:ln>
            <a:effectLst/>
          </c:spPr>
          <c:invertIfNegative val="0"/>
          <c:cat>
            <c:numRef>
              <c:f>'Wykres 5'!$B$1:$J$1</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'Wykres 5'!$B$3:$J$3</c:f>
              <c:numCache>
                <c:formatCode>#,##0.00</c:formatCode>
                <c:ptCount val="9"/>
                <c:pt idx="0">
                  <c:v>4326866253</c:v>
                </c:pt>
                <c:pt idx="1">
                  <c:v>4766649639</c:v>
                </c:pt>
                <c:pt idx="2">
                  <c:v>5340320825</c:v>
                </c:pt>
                <c:pt idx="3">
                  <c:v>5884765016</c:v>
                </c:pt>
                <c:pt idx="4">
                  <c:v>7375451117</c:v>
                </c:pt>
                <c:pt idx="5">
                  <c:v>8483955712</c:v>
                </c:pt>
                <c:pt idx="6">
                  <c:v>8426329090</c:v>
                </c:pt>
                <c:pt idx="7">
                  <c:v>9340122060</c:v>
                </c:pt>
                <c:pt idx="8">
                  <c:v>8450905338</c:v>
                </c:pt>
              </c:numCache>
            </c:numRef>
          </c:val>
          <c:extLst>
            <c:ext xmlns:c16="http://schemas.microsoft.com/office/drawing/2014/chart" uri="{C3380CC4-5D6E-409C-BE32-E72D297353CC}">
              <c16:uniqueId val="{00000000-D44D-4A05-AE20-3F2666E384A8}"/>
            </c:ext>
          </c:extLst>
        </c:ser>
        <c:dLbls>
          <c:showLegendKey val="0"/>
          <c:showVal val="0"/>
          <c:showCatName val="0"/>
          <c:showSerName val="0"/>
          <c:showPercent val="0"/>
          <c:showBubbleSize val="0"/>
        </c:dLbls>
        <c:gapWidth val="150"/>
        <c:axId val="-1563792480"/>
        <c:axId val="-1563795200"/>
      </c:barChart>
      <c:lineChart>
        <c:grouping val="standard"/>
        <c:varyColors val="0"/>
        <c:ser>
          <c:idx val="0"/>
          <c:order val="1"/>
          <c:tx>
            <c:strRef>
              <c:f>'Wykres 5'!$A$2</c:f>
              <c:strCache>
                <c:ptCount val="1"/>
                <c:pt idx="0">
                  <c:v>Praca eksploatacyjna w 
transporcie 
pasażerskim</c:v>
                </c:pt>
              </c:strCache>
            </c:strRef>
          </c:tx>
          <c:spPr>
            <a:ln w="28575" cap="rnd">
              <a:solidFill>
                <a:schemeClr val="accent1"/>
              </a:solidFill>
              <a:round/>
            </a:ln>
            <a:effectLst/>
          </c:spPr>
          <c:marker>
            <c:symbol val="none"/>
          </c:marker>
          <c:cat>
            <c:numRef>
              <c:f>'Wykres 5'!$B$1:$J$1</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'Wykres 5'!$B$2:$J$2</c:f>
              <c:numCache>
                <c:formatCode>#,##0</c:formatCode>
                <c:ptCount val="9"/>
                <c:pt idx="0">
                  <c:v>983470</c:v>
                </c:pt>
                <c:pt idx="1">
                  <c:v>955161</c:v>
                </c:pt>
                <c:pt idx="2">
                  <c:v>894498</c:v>
                </c:pt>
                <c:pt idx="3" formatCode="General">
                  <c:v>900340</c:v>
                </c:pt>
                <c:pt idx="4" formatCode="General">
                  <c:v>899611</c:v>
                </c:pt>
                <c:pt idx="5" formatCode="General">
                  <c:v>893357</c:v>
                </c:pt>
                <c:pt idx="6" formatCode="General">
                  <c:v>850865</c:v>
                </c:pt>
                <c:pt idx="7" formatCode="General">
                  <c:v>857921</c:v>
                </c:pt>
                <c:pt idx="8" formatCode="General">
                  <c:v>877904</c:v>
                </c:pt>
              </c:numCache>
            </c:numRef>
          </c:val>
          <c:smooth val="0"/>
          <c:extLst>
            <c:ext xmlns:c16="http://schemas.microsoft.com/office/drawing/2014/chart" uri="{C3380CC4-5D6E-409C-BE32-E72D297353CC}">
              <c16:uniqueId val="{00000001-D44D-4A05-AE20-3F2666E384A8}"/>
            </c:ext>
          </c:extLst>
        </c:ser>
        <c:dLbls>
          <c:showLegendKey val="0"/>
          <c:showVal val="0"/>
          <c:showCatName val="0"/>
          <c:showSerName val="0"/>
          <c:showPercent val="0"/>
          <c:showBubbleSize val="0"/>
        </c:dLbls>
        <c:marker val="1"/>
        <c:smooth val="0"/>
        <c:axId val="-245677024"/>
        <c:axId val="-1563795744"/>
      </c:lineChart>
      <c:catAx>
        <c:axId val="-245677024"/>
        <c:scaling>
          <c:orientation val="minMax"/>
        </c:scaling>
        <c:delete val="0"/>
        <c:axPos val="b"/>
        <c:majorGridlines>
          <c:spPr>
            <a:ln w="9525" cap="flat" cmpd="sng" algn="ctr">
              <a:solidFill>
                <a:schemeClr val="accent4"/>
              </a:solidFill>
              <a:round/>
            </a:ln>
            <a:effectLst/>
          </c:spPr>
        </c:majorGridlines>
        <c:title>
          <c:tx>
            <c:rich>
              <a:bodyPr rot="0" spcFirstLastPara="1" vertOverflow="ellipsis" vert="horz" wrap="square" anchor="b" anchorCtr="0"/>
              <a:lstStyle/>
              <a:p>
                <a:pPr>
                  <a:defRPr sz="900" b="0" i="0" u="none" strike="noStrike" kern="1200" baseline="0">
                    <a:solidFill>
                      <a:schemeClr val="accent5"/>
                    </a:solidFill>
                    <a:latin typeface="+mn-lt"/>
                    <a:ea typeface="+mn-ea"/>
                    <a:cs typeface="+mn-cs"/>
                  </a:defRPr>
                </a:pPr>
                <a:r>
                  <a:rPr lang="pl-PL" sz="900" cap="all" baseline="0">
                    <a:solidFill>
                      <a:schemeClr val="accent5"/>
                    </a:solidFill>
                  </a:rPr>
                  <a:t>LATA </a:t>
                </a:r>
                <a:r>
                  <a:rPr lang="pl-PL" sz="900" cap="all" baseline="0">
                    <a:solidFill>
                      <a:schemeClr val="accent5"/>
                    </a:solidFill>
                    <a:latin typeface="Calibri" panose="020F0502020204030204" pitchFamily="34" charset="0"/>
                  </a:rPr>
                  <a:t>→</a:t>
                </a:r>
                <a:endParaRPr lang="pl-PL" sz="900" cap="all" baseline="0">
                  <a:solidFill>
                    <a:schemeClr val="accent5"/>
                  </a:solidFill>
                </a:endParaRPr>
              </a:p>
            </c:rich>
          </c:tx>
          <c:layout>
            <c:manualLayout>
              <c:xMode val="edge"/>
              <c:yMode val="edge"/>
              <c:x val="9.6109976568771446E-2"/>
              <c:y val="0.92780989612911158"/>
            </c:manualLayout>
          </c:layout>
          <c:overlay val="0"/>
          <c:spPr>
            <a:noFill/>
            <a:ln>
              <a:noFill/>
            </a:ln>
            <a:effectLst/>
          </c:spPr>
          <c:txPr>
            <a:bodyPr rot="0" spcFirstLastPara="1" vertOverflow="ellipsis" vert="horz" wrap="square" anchor="b" anchorCtr="0"/>
            <a:lstStyle/>
            <a:p>
              <a:pPr>
                <a:defRPr sz="900" b="0" i="0" u="none" strike="noStrike" kern="1200" baseline="0">
                  <a:solidFill>
                    <a:schemeClr val="accent5"/>
                  </a:solidFill>
                  <a:latin typeface="+mn-lt"/>
                  <a:ea typeface="+mn-ea"/>
                  <a:cs typeface="+mn-cs"/>
                </a:defRPr>
              </a:pPr>
              <a:endParaRPr lang="pl-PL"/>
            </a:p>
          </c:txPr>
        </c:title>
        <c:numFmt formatCode="General" sourceLinked="1"/>
        <c:majorTickMark val="out"/>
        <c:minorTickMark val="none"/>
        <c:tickLblPos val="nextTo"/>
        <c:spPr>
          <a:noFill/>
          <a:ln w="9525" cap="flat" cmpd="sng" algn="ctr">
            <a:solidFill>
              <a:schemeClr val="accent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563795744"/>
        <c:crosses val="autoZero"/>
        <c:auto val="1"/>
        <c:lblAlgn val="ctr"/>
        <c:lblOffset val="100"/>
        <c:noMultiLvlLbl val="0"/>
      </c:catAx>
      <c:valAx>
        <c:axId val="-1563795744"/>
        <c:scaling>
          <c:orientation val="minMax"/>
          <c:max val="1000000"/>
          <c:min val="0"/>
        </c:scaling>
        <c:delete val="0"/>
        <c:axPos val="l"/>
        <c:majorGridlines>
          <c:spPr>
            <a:ln w="9525" cap="flat" cmpd="sng" algn="ctr">
              <a:solidFill>
                <a:schemeClr val="accent4"/>
              </a:solidFill>
              <a:round/>
            </a:ln>
            <a:effectLst/>
          </c:spPr>
        </c:majorGridlines>
        <c:title>
          <c:tx>
            <c:rich>
              <a:bodyPr rot="0" spcFirstLastPara="1" vertOverflow="ellipsis" wrap="square" anchor="b" anchorCtr="1"/>
              <a:lstStyle/>
              <a:p>
                <a:pPr algn="r">
                  <a:defRPr sz="800" b="0" i="0" u="none" strike="noStrike" kern="1200" baseline="0">
                    <a:solidFill>
                      <a:schemeClr val="accent5"/>
                    </a:solidFill>
                    <a:latin typeface="+mn-lt"/>
                    <a:ea typeface="+mn-ea"/>
                    <a:cs typeface="+mn-cs"/>
                  </a:defRPr>
                </a:pPr>
                <a:r>
                  <a:rPr lang="pl-PL" sz="800" cap="all" baseline="0">
                    <a:solidFill>
                      <a:schemeClr val="accent5"/>
                    </a:solidFill>
                    <a:latin typeface="+mn-lt"/>
                  </a:rPr>
                  <a:t>tys. wozokm </a:t>
                </a:r>
                <a:r>
                  <a:rPr lang="pl-PL" sz="800" cap="all" baseline="0">
                    <a:solidFill>
                      <a:schemeClr val="accent5"/>
                    </a:solidFill>
                    <a:latin typeface="Calibri" panose="020F0502020204030204" pitchFamily="34" charset="0"/>
                  </a:rPr>
                  <a:t>↓</a:t>
                </a:r>
                <a:endParaRPr lang="pl-PL" sz="800" cap="all" baseline="0">
                  <a:solidFill>
                    <a:schemeClr val="accent5"/>
                  </a:solidFill>
                </a:endParaRPr>
              </a:p>
            </c:rich>
          </c:tx>
          <c:layout>
            <c:manualLayout>
              <c:xMode val="edge"/>
              <c:yMode val="edge"/>
              <c:x val="0.15493383639545058"/>
              <c:y val="4.3347940709185191E-2"/>
            </c:manualLayout>
          </c:layout>
          <c:overlay val="0"/>
          <c:spPr>
            <a:noFill/>
            <a:ln>
              <a:noFill/>
            </a:ln>
            <a:effectLst/>
          </c:spPr>
          <c:txPr>
            <a:bodyPr rot="0" spcFirstLastPara="1" vertOverflow="ellipsis" wrap="square" anchor="b" anchorCtr="1"/>
            <a:lstStyle/>
            <a:p>
              <a:pPr algn="r">
                <a:defRPr sz="800" b="0" i="0" u="none" strike="noStrike" kern="1200" baseline="0">
                  <a:solidFill>
                    <a:schemeClr val="accent5"/>
                  </a:solidFill>
                  <a:latin typeface="+mn-lt"/>
                  <a:ea typeface="+mn-ea"/>
                  <a:cs typeface="+mn-cs"/>
                </a:defRPr>
              </a:pPr>
              <a:endParaRPr lang="pl-PL"/>
            </a:p>
          </c:txPr>
        </c:title>
        <c:numFmt formatCode="#,##0" sourceLinked="1"/>
        <c:majorTickMark val="out"/>
        <c:minorTickMark val="none"/>
        <c:tickLblPos val="low"/>
        <c:spPr>
          <a:noFill/>
          <a:ln>
            <a:solidFill>
              <a:schemeClr val="accent1"/>
            </a:solidFill>
          </a:ln>
          <a:effectLst/>
        </c:spPr>
        <c:txPr>
          <a:bodyPr rot="-60000000" spcFirstLastPara="1" vertOverflow="ellipsis" vert="horz" wrap="square" anchor="b" anchorCtr="0"/>
          <a:lstStyle/>
          <a:p>
            <a:pPr>
              <a:defRPr sz="800" b="0" i="0" u="none" strike="noStrike" kern="1200" baseline="0">
                <a:ln>
                  <a:noFill/>
                </a:ln>
                <a:solidFill>
                  <a:schemeClr val="tx1">
                    <a:lumMod val="65000"/>
                    <a:lumOff val="35000"/>
                  </a:schemeClr>
                </a:solidFill>
                <a:latin typeface="+mn-lt"/>
                <a:ea typeface="+mn-ea"/>
                <a:cs typeface="+mn-cs"/>
              </a:defRPr>
            </a:pPr>
            <a:endParaRPr lang="pl-PL"/>
          </a:p>
        </c:txPr>
        <c:crossAx val="-245677024"/>
        <c:crossesAt val="2010"/>
        <c:crossBetween val="between"/>
      </c:valAx>
      <c:valAx>
        <c:axId val="-1563795200"/>
        <c:scaling>
          <c:orientation val="minMax"/>
        </c:scaling>
        <c:delete val="0"/>
        <c:axPos val="r"/>
        <c:title>
          <c:tx>
            <c:rich>
              <a:bodyPr rot="0" spcFirstLastPara="1" vertOverflow="ellipsis" wrap="square" anchor="ctr" anchorCtr="1"/>
              <a:lstStyle/>
              <a:p>
                <a:pPr algn="r">
                  <a:defRPr sz="800" b="0" i="0" u="none" strike="noStrike" kern="1200" cap="all" baseline="0">
                    <a:solidFill>
                      <a:schemeClr val="accent5"/>
                    </a:solidFill>
                    <a:latin typeface="+mn-lt"/>
                    <a:ea typeface="+mn-ea"/>
                    <a:cs typeface="+mn-cs"/>
                  </a:defRPr>
                </a:pPr>
                <a:r>
                  <a:rPr lang="pl-PL" sz="800" b="0" i="0" cap="all" baseline="0">
                    <a:effectLst/>
                  </a:rPr>
                  <a:t>wydatki ( mln zł) </a:t>
                </a:r>
                <a:r>
                  <a:rPr lang="pl-PL" sz="800" b="0" i="0" cap="all" baseline="0">
                    <a:effectLst/>
                    <a:latin typeface="Calibri" panose="020F0502020204030204" pitchFamily="34" charset="0"/>
                    <a:cs typeface="Calibri" panose="020F0502020204030204" pitchFamily="34" charset="0"/>
                  </a:rPr>
                  <a:t>↓</a:t>
                </a:r>
                <a:endParaRPr lang="pl-PL" sz="800">
                  <a:effectLst/>
                  <a:latin typeface="Calibri" panose="020F0502020204030204" pitchFamily="34" charset="0"/>
                  <a:cs typeface="Calibri" panose="020F0502020204030204" pitchFamily="34" charset="0"/>
                </a:endParaRPr>
              </a:p>
            </c:rich>
          </c:tx>
          <c:layout>
            <c:manualLayout>
              <c:xMode val="edge"/>
              <c:yMode val="edge"/>
              <c:x val="0.821568119593998"/>
              <c:y val="2.1448405993410559E-2"/>
            </c:manualLayout>
          </c:layout>
          <c:overlay val="0"/>
          <c:spPr>
            <a:noFill/>
            <a:ln>
              <a:noFill/>
            </a:ln>
            <a:effectLst/>
          </c:spPr>
          <c:txPr>
            <a:bodyPr rot="0" spcFirstLastPara="1" vertOverflow="ellipsis" wrap="square" anchor="ctr" anchorCtr="1"/>
            <a:lstStyle/>
            <a:p>
              <a:pPr algn="r">
                <a:defRPr sz="800" b="0" i="0" u="none" strike="noStrike" kern="1200" cap="all" baseline="0">
                  <a:solidFill>
                    <a:schemeClr val="accent5"/>
                  </a:solidFill>
                  <a:latin typeface="+mn-lt"/>
                  <a:ea typeface="+mn-ea"/>
                  <a:cs typeface="+mn-cs"/>
                </a:defRPr>
              </a:pPr>
              <a:endParaRPr lang="pl-PL"/>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1563792480"/>
        <c:crosses val="max"/>
        <c:crossBetween val="between"/>
        <c:dispUnits>
          <c:builtInUnit val="millions"/>
        </c:dispUnits>
      </c:valAx>
      <c:catAx>
        <c:axId val="-1563792480"/>
        <c:scaling>
          <c:orientation val="minMax"/>
        </c:scaling>
        <c:delete val="1"/>
        <c:axPos val="b"/>
        <c:numFmt formatCode="General" sourceLinked="1"/>
        <c:majorTickMark val="out"/>
        <c:minorTickMark val="none"/>
        <c:tickLblPos val="nextTo"/>
        <c:crossAx val="-1563795200"/>
        <c:crosses val="autoZero"/>
        <c:auto val="1"/>
        <c:lblAlgn val="ctr"/>
        <c:lblOffset val="100"/>
        <c:noMultiLvlLbl val="0"/>
      </c:catAx>
      <c:spPr>
        <a:noFill/>
        <a:ln w="25400">
          <a:noFill/>
        </a:ln>
        <a:effectLst/>
      </c:spPr>
    </c:plotArea>
    <c:legend>
      <c:legendPos val="l"/>
      <c:layout>
        <c:manualLayout>
          <c:xMode val="edge"/>
          <c:yMode val="edge"/>
          <c:x val="0"/>
          <c:y val="0.19348406282917516"/>
          <c:w val="0.21089566929133857"/>
          <c:h val="0.4872203502278401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37095363079614"/>
          <c:y val="0.17255307485298516"/>
          <c:w val="0.79146937882764656"/>
          <c:h val="0.64479966111830955"/>
        </c:manualLayout>
      </c:layout>
      <c:barChart>
        <c:barDir val="bar"/>
        <c:grouping val="stacked"/>
        <c:varyColors val="0"/>
        <c:ser>
          <c:idx val="0"/>
          <c:order val="0"/>
          <c:tx>
            <c:strRef>
              <c:f>Arkusz1!$N$8</c:f>
              <c:strCache>
                <c:ptCount val="1"/>
                <c:pt idx="0">
                  <c:v>Kobiety</c:v>
                </c:pt>
              </c:strCache>
            </c:strRef>
          </c:tx>
          <c:spPr>
            <a:solidFill>
              <a:schemeClr val="accent1"/>
            </a:solidFill>
            <a:ln>
              <a:solidFill>
                <a:schemeClr val="bg1"/>
              </a:solidFill>
            </a:ln>
            <a:effectLst/>
          </c:spPr>
          <c:invertIfNegative val="0"/>
          <c:cat>
            <c:strRef>
              <c:f>Arkusz1!$O$7:$Q$7</c:f>
              <c:strCache>
                <c:ptCount val="3"/>
                <c:pt idx="0">
                  <c:v>do 30 lat</c:v>
                </c:pt>
                <c:pt idx="1">
                  <c:v>31-54 lata</c:v>
                </c:pt>
                <c:pt idx="2">
                  <c:v>od 55 lat</c:v>
                </c:pt>
              </c:strCache>
            </c:strRef>
          </c:cat>
          <c:val>
            <c:numRef>
              <c:f>Arkusz1!$O$8:$Q$8</c:f>
              <c:numCache>
                <c:formatCode>0.0%</c:formatCode>
                <c:ptCount val="3"/>
                <c:pt idx="0">
                  <c:v>-0.12263860135794996</c:v>
                </c:pt>
                <c:pt idx="1">
                  <c:v>-0.26812881035684605</c:v>
                </c:pt>
                <c:pt idx="2">
                  <c:v>-0.19523249662750236</c:v>
                </c:pt>
              </c:numCache>
            </c:numRef>
          </c:val>
          <c:extLst>
            <c:ext xmlns:c16="http://schemas.microsoft.com/office/drawing/2014/chart" uri="{C3380CC4-5D6E-409C-BE32-E72D297353CC}">
              <c16:uniqueId val="{00000000-AE6E-4D2C-8538-058E8E363753}"/>
            </c:ext>
          </c:extLst>
        </c:ser>
        <c:ser>
          <c:idx val="1"/>
          <c:order val="1"/>
          <c:tx>
            <c:strRef>
              <c:f>Arkusz1!$N$9</c:f>
              <c:strCache>
                <c:ptCount val="1"/>
                <c:pt idx="0">
                  <c:v>Mężczyzni</c:v>
                </c:pt>
              </c:strCache>
            </c:strRef>
          </c:tx>
          <c:spPr>
            <a:solidFill>
              <a:schemeClr val="accent2"/>
            </a:solidFill>
            <a:ln>
              <a:solidFill>
                <a:schemeClr val="bg1"/>
              </a:solidFill>
            </a:ln>
            <a:effectLst/>
          </c:spPr>
          <c:invertIfNegative val="0"/>
          <c:cat>
            <c:strRef>
              <c:f>Arkusz1!$O$7:$Q$7</c:f>
              <c:strCache>
                <c:ptCount val="3"/>
                <c:pt idx="0">
                  <c:v>do 30 lat</c:v>
                </c:pt>
                <c:pt idx="1">
                  <c:v>31-54 lata</c:v>
                </c:pt>
                <c:pt idx="2">
                  <c:v>od 55 lat</c:v>
                </c:pt>
              </c:strCache>
            </c:strRef>
          </c:cat>
          <c:val>
            <c:numRef>
              <c:f>Arkusz1!$O$9:$Q$9</c:f>
              <c:numCache>
                <c:formatCode>0.0%</c:formatCode>
                <c:ptCount val="3"/>
                <c:pt idx="0">
                  <c:v>9.9693888413532938E-2</c:v>
                </c:pt>
                <c:pt idx="1">
                  <c:v>0.20434486428076815</c:v>
                </c:pt>
                <c:pt idx="2">
                  <c:v>0.10996133896340331</c:v>
                </c:pt>
              </c:numCache>
            </c:numRef>
          </c:val>
          <c:extLst>
            <c:ext xmlns:c16="http://schemas.microsoft.com/office/drawing/2014/chart" uri="{C3380CC4-5D6E-409C-BE32-E72D297353CC}">
              <c16:uniqueId val="{00000001-AE6E-4D2C-8538-058E8E363753}"/>
            </c:ext>
          </c:extLst>
        </c:ser>
        <c:dLbls>
          <c:showLegendKey val="0"/>
          <c:showVal val="0"/>
          <c:showCatName val="0"/>
          <c:showSerName val="0"/>
          <c:showPercent val="0"/>
          <c:showBubbleSize val="0"/>
        </c:dLbls>
        <c:gapWidth val="0"/>
        <c:overlap val="100"/>
        <c:axId val="-1563798464"/>
        <c:axId val="-1563794656"/>
      </c:barChart>
      <c:catAx>
        <c:axId val="-156379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563794656"/>
        <c:crossesAt val="0"/>
        <c:auto val="1"/>
        <c:lblAlgn val="ctr"/>
        <c:lblOffset val="100"/>
        <c:noMultiLvlLbl val="0"/>
      </c:catAx>
      <c:valAx>
        <c:axId val="-1563794656"/>
        <c:scaling>
          <c:orientation val="minMax"/>
        </c:scaling>
        <c:delete val="0"/>
        <c:axPos val="b"/>
        <c:numFmt formatCode="0%;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1563798464"/>
        <c:crosses val="autoZero"/>
        <c:crossBetween val="between"/>
      </c:valAx>
      <c:spPr>
        <a:noFill/>
        <a:ln>
          <a:noFill/>
        </a:ln>
        <a:effectLst/>
      </c:spPr>
    </c:plotArea>
    <c:legend>
      <c:legendPos val="t"/>
      <c:layout>
        <c:manualLayout>
          <c:xMode val="edge"/>
          <c:yMode val="edge"/>
          <c:x val="0.33956474190726155"/>
          <c:y val="0"/>
          <c:w val="0.32087029746281714"/>
          <c:h val="0.132996112827668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Arkusz1!$N$33</c:f>
              <c:strCache>
                <c:ptCount val="1"/>
                <c:pt idx="0">
                  <c:v>Do 30 lat</c:v>
                </c:pt>
              </c:strCache>
            </c:strRef>
          </c:tx>
          <c:spPr>
            <a:solidFill>
              <a:schemeClr val="accent1"/>
            </a:solidFill>
            <a:ln>
              <a:noFill/>
            </a:ln>
            <a:effectLst/>
          </c:spPr>
          <c:invertIfNegative val="0"/>
          <c:cat>
            <c:strRef>
              <c:f>Arkusz1!$M$34:$M$38</c:f>
              <c:strCache>
                <c:ptCount val="5"/>
                <c:pt idx="0">
                  <c:v>Emeryt / rencista</c:v>
                </c:pt>
                <c:pt idx="1">
                  <c:v>Pracuje</c:v>
                </c:pt>
                <c:pt idx="2">
                  <c:v>Bezrobotny</c:v>
                </c:pt>
                <c:pt idx="3">
                  <c:v>Uczy się</c:v>
                </c:pt>
                <c:pt idx="4">
                  <c:v>Studiuje</c:v>
                </c:pt>
              </c:strCache>
            </c:strRef>
          </c:cat>
          <c:val>
            <c:numRef>
              <c:f>Arkusz1!$N$34:$N$38</c:f>
              <c:numCache>
                <c:formatCode>0.00%\ [$e]</c:formatCode>
                <c:ptCount val="5"/>
                <c:pt idx="0" formatCode="0.00%">
                  <c:v>6.4999999999999997E-3</c:v>
                </c:pt>
                <c:pt idx="1">
                  <c:v>0.69489999999999996</c:v>
                </c:pt>
                <c:pt idx="2">
                  <c:v>5.7200000000000001E-2</c:v>
                </c:pt>
                <c:pt idx="3" formatCode="0.00%\ [$de]">
                  <c:v>8.6300000000000002E-2</c:v>
                </c:pt>
                <c:pt idx="4" formatCode="0.00%\ [$de]">
                  <c:v>0.2873</c:v>
                </c:pt>
              </c:numCache>
            </c:numRef>
          </c:val>
          <c:extLst>
            <c:ext xmlns:c16="http://schemas.microsoft.com/office/drawing/2014/chart" uri="{C3380CC4-5D6E-409C-BE32-E72D297353CC}">
              <c16:uniqueId val="{00000000-48A2-4958-B8D3-B3454A45479D}"/>
            </c:ext>
          </c:extLst>
        </c:ser>
        <c:ser>
          <c:idx val="1"/>
          <c:order val="1"/>
          <c:tx>
            <c:strRef>
              <c:f>Arkusz1!$O$33</c:f>
              <c:strCache>
                <c:ptCount val="1"/>
                <c:pt idx="0">
                  <c:v>31-54 lata</c:v>
                </c:pt>
              </c:strCache>
            </c:strRef>
          </c:tx>
          <c:spPr>
            <a:solidFill>
              <a:schemeClr val="accent2"/>
            </a:solidFill>
            <a:ln>
              <a:noFill/>
            </a:ln>
            <a:effectLst/>
          </c:spPr>
          <c:invertIfNegative val="0"/>
          <c:cat>
            <c:strRef>
              <c:f>Arkusz1!$M$34:$M$38</c:f>
              <c:strCache>
                <c:ptCount val="5"/>
                <c:pt idx="0">
                  <c:v>Emeryt / rencista</c:v>
                </c:pt>
                <c:pt idx="1">
                  <c:v>Pracuje</c:v>
                </c:pt>
                <c:pt idx="2">
                  <c:v>Bezrobotny</c:v>
                </c:pt>
                <c:pt idx="3">
                  <c:v>Uczy się</c:v>
                </c:pt>
                <c:pt idx="4">
                  <c:v>Studiuje</c:v>
                </c:pt>
              </c:strCache>
            </c:strRef>
          </c:cat>
          <c:val>
            <c:numRef>
              <c:f>Arkusz1!$O$34:$O$38</c:f>
              <c:numCache>
                <c:formatCode>0.00%\ [$ce]</c:formatCode>
                <c:ptCount val="5"/>
                <c:pt idx="0" formatCode="0.00%\ [$c]">
                  <c:v>2.24E-2</c:v>
                </c:pt>
                <c:pt idx="1">
                  <c:v>0.88380000000000003</c:v>
                </c:pt>
                <c:pt idx="2" formatCode="0.00%\ [$e]">
                  <c:v>6.6100000000000006E-2</c:v>
                </c:pt>
                <c:pt idx="3" formatCode="0.00%\ [$e]">
                  <c:v>6.7000000000000002E-3</c:v>
                </c:pt>
                <c:pt idx="4" formatCode="0.00%\ [$e]">
                  <c:v>1.2800000000000001E-2</c:v>
                </c:pt>
              </c:numCache>
            </c:numRef>
          </c:val>
          <c:extLst>
            <c:ext xmlns:c16="http://schemas.microsoft.com/office/drawing/2014/chart" uri="{C3380CC4-5D6E-409C-BE32-E72D297353CC}">
              <c16:uniqueId val="{00000001-48A2-4958-B8D3-B3454A45479D}"/>
            </c:ext>
          </c:extLst>
        </c:ser>
        <c:ser>
          <c:idx val="2"/>
          <c:order val="2"/>
          <c:tx>
            <c:strRef>
              <c:f>Arkusz1!$P$33</c:f>
              <c:strCache>
                <c:ptCount val="1"/>
                <c:pt idx="0">
                  <c:v>55 lat i więcej</c:v>
                </c:pt>
              </c:strCache>
            </c:strRef>
          </c:tx>
          <c:spPr>
            <a:solidFill>
              <a:schemeClr val="accent3"/>
            </a:solidFill>
            <a:ln>
              <a:noFill/>
            </a:ln>
            <a:effectLst/>
          </c:spPr>
          <c:invertIfNegative val="0"/>
          <c:cat>
            <c:strRef>
              <c:f>Arkusz1!$M$34:$M$38</c:f>
              <c:strCache>
                <c:ptCount val="5"/>
                <c:pt idx="0">
                  <c:v>Emeryt / rencista</c:v>
                </c:pt>
                <c:pt idx="1">
                  <c:v>Pracuje</c:v>
                </c:pt>
                <c:pt idx="2">
                  <c:v>Bezrobotny</c:v>
                </c:pt>
                <c:pt idx="3">
                  <c:v>Uczy się</c:v>
                </c:pt>
                <c:pt idx="4">
                  <c:v>Studiuje</c:v>
                </c:pt>
              </c:strCache>
            </c:strRef>
          </c:cat>
          <c:val>
            <c:numRef>
              <c:f>Arkusz1!$P$34:$P$38</c:f>
              <c:numCache>
                <c:formatCode>0.00%</c:formatCode>
                <c:ptCount val="5"/>
                <c:pt idx="0">
                  <c:v>0.54120000000000001</c:v>
                </c:pt>
                <c:pt idx="1">
                  <c:v>0.4229</c:v>
                </c:pt>
                <c:pt idx="2">
                  <c:v>2.7300000000000001E-2</c:v>
                </c:pt>
                <c:pt idx="3">
                  <c:v>1.1999999999999999E-3</c:v>
                </c:pt>
                <c:pt idx="4">
                  <c:v>0</c:v>
                </c:pt>
              </c:numCache>
            </c:numRef>
          </c:val>
          <c:extLst>
            <c:ext xmlns:c16="http://schemas.microsoft.com/office/drawing/2014/chart" uri="{C3380CC4-5D6E-409C-BE32-E72D297353CC}">
              <c16:uniqueId val="{00000002-48A2-4958-B8D3-B3454A45479D}"/>
            </c:ext>
          </c:extLst>
        </c:ser>
        <c:dLbls>
          <c:showLegendKey val="0"/>
          <c:showVal val="0"/>
          <c:showCatName val="0"/>
          <c:showSerName val="0"/>
          <c:showPercent val="0"/>
          <c:showBubbleSize val="0"/>
        </c:dLbls>
        <c:gapWidth val="50"/>
        <c:overlap val="100"/>
        <c:axId val="-2084581552"/>
        <c:axId val="-2084580464"/>
      </c:barChart>
      <c:catAx>
        <c:axId val="-2084581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0464"/>
        <c:crosses val="autoZero"/>
        <c:auto val="1"/>
        <c:lblAlgn val="ctr"/>
        <c:lblOffset val="100"/>
        <c:noMultiLvlLbl val="0"/>
      </c:catAx>
      <c:valAx>
        <c:axId val="-20845804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crossAx val="-2084581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mj-lt"/>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1197"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bg1"/>
    </cs:fontRef>
    <cs:spPr>
      <a:solidFill>
        <a:schemeClr val="tx1">
          <a:lumMod val="50000"/>
          <a:lumOff val="50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22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958FD5-02D7-4228-AFED-B8707C3150EE}" type="doc">
      <dgm:prSet loTypeId="urn:microsoft.com/office/officeart/2005/8/layout/orgChart1" loCatId="hierarchy" qsTypeId="urn:microsoft.com/office/officeart/2005/8/quickstyle/simple1" qsCatId="simple" csTypeId="urn:microsoft.com/office/officeart/2005/8/colors/colorful3" csCatId="colorful" phldr="1"/>
      <dgm:spPr/>
      <dgm:t>
        <a:bodyPr/>
        <a:lstStyle/>
        <a:p>
          <a:endParaRPr lang="pl-PL"/>
        </a:p>
      </dgm:t>
    </dgm:pt>
    <dgm:pt modelId="{6C3A1045-D247-4E77-85A6-1B54F7DD5521}">
      <dgm:prSet phldrT="[Tekst]" custT="1"/>
      <dgm:spPr/>
      <dgm:t>
        <a:bodyPr/>
        <a:lstStyle/>
        <a:p>
          <a:pPr algn="ctr"/>
          <a:r>
            <a:rPr lang="pl-PL" sz="1000" dirty="0">
              <a:latin typeface="Nexa Light" panose="02000000000000000000" pitchFamily="50" charset="-18"/>
            </a:rPr>
            <a:t>Pomiar efektu netto</a:t>
          </a:r>
        </a:p>
        <a:p>
          <a:pPr algn="ctr"/>
          <a:r>
            <a:rPr lang="pl-PL" sz="1000" dirty="0">
              <a:latin typeface="Nexa Light" panose="02000000000000000000" pitchFamily="50" charset="-18"/>
            </a:rPr>
            <a:t>(analiza kontrfaktyczna)</a:t>
          </a:r>
        </a:p>
      </dgm:t>
    </dgm:pt>
    <dgm:pt modelId="{76AD87B0-ADB7-4EA5-B331-77832F1BFA38}" type="parTrans" cxnId="{4286EDD4-F868-46FF-A604-8888CB7B5280}">
      <dgm:prSet/>
      <dgm:spPr/>
      <dgm:t>
        <a:bodyPr/>
        <a:lstStyle/>
        <a:p>
          <a:pPr algn="ctr"/>
          <a:endParaRPr lang="pl-PL" sz="1000"/>
        </a:p>
      </dgm:t>
    </dgm:pt>
    <dgm:pt modelId="{B384A030-E4C5-4E60-99CB-704DA339006C}" type="sibTrans" cxnId="{4286EDD4-F868-46FF-A604-8888CB7B5280}">
      <dgm:prSet/>
      <dgm:spPr/>
      <dgm:t>
        <a:bodyPr/>
        <a:lstStyle/>
        <a:p>
          <a:pPr algn="ctr"/>
          <a:endParaRPr lang="pl-PL" sz="1000"/>
        </a:p>
      </dgm:t>
    </dgm:pt>
    <dgm:pt modelId="{91BBC9CD-E0FF-47F0-BCFE-BD08BA517DC8}">
      <dgm:prSet phldrT="[Tekst]" custT="1"/>
      <dgm:spPr>
        <a:solidFill>
          <a:schemeClr val="accent3"/>
        </a:solidFill>
      </dgm:spPr>
      <dgm:t>
        <a:bodyPr/>
        <a:lstStyle/>
        <a:p>
          <a:pPr algn="ctr"/>
          <a:r>
            <a:rPr lang="pl-PL" sz="1000" b="1" dirty="0" err="1">
              <a:latin typeface="Nexa Light" panose="02000000000000000000" pitchFamily="50" charset="-18"/>
            </a:rPr>
            <a:t>Propensity</a:t>
          </a:r>
          <a:r>
            <a:rPr lang="pl-PL" sz="1000" b="1" dirty="0">
              <a:latin typeface="Nexa Light" panose="02000000000000000000" pitchFamily="50" charset="-18"/>
            </a:rPr>
            <a:t> </a:t>
          </a:r>
          <a:r>
            <a:rPr lang="pl-PL" sz="1000" b="1" dirty="0" err="1">
              <a:latin typeface="Nexa Light" panose="02000000000000000000" pitchFamily="50" charset="-18"/>
            </a:rPr>
            <a:t>Score</a:t>
          </a:r>
          <a:r>
            <a:rPr lang="pl-PL" sz="1000" b="1" dirty="0">
              <a:latin typeface="Nexa Light" panose="02000000000000000000" pitchFamily="50" charset="-18"/>
            </a:rPr>
            <a:t> </a:t>
          </a:r>
          <a:r>
            <a:rPr lang="pl-PL" sz="1000" b="1" dirty="0" err="1">
              <a:latin typeface="Nexa Light" panose="02000000000000000000" pitchFamily="50" charset="-18"/>
            </a:rPr>
            <a:t>Matching</a:t>
          </a:r>
          <a:endParaRPr lang="pl-PL" sz="1000" b="1" dirty="0">
            <a:latin typeface="Nexa Light" panose="02000000000000000000" pitchFamily="50" charset="-18"/>
          </a:endParaRPr>
        </a:p>
        <a:p>
          <a:pPr algn="ctr"/>
          <a:r>
            <a:rPr lang="pl-PL" sz="1000" dirty="0">
              <a:latin typeface="Nexa Light" panose="02000000000000000000" pitchFamily="50" charset="-18"/>
            </a:rPr>
            <a:t>Porównanie między jednostkami z interwencją i bez interwencji</a:t>
          </a:r>
        </a:p>
        <a:p>
          <a:pPr algn="ctr"/>
          <a:r>
            <a:rPr lang="pl-PL" sz="1000" dirty="0">
              <a:latin typeface="Nexa Light" panose="02000000000000000000" pitchFamily="50" charset="-18"/>
            </a:rPr>
            <a:t>Metoda klasyczna</a:t>
          </a:r>
        </a:p>
        <a:p>
          <a:pPr algn="ctr"/>
          <a:r>
            <a:rPr lang="pl-PL" sz="1000" dirty="0">
              <a:latin typeface="Nexa Light" panose="02000000000000000000" pitchFamily="50" charset="-18"/>
            </a:rPr>
            <a:t>Stosowana dla skrzyżowań, odcinków dróg, ale głównie dla osób</a:t>
          </a:r>
        </a:p>
        <a:p>
          <a:pPr algn="ctr"/>
          <a:r>
            <a:rPr lang="pl-PL" sz="1000" dirty="0">
              <a:latin typeface="Nexa Light" panose="02000000000000000000" pitchFamily="50" charset="-18"/>
            </a:rPr>
            <a:t>Możemy wybrać jednostki z dużej populacji, a potem badać lub porównywać duże populacje</a:t>
          </a:r>
        </a:p>
      </dgm:t>
    </dgm:pt>
    <dgm:pt modelId="{D27861C7-04CE-4AD3-A6E9-0A6D3C889834}" type="parTrans" cxnId="{48B4F66A-7AAF-4AFA-8BED-961AC8FD37FD}">
      <dgm:prSet/>
      <dgm:spPr/>
      <dgm:t>
        <a:bodyPr/>
        <a:lstStyle/>
        <a:p>
          <a:pPr algn="ctr"/>
          <a:endParaRPr lang="pl-PL" sz="1000"/>
        </a:p>
      </dgm:t>
    </dgm:pt>
    <dgm:pt modelId="{3C5F5638-1250-4568-8EF4-B9301327FEC0}" type="sibTrans" cxnId="{48B4F66A-7AAF-4AFA-8BED-961AC8FD37FD}">
      <dgm:prSet/>
      <dgm:spPr/>
      <dgm:t>
        <a:bodyPr/>
        <a:lstStyle/>
        <a:p>
          <a:pPr algn="ctr"/>
          <a:endParaRPr lang="pl-PL" sz="1000"/>
        </a:p>
      </dgm:t>
    </dgm:pt>
    <dgm:pt modelId="{1D922E7E-CBDC-49E0-AC39-5B590E972BD9}">
      <dgm:prSet phldrT="[Tekst]" custT="1"/>
      <dgm:spPr>
        <a:solidFill>
          <a:schemeClr val="accent3"/>
        </a:solidFill>
      </dgm:spPr>
      <dgm:t>
        <a:bodyPr/>
        <a:lstStyle/>
        <a:p>
          <a:pPr algn="ctr"/>
          <a:r>
            <a:rPr lang="pl-PL" sz="1000" b="1" dirty="0" err="1">
              <a:latin typeface="Nexa Light" panose="02000000000000000000" pitchFamily="50" charset="-18"/>
            </a:rPr>
            <a:t>Stratified</a:t>
          </a:r>
          <a:r>
            <a:rPr lang="pl-PL" sz="1000" b="1" dirty="0">
              <a:latin typeface="Nexa Light" panose="02000000000000000000" pitchFamily="50" charset="-18"/>
            </a:rPr>
            <a:t> </a:t>
          </a:r>
          <a:r>
            <a:rPr lang="pl-PL" sz="1000" b="1" dirty="0" err="1">
              <a:latin typeface="Nexa Light" panose="02000000000000000000" pitchFamily="50" charset="-18"/>
            </a:rPr>
            <a:t>Propensity</a:t>
          </a:r>
          <a:r>
            <a:rPr lang="pl-PL" sz="1000" b="1" dirty="0">
              <a:latin typeface="Nexa Light" panose="02000000000000000000" pitchFamily="50" charset="-18"/>
            </a:rPr>
            <a:t> </a:t>
          </a:r>
          <a:r>
            <a:rPr lang="pl-PL" sz="1000" b="1" dirty="0" err="1">
              <a:latin typeface="Nexa Light" panose="02000000000000000000" pitchFamily="50" charset="-18"/>
            </a:rPr>
            <a:t>Score</a:t>
          </a:r>
          <a:r>
            <a:rPr lang="pl-PL" sz="1000" b="1" dirty="0">
              <a:latin typeface="Nexa Light" panose="02000000000000000000" pitchFamily="50" charset="-18"/>
            </a:rPr>
            <a:t> </a:t>
          </a:r>
          <a:r>
            <a:rPr lang="pl-PL" sz="1000" b="1" dirty="0" err="1">
              <a:latin typeface="Nexa Light" panose="02000000000000000000" pitchFamily="50" charset="-18"/>
            </a:rPr>
            <a:t>Matching</a:t>
          </a:r>
          <a:endParaRPr lang="pl-PL" sz="1000" b="1" dirty="0">
            <a:latin typeface="Nexa Light" panose="02000000000000000000" pitchFamily="50" charset="-18"/>
          </a:endParaRPr>
        </a:p>
        <a:p>
          <a:pPr algn="ctr"/>
          <a:r>
            <a:rPr lang="pl-PL" sz="1000" dirty="0">
              <a:latin typeface="Nexa Light" panose="02000000000000000000" pitchFamily="50" charset="-18"/>
            </a:rPr>
            <a:t>Porównanie między jednostkami objętymi interwencją w różnym zakresie, w kilku klasach (grupach)</a:t>
          </a:r>
        </a:p>
        <a:p>
          <a:pPr algn="ctr"/>
          <a:r>
            <a:rPr lang="pl-PL" sz="1000" dirty="0">
              <a:latin typeface="Nexa Light" panose="02000000000000000000" pitchFamily="50" charset="-18"/>
            </a:rPr>
            <a:t>Stosowana dla rozwoju społeczno-gospodarczego powiatów</a:t>
          </a:r>
        </a:p>
        <a:p>
          <a:pPr algn="ctr"/>
          <a:r>
            <a:rPr lang="pl-PL" sz="1000" dirty="0">
              <a:latin typeface="Nexa Light" panose="02000000000000000000" pitchFamily="50" charset="-18"/>
            </a:rPr>
            <a:t>Wymaga opisania każdej jednostki i dużej populacji (dobrze się sprawdza na modelowaniu na powiatach, gminach)</a:t>
          </a:r>
          <a:endParaRPr lang="pl-PL" sz="1000" dirty="0"/>
        </a:p>
      </dgm:t>
    </dgm:pt>
    <dgm:pt modelId="{84AF1D55-75F3-4B17-B710-87900BF1C18D}" type="parTrans" cxnId="{47C72136-D96A-48F3-A941-E09298F99F79}">
      <dgm:prSet/>
      <dgm:spPr/>
      <dgm:t>
        <a:bodyPr/>
        <a:lstStyle/>
        <a:p>
          <a:pPr algn="ctr"/>
          <a:endParaRPr lang="pl-PL" sz="1000"/>
        </a:p>
      </dgm:t>
    </dgm:pt>
    <dgm:pt modelId="{61491A35-12A7-433C-92D4-5F30C29C831E}" type="sibTrans" cxnId="{47C72136-D96A-48F3-A941-E09298F99F79}">
      <dgm:prSet/>
      <dgm:spPr/>
      <dgm:t>
        <a:bodyPr/>
        <a:lstStyle/>
        <a:p>
          <a:pPr algn="ctr"/>
          <a:endParaRPr lang="pl-PL" sz="1000"/>
        </a:p>
      </dgm:t>
    </dgm:pt>
    <dgm:pt modelId="{6DAD552B-C754-4727-A8C7-F22800E6CE2A}">
      <dgm:prSet phldrT="[Tekst]" custT="1"/>
      <dgm:spPr/>
      <dgm:t>
        <a:bodyPr/>
        <a:lstStyle/>
        <a:p>
          <a:pPr algn="ctr"/>
          <a:r>
            <a:rPr lang="pl-PL" sz="1000" dirty="0">
              <a:latin typeface="Nexa Light" panose="02000000000000000000" pitchFamily="50" charset="-18"/>
            </a:rPr>
            <a:t>Odcinki sieci komunikacji miejskiej (autobusowej, tramwajowej, trolejbusowej) poddane interwencji w ramach VI osi POIiŚ 2014-2020</a:t>
          </a:r>
        </a:p>
      </dgm:t>
    </dgm:pt>
    <dgm:pt modelId="{19442449-4FA0-4945-B7BD-E95D8AE5C812}" type="parTrans" cxnId="{D001923B-A63E-49B2-9BE2-216337D42857}">
      <dgm:prSet/>
      <dgm:spPr/>
      <dgm:t>
        <a:bodyPr/>
        <a:lstStyle/>
        <a:p>
          <a:pPr algn="ctr"/>
          <a:endParaRPr lang="en-GB" sz="1000"/>
        </a:p>
      </dgm:t>
    </dgm:pt>
    <dgm:pt modelId="{828170C1-FF05-4BDC-BD15-CF85F8C55F20}" type="sibTrans" cxnId="{D001923B-A63E-49B2-9BE2-216337D42857}">
      <dgm:prSet/>
      <dgm:spPr/>
      <dgm:t>
        <a:bodyPr/>
        <a:lstStyle/>
        <a:p>
          <a:pPr algn="ctr"/>
          <a:endParaRPr lang="en-GB" sz="1000"/>
        </a:p>
      </dgm:t>
    </dgm:pt>
    <dgm:pt modelId="{80354577-C54E-4D3C-9050-30C0EC69250F}">
      <dgm:prSet phldrT="[Tekst]" custT="1"/>
      <dgm:spPr/>
      <dgm:t>
        <a:bodyPr/>
        <a:lstStyle/>
        <a:p>
          <a:pPr algn="ctr"/>
          <a:r>
            <a:rPr lang="pl-PL" sz="1000" dirty="0">
              <a:latin typeface="Nexa Light" panose="02000000000000000000" pitchFamily="50" charset="-18"/>
            </a:rPr>
            <a:t>Miasta, w których przeprowadzono inwestycje w transport miejski w ramach VI osi POIiŚ 2014-2020</a:t>
          </a:r>
        </a:p>
      </dgm:t>
    </dgm:pt>
    <dgm:pt modelId="{DBC46F9E-2123-4283-B5C1-0F1A327DBC0E}" type="parTrans" cxnId="{54E7C510-69EE-47B8-8EEC-97CD1E8C1A62}">
      <dgm:prSet/>
      <dgm:spPr/>
      <dgm:t>
        <a:bodyPr/>
        <a:lstStyle/>
        <a:p>
          <a:pPr algn="ctr"/>
          <a:endParaRPr lang="en-GB" sz="1000">
            <a:solidFill>
              <a:srgbClr val="FFB50F"/>
            </a:solidFill>
          </a:endParaRPr>
        </a:p>
      </dgm:t>
    </dgm:pt>
    <dgm:pt modelId="{F65C5DC0-533A-47D6-8732-DB4ED4262E0C}" type="sibTrans" cxnId="{54E7C510-69EE-47B8-8EEC-97CD1E8C1A62}">
      <dgm:prSet/>
      <dgm:spPr/>
      <dgm:t>
        <a:bodyPr/>
        <a:lstStyle/>
        <a:p>
          <a:pPr algn="ctr"/>
          <a:endParaRPr lang="en-GB" sz="1000"/>
        </a:p>
      </dgm:t>
    </dgm:pt>
    <dgm:pt modelId="{36945418-99A8-40B6-A81F-7A2F10EC6F92}" type="pres">
      <dgm:prSet presAssocID="{C8958FD5-02D7-4228-AFED-B8707C3150EE}" presName="hierChild1" presStyleCnt="0">
        <dgm:presLayoutVars>
          <dgm:orgChart val="1"/>
          <dgm:chPref val="1"/>
          <dgm:dir/>
          <dgm:animOne val="branch"/>
          <dgm:animLvl val="lvl"/>
          <dgm:resizeHandles/>
        </dgm:presLayoutVars>
      </dgm:prSet>
      <dgm:spPr/>
    </dgm:pt>
    <dgm:pt modelId="{30B6122F-6F04-4B27-AC27-1369869A442D}" type="pres">
      <dgm:prSet presAssocID="{6C3A1045-D247-4E77-85A6-1B54F7DD5521}" presName="hierRoot1" presStyleCnt="0">
        <dgm:presLayoutVars>
          <dgm:hierBranch val="init"/>
        </dgm:presLayoutVars>
      </dgm:prSet>
      <dgm:spPr/>
    </dgm:pt>
    <dgm:pt modelId="{D7A49001-63EA-4166-BD43-399D2A33EC43}" type="pres">
      <dgm:prSet presAssocID="{6C3A1045-D247-4E77-85A6-1B54F7DD5521}" presName="rootComposite1" presStyleCnt="0"/>
      <dgm:spPr/>
    </dgm:pt>
    <dgm:pt modelId="{E93B53F0-C638-4A26-BA73-05BEA43F7C18}" type="pres">
      <dgm:prSet presAssocID="{6C3A1045-D247-4E77-85A6-1B54F7DD5521}" presName="rootText1" presStyleLbl="node0" presStyleIdx="0" presStyleCnt="1" custScaleY="46120" custLinFactNeighborX="171" custLinFactNeighborY="-12479">
        <dgm:presLayoutVars>
          <dgm:chPref val="3"/>
        </dgm:presLayoutVars>
      </dgm:prSet>
      <dgm:spPr/>
    </dgm:pt>
    <dgm:pt modelId="{791C97E9-3EFA-4A0F-8ECE-EE5CBEF7EE18}" type="pres">
      <dgm:prSet presAssocID="{6C3A1045-D247-4E77-85A6-1B54F7DD5521}" presName="rootConnector1" presStyleLbl="node1" presStyleIdx="0" presStyleCnt="0"/>
      <dgm:spPr/>
    </dgm:pt>
    <dgm:pt modelId="{C02F6213-C3FB-44F0-AD46-70B9DB38B7F5}" type="pres">
      <dgm:prSet presAssocID="{6C3A1045-D247-4E77-85A6-1B54F7DD5521}" presName="hierChild2" presStyleCnt="0"/>
      <dgm:spPr/>
    </dgm:pt>
    <dgm:pt modelId="{7B71E02D-36DA-4B04-8BDE-21C64906CAAD}" type="pres">
      <dgm:prSet presAssocID="{D27861C7-04CE-4AD3-A6E9-0A6D3C889834}" presName="Name37" presStyleLbl="parChTrans1D2" presStyleIdx="0" presStyleCnt="2"/>
      <dgm:spPr/>
    </dgm:pt>
    <dgm:pt modelId="{1E4C7E0C-D4D9-4FAD-871C-6DDF1E181642}" type="pres">
      <dgm:prSet presAssocID="{91BBC9CD-E0FF-47F0-BCFE-BD08BA517DC8}" presName="hierRoot2" presStyleCnt="0">
        <dgm:presLayoutVars>
          <dgm:hierBranch val="init"/>
        </dgm:presLayoutVars>
      </dgm:prSet>
      <dgm:spPr/>
    </dgm:pt>
    <dgm:pt modelId="{0EEFFCFB-060B-4C7B-BFC2-10E8C3E05424}" type="pres">
      <dgm:prSet presAssocID="{91BBC9CD-E0FF-47F0-BCFE-BD08BA517DC8}" presName="rootComposite" presStyleCnt="0"/>
      <dgm:spPr/>
    </dgm:pt>
    <dgm:pt modelId="{94EA3711-EAD4-443D-9C77-301224EB856F}" type="pres">
      <dgm:prSet presAssocID="{91BBC9CD-E0FF-47F0-BCFE-BD08BA517DC8}" presName="rootText" presStyleLbl="node2" presStyleIdx="0" presStyleCnt="2" custScaleY="184481">
        <dgm:presLayoutVars>
          <dgm:chPref val="3"/>
        </dgm:presLayoutVars>
      </dgm:prSet>
      <dgm:spPr/>
    </dgm:pt>
    <dgm:pt modelId="{A38F2770-62D8-4E73-AB8F-88268E68ADBF}" type="pres">
      <dgm:prSet presAssocID="{91BBC9CD-E0FF-47F0-BCFE-BD08BA517DC8}" presName="rootConnector" presStyleLbl="node2" presStyleIdx="0" presStyleCnt="2"/>
      <dgm:spPr/>
    </dgm:pt>
    <dgm:pt modelId="{4295BBC7-EC71-4C15-94CB-3C801A5A37B6}" type="pres">
      <dgm:prSet presAssocID="{91BBC9CD-E0FF-47F0-BCFE-BD08BA517DC8}" presName="hierChild4" presStyleCnt="0"/>
      <dgm:spPr/>
    </dgm:pt>
    <dgm:pt modelId="{A09F44FF-5278-4130-9C8B-463323227FA9}" type="pres">
      <dgm:prSet presAssocID="{19442449-4FA0-4945-B7BD-E95D8AE5C812}" presName="Name37" presStyleLbl="parChTrans1D3" presStyleIdx="0" presStyleCnt="2"/>
      <dgm:spPr/>
    </dgm:pt>
    <dgm:pt modelId="{826A6B77-C24F-4F5A-91AC-9D3C9020C369}" type="pres">
      <dgm:prSet presAssocID="{6DAD552B-C754-4727-A8C7-F22800E6CE2A}" presName="hierRoot2" presStyleCnt="0">
        <dgm:presLayoutVars>
          <dgm:hierBranch val="init"/>
        </dgm:presLayoutVars>
      </dgm:prSet>
      <dgm:spPr/>
    </dgm:pt>
    <dgm:pt modelId="{2BC7443E-41F4-4905-9740-B6686EB11284}" type="pres">
      <dgm:prSet presAssocID="{6DAD552B-C754-4727-A8C7-F22800E6CE2A}" presName="rootComposite" presStyleCnt="0"/>
      <dgm:spPr/>
    </dgm:pt>
    <dgm:pt modelId="{B730D8AD-C829-454A-8D93-6EB288F193DD}" type="pres">
      <dgm:prSet presAssocID="{6DAD552B-C754-4727-A8C7-F22800E6CE2A}" presName="rootText" presStyleLbl="node3" presStyleIdx="0" presStyleCnt="2" custScaleY="77920">
        <dgm:presLayoutVars>
          <dgm:chPref val="3"/>
        </dgm:presLayoutVars>
      </dgm:prSet>
      <dgm:spPr/>
    </dgm:pt>
    <dgm:pt modelId="{79F3E9AC-1B8E-4B14-AF3E-7530E6216595}" type="pres">
      <dgm:prSet presAssocID="{6DAD552B-C754-4727-A8C7-F22800E6CE2A}" presName="rootConnector" presStyleLbl="node3" presStyleIdx="0" presStyleCnt="2"/>
      <dgm:spPr/>
    </dgm:pt>
    <dgm:pt modelId="{379EE6C5-BE26-4715-90E1-0EABC7168CD5}" type="pres">
      <dgm:prSet presAssocID="{6DAD552B-C754-4727-A8C7-F22800E6CE2A}" presName="hierChild4" presStyleCnt="0"/>
      <dgm:spPr/>
    </dgm:pt>
    <dgm:pt modelId="{A030B3D5-5F01-4D96-8226-DDD990B84E41}" type="pres">
      <dgm:prSet presAssocID="{6DAD552B-C754-4727-A8C7-F22800E6CE2A}" presName="hierChild5" presStyleCnt="0"/>
      <dgm:spPr/>
    </dgm:pt>
    <dgm:pt modelId="{DE8469F0-8213-4FEA-BE5E-915CFC076752}" type="pres">
      <dgm:prSet presAssocID="{91BBC9CD-E0FF-47F0-BCFE-BD08BA517DC8}" presName="hierChild5" presStyleCnt="0"/>
      <dgm:spPr/>
    </dgm:pt>
    <dgm:pt modelId="{DCE21B4C-7057-4C93-A331-C0E20AE26000}" type="pres">
      <dgm:prSet presAssocID="{84AF1D55-75F3-4B17-B710-87900BF1C18D}" presName="Name37" presStyleLbl="parChTrans1D2" presStyleIdx="1" presStyleCnt="2"/>
      <dgm:spPr/>
    </dgm:pt>
    <dgm:pt modelId="{A2EDAB86-0EE5-4335-9F23-7FD5E519B14B}" type="pres">
      <dgm:prSet presAssocID="{1D922E7E-CBDC-49E0-AC39-5B590E972BD9}" presName="hierRoot2" presStyleCnt="0">
        <dgm:presLayoutVars>
          <dgm:hierBranch val="init"/>
        </dgm:presLayoutVars>
      </dgm:prSet>
      <dgm:spPr/>
    </dgm:pt>
    <dgm:pt modelId="{C8885472-C234-4CB5-9DED-8EF8183931AD}" type="pres">
      <dgm:prSet presAssocID="{1D922E7E-CBDC-49E0-AC39-5B590E972BD9}" presName="rootComposite" presStyleCnt="0"/>
      <dgm:spPr/>
    </dgm:pt>
    <dgm:pt modelId="{DA940C1B-CB74-413D-8FD2-516BACA533D4}" type="pres">
      <dgm:prSet presAssocID="{1D922E7E-CBDC-49E0-AC39-5B590E972BD9}" presName="rootText" presStyleLbl="node2" presStyleIdx="1" presStyleCnt="2" custScaleY="184759">
        <dgm:presLayoutVars>
          <dgm:chPref val="3"/>
        </dgm:presLayoutVars>
      </dgm:prSet>
      <dgm:spPr/>
    </dgm:pt>
    <dgm:pt modelId="{F787300D-457A-4B02-9AA8-B798F8F47A86}" type="pres">
      <dgm:prSet presAssocID="{1D922E7E-CBDC-49E0-AC39-5B590E972BD9}" presName="rootConnector" presStyleLbl="node2" presStyleIdx="1" presStyleCnt="2"/>
      <dgm:spPr/>
    </dgm:pt>
    <dgm:pt modelId="{4293A256-8A80-4E6B-9AEB-A2C624D548D0}" type="pres">
      <dgm:prSet presAssocID="{1D922E7E-CBDC-49E0-AC39-5B590E972BD9}" presName="hierChild4" presStyleCnt="0"/>
      <dgm:spPr/>
    </dgm:pt>
    <dgm:pt modelId="{EAD3C6A8-D212-49DD-8B31-AB696F16AA42}" type="pres">
      <dgm:prSet presAssocID="{DBC46F9E-2123-4283-B5C1-0F1A327DBC0E}" presName="Name37" presStyleLbl="parChTrans1D3" presStyleIdx="1" presStyleCnt="2"/>
      <dgm:spPr/>
    </dgm:pt>
    <dgm:pt modelId="{247FBF08-6036-4026-9775-AA01C07C8E8D}" type="pres">
      <dgm:prSet presAssocID="{80354577-C54E-4D3C-9050-30C0EC69250F}" presName="hierRoot2" presStyleCnt="0">
        <dgm:presLayoutVars>
          <dgm:hierBranch val="init"/>
        </dgm:presLayoutVars>
      </dgm:prSet>
      <dgm:spPr/>
    </dgm:pt>
    <dgm:pt modelId="{A3381301-147A-4B43-B20C-D23136E23FD3}" type="pres">
      <dgm:prSet presAssocID="{80354577-C54E-4D3C-9050-30C0EC69250F}" presName="rootComposite" presStyleCnt="0"/>
      <dgm:spPr/>
    </dgm:pt>
    <dgm:pt modelId="{63D7BD4F-6507-4060-855A-8EAB27921CA3}" type="pres">
      <dgm:prSet presAssocID="{80354577-C54E-4D3C-9050-30C0EC69250F}" presName="rootText" presStyleLbl="node3" presStyleIdx="1" presStyleCnt="2" custScaleY="79617">
        <dgm:presLayoutVars>
          <dgm:chPref val="3"/>
        </dgm:presLayoutVars>
      </dgm:prSet>
      <dgm:spPr/>
    </dgm:pt>
    <dgm:pt modelId="{860A96E7-92BF-4941-BCFE-A16FEBD25493}" type="pres">
      <dgm:prSet presAssocID="{80354577-C54E-4D3C-9050-30C0EC69250F}" presName="rootConnector" presStyleLbl="node3" presStyleIdx="1" presStyleCnt="2"/>
      <dgm:spPr/>
    </dgm:pt>
    <dgm:pt modelId="{EA2DEA14-16E8-4843-A19C-85C0D56D0FF7}" type="pres">
      <dgm:prSet presAssocID="{80354577-C54E-4D3C-9050-30C0EC69250F}" presName="hierChild4" presStyleCnt="0"/>
      <dgm:spPr/>
    </dgm:pt>
    <dgm:pt modelId="{521379B1-8A80-4BAD-92AA-ECD639E419DF}" type="pres">
      <dgm:prSet presAssocID="{80354577-C54E-4D3C-9050-30C0EC69250F}" presName="hierChild5" presStyleCnt="0"/>
      <dgm:spPr/>
    </dgm:pt>
    <dgm:pt modelId="{1DE59BA1-0312-4355-9705-A268EF7866D3}" type="pres">
      <dgm:prSet presAssocID="{1D922E7E-CBDC-49E0-AC39-5B590E972BD9}" presName="hierChild5" presStyleCnt="0"/>
      <dgm:spPr/>
    </dgm:pt>
    <dgm:pt modelId="{D39C6A35-BCF9-4D3A-B0CD-15295DA50B00}" type="pres">
      <dgm:prSet presAssocID="{6C3A1045-D247-4E77-85A6-1B54F7DD5521}" presName="hierChild3" presStyleCnt="0"/>
      <dgm:spPr/>
    </dgm:pt>
  </dgm:ptLst>
  <dgm:cxnLst>
    <dgm:cxn modelId="{842C0D0A-4C2F-4875-B021-562B0E29DD45}" type="presOf" srcId="{80354577-C54E-4D3C-9050-30C0EC69250F}" destId="{860A96E7-92BF-4941-BCFE-A16FEBD25493}" srcOrd="1" destOrd="0" presId="urn:microsoft.com/office/officeart/2005/8/layout/orgChart1"/>
    <dgm:cxn modelId="{54E7C510-69EE-47B8-8EEC-97CD1E8C1A62}" srcId="{1D922E7E-CBDC-49E0-AC39-5B590E972BD9}" destId="{80354577-C54E-4D3C-9050-30C0EC69250F}" srcOrd="0" destOrd="0" parTransId="{DBC46F9E-2123-4283-B5C1-0F1A327DBC0E}" sibTransId="{F65C5DC0-533A-47D6-8732-DB4ED4262E0C}"/>
    <dgm:cxn modelId="{A3DAFE2B-B074-4EA8-ADD3-6391BE75EEA9}" type="presOf" srcId="{C8958FD5-02D7-4228-AFED-B8707C3150EE}" destId="{36945418-99A8-40B6-A81F-7A2F10EC6F92}" srcOrd="0" destOrd="0" presId="urn:microsoft.com/office/officeart/2005/8/layout/orgChart1"/>
    <dgm:cxn modelId="{47C72136-D96A-48F3-A941-E09298F99F79}" srcId="{6C3A1045-D247-4E77-85A6-1B54F7DD5521}" destId="{1D922E7E-CBDC-49E0-AC39-5B590E972BD9}" srcOrd="1" destOrd="0" parTransId="{84AF1D55-75F3-4B17-B710-87900BF1C18D}" sibTransId="{61491A35-12A7-433C-92D4-5F30C29C831E}"/>
    <dgm:cxn modelId="{D001923B-A63E-49B2-9BE2-216337D42857}" srcId="{91BBC9CD-E0FF-47F0-BCFE-BD08BA517DC8}" destId="{6DAD552B-C754-4727-A8C7-F22800E6CE2A}" srcOrd="0" destOrd="0" parTransId="{19442449-4FA0-4945-B7BD-E95D8AE5C812}" sibTransId="{828170C1-FF05-4BDC-BD15-CF85F8C55F20}"/>
    <dgm:cxn modelId="{B3CCAF60-B55C-4625-87E3-2ACEC294775E}" type="presOf" srcId="{D27861C7-04CE-4AD3-A6E9-0A6D3C889834}" destId="{7B71E02D-36DA-4B04-8BDE-21C64906CAAD}" srcOrd="0" destOrd="0" presId="urn:microsoft.com/office/officeart/2005/8/layout/orgChart1"/>
    <dgm:cxn modelId="{48B4F66A-7AAF-4AFA-8BED-961AC8FD37FD}" srcId="{6C3A1045-D247-4E77-85A6-1B54F7DD5521}" destId="{91BBC9CD-E0FF-47F0-BCFE-BD08BA517DC8}" srcOrd="0" destOrd="0" parTransId="{D27861C7-04CE-4AD3-A6E9-0A6D3C889834}" sibTransId="{3C5F5638-1250-4568-8EF4-B9301327FEC0}"/>
    <dgm:cxn modelId="{16DF7370-BF58-4E4B-9319-46C3CF75BCBF}" type="presOf" srcId="{91BBC9CD-E0FF-47F0-BCFE-BD08BA517DC8}" destId="{A38F2770-62D8-4E73-AB8F-88268E68ADBF}" srcOrd="1" destOrd="0" presId="urn:microsoft.com/office/officeart/2005/8/layout/orgChart1"/>
    <dgm:cxn modelId="{E2C2F973-A31A-43BE-82B7-BC762637C0BC}" type="presOf" srcId="{1D922E7E-CBDC-49E0-AC39-5B590E972BD9}" destId="{F787300D-457A-4B02-9AA8-B798F8F47A86}" srcOrd="1" destOrd="0" presId="urn:microsoft.com/office/officeart/2005/8/layout/orgChart1"/>
    <dgm:cxn modelId="{975A3285-4239-437C-9276-C6DD354A4BD3}" type="presOf" srcId="{6C3A1045-D247-4E77-85A6-1B54F7DD5521}" destId="{E93B53F0-C638-4A26-BA73-05BEA43F7C18}" srcOrd="0" destOrd="0" presId="urn:microsoft.com/office/officeart/2005/8/layout/orgChart1"/>
    <dgm:cxn modelId="{F4F1AC8D-33AF-4102-A8C0-5310E526A184}" type="presOf" srcId="{80354577-C54E-4D3C-9050-30C0EC69250F}" destId="{63D7BD4F-6507-4060-855A-8EAB27921CA3}" srcOrd="0" destOrd="0" presId="urn:microsoft.com/office/officeart/2005/8/layout/orgChart1"/>
    <dgm:cxn modelId="{B2919C92-44EC-4371-ABAB-1EC933EAD92E}" type="presOf" srcId="{84AF1D55-75F3-4B17-B710-87900BF1C18D}" destId="{DCE21B4C-7057-4C93-A331-C0E20AE26000}" srcOrd="0" destOrd="0" presId="urn:microsoft.com/office/officeart/2005/8/layout/orgChart1"/>
    <dgm:cxn modelId="{CA6CF095-2EDC-42D8-8ACF-14E28ABB3898}" type="presOf" srcId="{91BBC9CD-E0FF-47F0-BCFE-BD08BA517DC8}" destId="{94EA3711-EAD4-443D-9C77-301224EB856F}" srcOrd="0" destOrd="0" presId="urn:microsoft.com/office/officeart/2005/8/layout/orgChart1"/>
    <dgm:cxn modelId="{921E9AA5-F020-4304-9C5D-96BA4B4FE346}" type="presOf" srcId="{6DAD552B-C754-4727-A8C7-F22800E6CE2A}" destId="{B730D8AD-C829-454A-8D93-6EB288F193DD}" srcOrd="0" destOrd="0" presId="urn:microsoft.com/office/officeart/2005/8/layout/orgChart1"/>
    <dgm:cxn modelId="{E768B1B8-F011-4606-A20F-9984B37631E0}" type="presOf" srcId="{6DAD552B-C754-4727-A8C7-F22800E6CE2A}" destId="{79F3E9AC-1B8E-4B14-AF3E-7530E6216595}" srcOrd="1" destOrd="0" presId="urn:microsoft.com/office/officeart/2005/8/layout/orgChart1"/>
    <dgm:cxn modelId="{F99872BE-377B-41C3-86F2-6BE51BE320F5}" type="presOf" srcId="{DBC46F9E-2123-4283-B5C1-0F1A327DBC0E}" destId="{EAD3C6A8-D212-49DD-8B31-AB696F16AA42}" srcOrd="0" destOrd="0" presId="urn:microsoft.com/office/officeart/2005/8/layout/orgChart1"/>
    <dgm:cxn modelId="{2EB41DCA-BCD0-4E2B-921B-DD11B6480EFC}" type="presOf" srcId="{6C3A1045-D247-4E77-85A6-1B54F7DD5521}" destId="{791C97E9-3EFA-4A0F-8ECE-EE5CBEF7EE18}" srcOrd="1" destOrd="0" presId="urn:microsoft.com/office/officeart/2005/8/layout/orgChart1"/>
    <dgm:cxn modelId="{4286EDD4-F868-46FF-A604-8888CB7B5280}" srcId="{C8958FD5-02D7-4228-AFED-B8707C3150EE}" destId="{6C3A1045-D247-4E77-85A6-1B54F7DD5521}" srcOrd="0" destOrd="0" parTransId="{76AD87B0-ADB7-4EA5-B331-77832F1BFA38}" sibTransId="{B384A030-E4C5-4E60-99CB-704DA339006C}"/>
    <dgm:cxn modelId="{920BC1E5-566C-4B26-9E51-5C703F410FD4}" type="presOf" srcId="{1D922E7E-CBDC-49E0-AC39-5B590E972BD9}" destId="{DA940C1B-CB74-413D-8FD2-516BACA533D4}" srcOrd="0" destOrd="0" presId="urn:microsoft.com/office/officeart/2005/8/layout/orgChart1"/>
    <dgm:cxn modelId="{51248CEE-0E75-4BED-8809-BB440B35070C}" type="presOf" srcId="{19442449-4FA0-4945-B7BD-E95D8AE5C812}" destId="{A09F44FF-5278-4130-9C8B-463323227FA9}" srcOrd="0" destOrd="0" presId="urn:microsoft.com/office/officeart/2005/8/layout/orgChart1"/>
    <dgm:cxn modelId="{67BB23C0-EDF3-4925-9839-D8B1A7A28B7D}" type="presParOf" srcId="{36945418-99A8-40B6-A81F-7A2F10EC6F92}" destId="{30B6122F-6F04-4B27-AC27-1369869A442D}" srcOrd="0" destOrd="0" presId="urn:microsoft.com/office/officeart/2005/8/layout/orgChart1"/>
    <dgm:cxn modelId="{A0156B44-475B-4A03-BBDA-C7A7006394A2}" type="presParOf" srcId="{30B6122F-6F04-4B27-AC27-1369869A442D}" destId="{D7A49001-63EA-4166-BD43-399D2A33EC43}" srcOrd="0" destOrd="0" presId="urn:microsoft.com/office/officeart/2005/8/layout/orgChart1"/>
    <dgm:cxn modelId="{5B820293-EE45-49B9-A5CF-2A94A31B683D}" type="presParOf" srcId="{D7A49001-63EA-4166-BD43-399D2A33EC43}" destId="{E93B53F0-C638-4A26-BA73-05BEA43F7C18}" srcOrd="0" destOrd="0" presId="urn:microsoft.com/office/officeart/2005/8/layout/orgChart1"/>
    <dgm:cxn modelId="{31C46F59-E9F1-4A35-83A6-A551A8BFFBC7}" type="presParOf" srcId="{D7A49001-63EA-4166-BD43-399D2A33EC43}" destId="{791C97E9-3EFA-4A0F-8ECE-EE5CBEF7EE18}" srcOrd="1" destOrd="0" presId="urn:microsoft.com/office/officeart/2005/8/layout/orgChart1"/>
    <dgm:cxn modelId="{F3E9C244-600D-4C14-B3A5-256F286A3280}" type="presParOf" srcId="{30B6122F-6F04-4B27-AC27-1369869A442D}" destId="{C02F6213-C3FB-44F0-AD46-70B9DB38B7F5}" srcOrd="1" destOrd="0" presId="urn:microsoft.com/office/officeart/2005/8/layout/orgChart1"/>
    <dgm:cxn modelId="{11138172-4AFF-4CE9-AC51-227EAF523707}" type="presParOf" srcId="{C02F6213-C3FB-44F0-AD46-70B9DB38B7F5}" destId="{7B71E02D-36DA-4B04-8BDE-21C64906CAAD}" srcOrd="0" destOrd="0" presId="urn:microsoft.com/office/officeart/2005/8/layout/orgChart1"/>
    <dgm:cxn modelId="{76B16BF3-5259-4CF9-A66A-B7CB8B707456}" type="presParOf" srcId="{C02F6213-C3FB-44F0-AD46-70B9DB38B7F5}" destId="{1E4C7E0C-D4D9-4FAD-871C-6DDF1E181642}" srcOrd="1" destOrd="0" presId="urn:microsoft.com/office/officeart/2005/8/layout/orgChart1"/>
    <dgm:cxn modelId="{68F102D5-12E3-4CC0-83B3-475380D9E506}" type="presParOf" srcId="{1E4C7E0C-D4D9-4FAD-871C-6DDF1E181642}" destId="{0EEFFCFB-060B-4C7B-BFC2-10E8C3E05424}" srcOrd="0" destOrd="0" presId="urn:microsoft.com/office/officeart/2005/8/layout/orgChart1"/>
    <dgm:cxn modelId="{7722D9D5-511D-4131-97D4-ADFF25013073}" type="presParOf" srcId="{0EEFFCFB-060B-4C7B-BFC2-10E8C3E05424}" destId="{94EA3711-EAD4-443D-9C77-301224EB856F}" srcOrd="0" destOrd="0" presId="urn:microsoft.com/office/officeart/2005/8/layout/orgChart1"/>
    <dgm:cxn modelId="{200F1152-7548-4A01-8A41-132E6B2CA6AA}" type="presParOf" srcId="{0EEFFCFB-060B-4C7B-BFC2-10E8C3E05424}" destId="{A38F2770-62D8-4E73-AB8F-88268E68ADBF}" srcOrd="1" destOrd="0" presId="urn:microsoft.com/office/officeart/2005/8/layout/orgChart1"/>
    <dgm:cxn modelId="{F13151E0-AB7A-4B2F-BC6F-E5CECC8145BC}" type="presParOf" srcId="{1E4C7E0C-D4D9-4FAD-871C-6DDF1E181642}" destId="{4295BBC7-EC71-4C15-94CB-3C801A5A37B6}" srcOrd="1" destOrd="0" presId="urn:microsoft.com/office/officeart/2005/8/layout/orgChart1"/>
    <dgm:cxn modelId="{8CEBE523-B268-4669-A14D-E31C2F97CB5E}" type="presParOf" srcId="{4295BBC7-EC71-4C15-94CB-3C801A5A37B6}" destId="{A09F44FF-5278-4130-9C8B-463323227FA9}" srcOrd="0" destOrd="0" presId="urn:microsoft.com/office/officeart/2005/8/layout/orgChart1"/>
    <dgm:cxn modelId="{5B4081B1-6262-42EB-9E71-01AC039E3588}" type="presParOf" srcId="{4295BBC7-EC71-4C15-94CB-3C801A5A37B6}" destId="{826A6B77-C24F-4F5A-91AC-9D3C9020C369}" srcOrd="1" destOrd="0" presId="urn:microsoft.com/office/officeart/2005/8/layout/orgChart1"/>
    <dgm:cxn modelId="{B88C827B-B79C-4399-830C-B35647DFA5D2}" type="presParOf" srcId="{826A6B77-C24F-4F5A-91AC-9D3C9020C369}" destId="{2BC7443E-41F4-4905-9740-B6686EB11284}" srcOrd="0" destOrd="0" presId="urn:microsoft.com/office/officeart/2005/8/layout/orgChart1"/>
    <dgm:cxn modelId="{9F5A03A2-65B8-4475-B880-2037F2607617}" type="presParOf" srcId="{2BC7443E-41F4-4905-9740-B6686EB11284}" destId="{B730D8AD-C829-454A-8D93-6EB288F193DD}" srcOrd="0" destOrd="0" presId="urn:microsoft.com/office/officeart/2005/8/layout/orgChart1"/>
    <dgm:cxn modelId="{6D33A4B4-56FD-4B93-A64F-B78EC7E32E8A}" type="presParOf" srcId="{2BC7443E-41F4-4905-9740-B6686EB11284}" destId="{79F3E9AC-1B8E-4B14-AF3E-7530E6216595}" srcOrd="1" destOrd="0" presId="urn:microsoft.com/office/officeart/2005/8/layout/orgChart1"/>
    <dgm:cxn modelId="{AE1F6C86-FF94-4647-A8ED-EB47F7D34255}" type="presParOf" srcId="{826A6B77-C24F-4F5A-91AC-9D3C9020C369}" destId="{379EE6C5-BE26-4715-90E1-0EABC7168CD5}" srcOrd="1" destOrd="0" presId="urn:microsoft.com/office/officeart/2005/8/layout/orgChart1"/>
    <dgm:cxn modelId="{4D3D793C-F4F5-49FF-8B59-F66ABCCB7B12}" type="presParOf" srcId="{826A6B77-C24F-4F5A-91AC-9D3C9020C369}" destId="{A030B3D5-5F01-4D96-8226-DDD990B84E41}" srcOrd="2" destOrd="0" presId="urn:microsoft.com/office/officeart/2005/8/layout/orgChart1"/>
    <dgm:cxn modelId="{5F5096CD-7801-4A34-A1E2-4D34FAAA77DE}" type="presParOf" srcId="{1E4C7E0C-D4D9-4FAD-871C-6DDF1E181642}" destId="{DE8469F0-8213-4FEA-BE5E-915CFC076752}" srcOrd="2" destOrd="0" presId="urn:microsoft.com/office/officeart/2005/8/layout/orgChart1"/>
    <dgm:cxn modelId="{96A41519-98E6-473D-841A-26CCA09C2F06}" type="presParOf" srcId="{C02F6213-C3FB-44F0-AD46-70B9DB38B7F5}" destId="{DCE21B4C-7057-4C93-A331-C0E20AE26000}" srcOrd="2" destOrd="0" presId="urn:microsoft.com/office/officeart/2005/8/layout/orgChart1"/>
    <dgm:cxn modelId="{B2D70508-A470-4E8F-A71F-53D59F35E4C8}" type="presParOf" srcId="{C02F6213-C3FB-44F0-AD46-70B9DB38B7F5}" destId="{A2EDAB86-0EE5-4335-9F23-7FD5E519B14B}" srcOrd="3" destOrd="0" presId="urn:microsoft.com/office/officeart/2005/8/layout/orgChart1"/>
    <dgm:cxn modelId="{C61E611B-8641-44AF-9DB2-8A3166F0229E}" type="presParOf" srcId="{A2EDAB86-0EE5-4335-9F23-7FD5E519B14B}" destId="{C8885472-C234-4CB5-9DED-8EF8183931AD}" srcOrd="0" destOrd="0" presId="urn:microsoft.com/office/officeart/2005/8/layout/orgChart1"/>
    <dgm:cxn modelId="{CAA19BDA-70BE-4E89-B9F7-9239942CC4BB}" type="presParOf" srcId="{C8885472-C234-4CB5-9DED-8EF8183931AD}" destId="{DA940C1B-CB74-413D-8FD2-516BACA533D4}" srcOrd="0" destOrd="0" presId="urn:microsoft.com/office/officeart/2005/8/layout/orgChart1"/>
    <dgm:cxn modelId="{2A8DC024-49E0-4AB0-8D91-63376BF61A1B}" type="presParOf" srcId="{C8885472-C234-4CB5-9DED-8EF8183931AD}" destId="{F787300D-457A-4B02-9AA8-B798F8F47A86}" srcOrd="1" destOrd="0" presId="urn:microsoft.com/office/officeart/2005/8/layout/orgChart1"/>
    <dgm:cxn modelId="{D55E81C0-ACB6-4665-B310-502817351C89}" type="presParOf" srcId="{A2EDAB86-0EE5-4335-9F23-7FD5E519B14B}" destId="{4293A256-8A80-4E6B-9AEB-A2C624D548D0}" srcOrd="1" destOrd="0" presId="urn:microsoft.com/office/officeart/2005/8/layout/orgChart1"/>
    <dgm:cxn modelId="{6C60367D-032A-4F70-8682-5E1D76416348}" type="presParOf" srcId="{4293A256-8A80-4E6B-9AEB-A2C624D548D0}" destId="{EAD3C6A8-D212-49DD-8B31-AB696F16AA42}" srcOrd="0" destOrd="0" presId="urn:microsoft.com/office/officeart/2005/8/layout/orgChart1"/>
    <dgm:cxn modelId="{EACADAEE-F5F0-4898-971B-804AA4CAA3E2}" type="presParOf" srcId="{4293A256-8A80-4E6B-9AEB-A2C624D548D0}" destId="{247FBF08-6036-4026-9775-AA01C07C8E8D}" srcOrd="1" destOrd="0" presId="urn:microsoft.com/office/officeart/2005/8/layout/orgChart1"/>
    <dgm:cxn modelId="{DBD77382-7B15-4C7F-90A9-384B17033BDD}" type="presParOf" srcId="{247FBF08-6036-4026-9775-AA01C07C8E8D}" destId="{A3381301-147A-4B43-B20C-D23136E23FD3}" srcOrd="0" destOrd="0" presId="urn:microsoft.com/office/officeart/2005/8/layout/orgChart1"/>
    <dgm:cxn modelId="{BF0F39B0-9DC9-4CF5-AE2A-D559AEF71C77}" type="presParOf" srcId="{A3381301-147A-4B43-B20C-D23136E23FD3}" destId="{63D7BD4F-6507-4060-855A-8EAB27921CA3}" srcOrd="0" destOrd="0" presId="urn:microsoft.com/office/officeart/2005/8/layout/orgChart1"/>
    <dgm:cxn modelId="{2DCCE785-2147-4218-BAE4-3F1FABCFFF5B}" type="presParOf" srcId="{A3381301-147A-4B43-B20C-D23136E23FD3}" destId="{860A96E7-92BF-4941-BCFE-A16FEBD25493}" srcOrd="1" destOrd="0" presId="urn:microsoft.com/office/officeart/2005/8/layout/orgChart1"/>
    <dgm:cxn modelId="{DA2DFBE1-BF46-41B5-A080-895303B2FCDA}" type="presParOf" srcId="{247FBF08-6036-4026-9775-AA01C07C8E8D}" destId="{EA2DEA14-16E8-4843-A19C-85C0D56D0FF7}" srcOrd="1" destOrd="0" presId="urn:microsoft.com/office/officeart/2005/8/layout/orgChart1"/>
    <dgm:cxn modelId="{545E636D-360A-4168-A98C-34D658CA8728}" type="presParOf" srcId="{247FBF08-6036-4026-9775-AA01C07C8E8D}" destId="{521379B1-8A80-4BAD-92AA-ECD639E419DF}" srcOrd="2" destOrd="0" presId="urn:microsoft.com/office/officeart/2005/8/layout/orgChart1"/>
    <dgm:cxn modelId="{8D9063DA-0416-4F9B-A78A-DBA43A016929}" type="presParOf" srcId="{A2EDAB86-0EE5-4335-9F23-7FD5E519B14B}" destId="{1DE59BA1-0312-4355-9705-A268EF7866D3}" srcOrd="2" destOrd="0" presId="urn:microsoft.com/office/officeart/2005/8/layout/orgChart1"/>
    <dgm:cxn modelId="{03D678A1-CEBE-4BDE-ACB4-967548B5CDDB}" type="presParOf" srcId="{30B6122F-6F04-4B27-AC27-1369869A442D}" destId="{D39C6A35-BCF9-4D3A-B0CD-15295DA50B00}" srcOrd="2" destOrd="0" presId="urn:microsoft.com/office/officeart/2005/8/layout/orgChar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D3C6A8-D212-49DD-8B31-AB696F16AA42}">
      <dsp:nvSpPr>
        <dsp:cNvPr id="0" name=""/>
        <dsp:cNvSpPr/>
      </dsp:nvSpPr>
      <dsp:spPr>
        <a:xfrm>
          <a:off x="3055881" y="2996618"/>
          <a:ext cx="329103" cy="897449"/>
        </a:xfrm>
        <a:custGeom>
          <a:avLst/>
          <a:gdLst/>
          <a:ahLst/>
          <a:cxnLst/>
          <a:rect l="0" t="0" r="0" b="0"/>
          <a:pathLst>
            <a:path>
              <a:moveTo>
                <a:pt x="0" y="0"/>
              </a:moveTo>
              <a:lnTo>
                <a:pt x="0" y="897449"/>
              </a:lnTo>
              <a:lnTo>
                <a:pt x="329103" y="89744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E21B4C-7057-4C93-A331-C0E20AE26000}">
      <dsp:nvSpPr>
        <dsp:cNvPr id="0" name=""/>
        <dsp:cNvSpPr/>
      </dsp:nvSpPr>
      <dsp:spPr>
        <a:xfrm>
          <a:off x="2609858" y="505941"/>
          <a:ext cx="1323632" cy="463848"/>
        </a:xfrm>
        <a:custGeom>
          <a:avLst/>
          <a:gdLst/>
          <a:ahLst/>
          <a:cxnLst/>
          <a:rect l="0" t="0" r="0" b="0"/>
          <a:pathLst>
            <a:path>
              <a:moveTo>
                <a:pt x="0" y="0"/>
              </a:moveTo>
              <a:lnTo>
                <a:pt x="0" y="233475"/>
              </a:lnTo>
              <a:lnTo>
                <a:pt x="1323632" y="233475"/>
              </a:lnTo>
              <a:lnTo>
                <a:pt x="1323632" y="4638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9F44FF-5278-4130-9C8B-463323227FA9}">
      <dsp:nvSpPr>
        <dsp:cNvPr id="0" name=""/>
        <dsp:cNvSpPr/>
      </dsp:nvSpPr>
      <dsp:spPr>
        <a:xfrm>
          <a:off x="401112" y="2993569"/>
          <a:ext cx="329103" cy="888141"/>
        </a:xfrm>
        <a:custGeom>
          <a:avLst/>
          <a:gdLst/>
          <a:ahLst/>
          <a:cxnLst/>
          <a:rect l="0" t="0" r="0" b="0"/>
          <a:pathLst>
            <a:path>
              <a:moveTo>
                <a:pt x="0" y="0"/>
              </a:moveTo>
              <a:lnTo>
                <a:pt x="0" y="888141"/>
              </a:lnTo>
              <a:lnTo>
                <a:pt x="329103" y="888141"/>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71E02D-36DA-4B04-8BDE-21C64906CAAD}">
      <dsp:nvSpPr>
        <dsp:cNvPr id="0" name=""/>
        <dsp:cNvSpPr/>
      </dsp:nvSpPr>
      <dsp:spPr>
        <a:xfrm>
          <a:off x="1278722" y="505941"/>
          <a:ext cx="1331136" cy="463848"/>
        </a:xfrm>
        <a:custGeom>
          <a:avLst/>
          <a:gdLst/>
          <a:ahLst/>
          <a:cxnLst/>
          <a:rect l="0" t="0" r="0" b="0"/>
          <a:pathLst>
            <a:path>
              <a:moveTo>
                <a:pt x="1331136" y="0"/>
              </a:moveTo>
              <a:lnTo>
                <a:pt x="1331136" y="233475"/>
              </a:lnTo>
              <a:lnTo>
                <a:pt x="0" y="233475"/>
              </a:lnTo>
              <a:lnTo>
                <a:pt x="0" y="46384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3B53F0-C638-4A26-BA73-05BEA43F7C18}">
      <dsp:nvSpPr>
        <dsp:cNvPr id="0" name=""/>
        <dsp:cNvSpPr/>
      </dsp:nvSpPr>
      <dsp:spPr>
        <a:xfrm>
          <a:off x="1512846" y="0"/>
          <a:ext cx="2194024" cy="50594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Pomiar efektu netto</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(analiza kontrfaktyczna)</a:t>
          </a:r>
        </a:p>
      </dsp:txBody>
      <dsp:txXfrm>
        <a:off x="1512846" y="0"/>
        <a:ext cx="2194024" cy="505941"/>
      </dsp:txXfrm>
    </dsp:sp>
    <dsp:sp modelId="{94EA3711-EAD4-443D-9C77-301224EB856F}">
      <dsp:nvSpPr>
        <dsp:cNvPr id="0" name=""/>
        <dsp:cNvSpPr/>
      </dsp:nvSpPr>
      <dsp:spPr>
        <a:xfrm>
          <a:off x="181710" y="969790"/>
          <a:ext cx="2194024" cy="2023778"/>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dirty="0" err="1">
              <a:latin typeface="Nexa Light" panose="02000000000000000000" pitchFamily="50" charset="-18"/>
            </a:rPr>
            <a:t>Propensity</a:t>
          </a:r>
          <a:r>
            <a:rPr lang="pl-PL" sz="1000" b="1" kern="1200" dirty="0">
              <a:latin typeface="Nexa Light" panose="02000000000000000000" pitchFamily="50" charset="-18"/>
            </a:rPr>
            <a:t> </a:t>
          </a:r>
          <a:r>
            <a:rPr lang="pl-PL" sz="1000" b="1" kern="1200" dirty="0" err="1">
              <a:latin typeface="Nexa Light" panose="02000000000000000000" pitchFamily="50" charset="-18"/>
            </a:rPr>
            <a:t>Score</a:t>
          </a:r>
          <a:r>
            <a:rPr lang="pl-PL" sz="1000" b="1" kern="1200" dirty="0">
              <a:latin typeface="Nexa Light" panose="02000000000000000000" pitchFamily="50" charset="-18"/>
            </a:rPr>
            <a:t> </a:t>
          </a:r>
          <a:r>
            <a:rPr lang="pl-PL" sz="1000" b="1" kern="1200" dirty="0" err="1">
              <a:latin typeface="Nexa Light" panose="02000000000000000000" pitchFamily="50" charset="-18"/>
            </a:rPr>
            <a:t>Matching</a:t>
          </a:r>
          <a:endParaRPr lang="pl-PL" sz="1000" b="1" kern="1200" dirty="0">
            <a:latin typeface="Nexa Light" panose="02000000000000000000" pitchFamily="50" charset="-18"/>
          </a:endParaRP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Porównanie między jednostkami z interwencją i bez interwencji</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Metoda klasyczna</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Stosowana dla skrzyżowań, odcinków dróg, ale głównie dla osób</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Możemy wybrać jednostki z dużej populacji, a potem badać lub porównywać duże populacje</a:t>
          </a:r>
        </a:p>
      </dsp:txBody>
      <dsp:txXfrm>
        <a:off x="181710" y="969790"/>
        <a:ext cx="2194024" cy="2023778"/>
      </dsp:txXfrm>
    </dsp:sp>
    <dsp:sp modelId="{B730D8AD-C829-454A-8D93-6EB288F193DD}">
      <dsp:nvSpPr>
        <dsp:cNvPr id="0" name=""/>
        <dsp:cNvSpPr/>
      </dsp:nvSpPr>
      <dsp:spPr>
        <a:xfrm>
          <a:off x="730216" y="3454314"/>
          <a:ext cx="2194024" cy="85479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Odcinki sieci komunikacji miejskiej (autobusowej, tramwajowej, trolejbusowej) poddane interwencji w ramach VI osi POIiŚ 2014-2020</a:t>
          </a:r>
        </a:p>
      </dsp:txBody>
      <dsp:txXfrm>
        <a:off x="730216" y="3454314"/>
        <a:ext cx="2194024" cy="854791"/>
      </dsp:txXfrm>
    </dsp:sp>
    <dsp:sp modelId="{DA940C1B-CB74-413D-8FD2-516BACA533D4}">
      <dsp:nvSpPr>
        <dsp:cNvPr id="0" name=""/>
        <dsp:cNvSpPr/>
      </dsp:nvSpPr>
      <dsp:spPr>
        <a:xfrm>
          <a:off x="2836479" y="969790"/>
          <a:ext cx="2194024" cy="2026828"/>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dirty="0" err="1">
              <a:latin typeface="Nexa Light" panose="02000000000000000000" pitchFamily="50" charset="-18"/>
            </a:rPr>
            <a:t>Stratified</a:t>
          </a:r>
          <a:r>
            <a:rPr lang="pl-PL" sz="1000" b="1" kern="1200" dirty="0">
              <a:latin typeface="Nexa Light" panose="02000000000000000000" pitchFamily="50" charset="-18"/>
            </a:rPr>
            <a:t> </a:t>
          </a:r>
          <a:r>
            <a:rPr lang="pl-PL" sz="1000" b="1" kern="1200" dirty="0" err="1">
              <a:latin typeface="Nexa Light" panose="02000000000000000000" pitchFamily="50" charset="-18"/>
            </a:rPr>
            <a:t>Propensity</a:t>
          </a:r>
          <a:r>
            <a:rPr lang="pl-PL" sz="1000" b="1" kern="1200" dirty="0">
              <a:latin typeface="Nexa Light" panose="02000000000000000000" pitchFamily="50" charset="-18"/>
            </a:rPr>
            <a:t> </a:t>
          </a:r>
          <a:r>
            <a:rPr lang="pl-PL" sz="1000" b="1" kern="1200" dirty="0" err="1">
              <a:latin typeface="Nexa Light" panose="02000000000000000000" pitchFamily="50" charset="-18"/>
            </a:rPr>
            <a:t>Score</a:t>
          </a:r>
          <a:r>
            <a:rPr lang="pl-PL" sz="1000" b="1" kern="1200" dirty="0">
              <a:latin typeface="Nexa Light" panose="02000000000000000000" pitchFamily="50" charset="-18"/>
            </a:rPr>
            <a:t> </a:t>
          </a:r>
          <a:r>
            <a:rPr lang="pl-PL" sz="1000" b="1" kern="1200" dirty="0" err="1">
              <a:latin typeface="Nexa Light" panose="02000000000000000000" pitchFamily="50" charset="-18"/>
            </a:rPr>
            <a:t>Matching</a:t>
          </a:r>
          <a:endParaRPr lang="pl-PL" sz="1000" b="1" kern="1200" dirty="0">
            <a:latin typeface="Nexa Light" panose="02000000000000000000" pitchFamily="50" charset="-18"/>
          </a:endParaRP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Porównanie między jednostkami objętymi interwencją w różnym zakresie, w kilku klasach (grupach)</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Stosowana dla rozwoju społeczno-gospodarczego powiatów</a:t>
          </a:r>
        </a:p>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Wymaga opisania każdej jednostki i dużej populacji (dobrze się sprawdza na modelowaniu na powiatach, gminach)</a:t>
          </a:r>
          <a:endParaRPr lang="pl-PL" sz="1000" kern="1200" dirty="0"/>
        </a:p>
      </dsp:txBody>
      <dsp:txXfrm>
        <a:off x="2836479" y="969790"/>
        <a:ext cx="2194024" cy="2026828"/>
      </dsp:txXfrm>
    </dsp:sp>
    <dsp:sp modelId="{63D7BD4F-6507-4060-855A-8EAB27921CA3}">
      <dsp:nvSpPr>
        <dsp:cNvPr id="0" name=""/>
        <dsp:cNvSpPr/>
      </dsp:nvSpPr>
      <dsp:spPr>
        <a:xfrm>
          <a:off x="3384985" y="3457363"/>
          <a:ext cx="2194024" cy="873408"/>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dirty="0">
              <a:latin typeface="Nexa Light" panose="02000000000000000000" pitchFamily="50" charset="-18"/>
            </a:rPr>
            <a:t>Miasta, w których przeprowadzono inwestycje w transport miejski w ramach VI osi POIiŚ 2014-2020</a:t>
          </a:r>
        </a:p>
      </dsp:txBody>
      <dsp:txXfrm>
        <a:off x="3384985" y="3457363"/>
        <a:ext cx="2194024" cy="87340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68F20CA0BF449D1B85F3FC7AE2D6D12"/>
        <w:category>
          <w:name w:val="Ogólne"/>
          <w:gallery w:val="placeholder"/>
        </w:category>
        <w:types>
          <w:type w:val="bbPlcHdr"/>
        </w:types>
        <w:behaviors>
          <w:behavior w:val="content"/>
        </w:behaviors>
        <w:guid w:val="{F046576E-7519-49E1-B345-7659E9F9029B}"/>
      </w:docPartPr>
      <w:docPartBody>
        <w:p w:rsidR="00C10963" w:rsidRDefault="003A29DA">
          <w:pPr>
            <w:pStyle w:val="568F20CA0BF449D1B85F3FC7AE2D6D12"/>
          </w:pPr>
          <w:r w:rsidRPr="00394C13">
            <w:rPr>
              <w:rStyle w:val="Tekstzastpczy"/>
            </w:rPr>
            <w:t>[Streszczenie]</w:t>
          </w:r>
        </w:p>
      </w:docPartBody>
    </w:docPart>
    <w:docPart>
      <w:docPartPr>
        <w:name w:val="D5B9E94FCDE94846A1E309A088110DEC"/>
        <w:category>
          <w:name w:val="Ogólne"/>
          <w:gallery w:val="placeholder"/>
        </w:category>
        <w:types>
          <w:type w:val="bbPlcHdr"/>
        </w:types>
        <w:behaviors>
          <w:behavior w:val="content"/>
        </w:behaviors>
        <w:guid w:val="{CB0C3036-2EF0-4D3B-B549-6AA28A7D0487}"/>
      </w:docPartPr>
      <w:docPartBody>
        <w:p w:rsidR="00A273EF" w:rsidRDefault="003E5512" w:rsidP="003E5512">
          <w:pPr>
            <w:pStyle w:val="D5B9E94FCDE94846A1E309A088110DEC"/>
          </w:pPr>
          <w:r w:rsidRPr="00394C13">
            <w:rPr>
              <w:rStyle w:val="Tekstzastpczy"/>
            </w:rPr>
            <w:t>[Tytuł]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Lora">
    <w:panose1 w:val="02000503000000020004"/>
    <w:charset w:val="EE"/>
    <w:family w:val="auto"/>
    <w:pitch w:val="variable"/>
    <w:sig w:usb0="800002AF" w:usb1="5000204B" w:usb2="00000000" w:usb3="00000000" w:csb0="00000097" w:csb1="00000000"/>
  </w:font>
  <w:font w:name="Nexa Light">
    <w:panose1 w:val="02000000000000000000"/>
    <w:charset w:val="00"/>
    <w:family w:val="modern"/>
    <w:notTrueType/>
    <w:pitch w:val="variable"/>
    <w:sig w:usb0="A00000AF" w:usb1="4000207B" w:usb2="00000000" w:usb3="00000000" w:csb0="00000093" w:csb1="00000000"/>
  </w:font>
  <w:font w:name="Segoe UI">
    <w:panose1 w:val="020B0502040204020203"/>
    <w:charset w:val="EE"/>
    <w:family w:val="swiss"/>
    <w:pitch w:val="variable"/>
    <w:sig w:usb0="E4002EFF" w:usb1="C000E47F" w:usb2="00000009" w:usb3="00000000" w:csb0="000001FF" w:csb1="00000000"/>
  </w:font>
  <w:font w:name="Corbel">
    <w:panose1 w:val="020B0503020204020204"/>
    <w:charset w:val="EE"/>
    <w:family w:val="swiss"/>
    <w:pitch w:val="variable"/>
    <w:sig w:usb0="A00002EF" w:usb1="4000A44B" w:usb2="00000000" w:usb3="00000000" w:csb0="0000019F" w:csb1="00000000"/>
  </w:font>
  <w:font w:name="Calibri">
    <w:panose1 w:val="020F0502020204030204"/>
    <w:charset w:val="EE"/>
    <w:family w:val="swiss"/>
    <w:pitch w:val="variable"/>
    <w:sig w:usb0="E0002A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9DA"/>
    <w:rsid w:val="00044C75"/>
    <w:rsid w:val="00050A5F"/>
    <w:rsid w:val="00067112"/>
    <w:rsid w:val="000764E9"/>
    <w:rsid w:val="0011256E"/>
    <w:rsid w:val="00130C16"/>
    <w:rsid w:val="00145EEA"/>
    <w:rsid w:val="00153E59"/>
    <w:rsid w:val="001B2A5A"/>
    <w:rsid w:val="001B7128"/>
    <w:rsid w:val="001B7D1C"/>
    <w:rsid w:val="00202A81"/>
    <w:rsid w:val="00203D24"/>
    <w:rsid w:val="002166B9"/>
    <w:rsid w:val="0028363B"/>
    <w:rsid w:val="002A2C9D"/>
    <w:rsid w:val="002B78AB"/>
    <w:rsid w:val="003033D6"/>
    <w:rsid w:val="00314E0D"/>
    <w:rsid w:val="003A29DA"/>
    <w:rsid w:val="003B2506"/>
    <w:rsid w:val="003D3D23"/>
    <w:rsid w:val="003D545D"/>
    <w:rsid w:val="003E5512"/>
    <w:rsid w:val="003F4A36"/>
    <w:rsid w:val="00427411"/>
    <w:rsid w:val="00446D22"/>
    <w:rsid w:val="0045265A"/>
    <w:rsid w:val="00455C61"/>
    <w:rsid w:val="004A07B4"/>
    <w:rsid w:val="004C612D"/>
    <w:rsid w:val="004C6753"/>
    <w:rsid w:val="004F07AF"/>
    <w:rsid w:val="00503007"/>
    <w:rsid w:val="00524F83"/>
    <w:rsid w:val="005425C1"/>
    <w:rsid w:val="005729AC"/>
    <w:rsid w:val="00583770"/>
    <w:rsid w:val="005847EC"/>
    <w:rsid w:val="005B2EA7"/>
    <w:rsid w:val="005F24C8"/>
    <w:rsid w:val="006F5A68"/>
    <w:rsid w:val="007B0656"/>
    <w:rsid w:val="007C744C"/>
    <w:rsid w:val="007E455C"/>
    <w:rsid w:val="007F3215"/>
    <w:rsid w:val="008B3274"/>
    <w:rsid w:val="008C3389"/>
    <w:rsid w:val="00902204"/>
    <w:rsid w:val="0090240D"/>
    <w:rsid w:val="00923DF2"/>
    <w:rsid w:val="00933BCC"/>
    <w:rsid w:val="00942235"/>
    <w:rsid w:val="00987F8D"/>
    <w:rsid w:val="009F21D5"/>
    <w:rsid w:val="00A068D1"/>
    <w:rsid w:val="00A201B5"/>
    <w:rsid w:val="00A273EF"/>
    <w:rsid w:val="00B048A8"/>
    <w:rsid w:val="00B24FF5"/>
    <w:rsid w:val="00B556AA"/>
    <w:rsid w:val="00B675B6"/>
    <w:rsid w:val="00B70F2E"/>
    <w:rsid w:val="00BA6B5B"/>
    <w:rsid w:val="00BB5680"/>
    <w:rsid w:val="00BE77C2"/>
    <w:rsid w:val="00BF12D5"/>
    <w:rsid w:val="00C041EC"/>
    <w:rsid w:val="00C10963"/>
    <w:rsid w:val="00CA4E5B"/>
    <w:rsid w:val="00CE581F"/>
    <w:rsid w:val="00CF4E4C"/>
    <w:rsid w:val="00CF5EAB"/>
    <w:rsid w:val="00D10649"/>
    <w:rsid w:val="00DB105A"/>
    <w:rsid w:val="00DF1746"/>
    <w:rsid w:val="00E16661"/>
    <w:rsid w:val="00E574C2"/>
    <w:rsid w:val="00EB2D81"/>
    <w:rsid w:val="00ED5889"/>
    <w:rsid w:val="00FC268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3E5512"/>
    <w:rPr>
      <w:color w:val="808080"/>
    </w:rPr>
  </w:style>
  <w:style w:type="paragraph" w:customStyle="1" w:styleId="F17E658F3D7344A6ABD743186B47DB44">
    <w:name w:val="F17E658F3D7344A6ABD743186B47DB44"/>
  </w:style>
  <w:style w:type="paragraph" w:customStyle="1" w:styleId="568F20CA0BF449D1B85F3FC7AE2D6D12">
    <w:name w:val="568F20CA0BF449D1B85F3FC7AE2D6D12"/>
  </w:style>
  <w:style w:type="paragraph" w:customStyle="1" w:styleId="D5B9E94FCDE94846A1E309A088110DEC">
    <w:name w:val="D5B9E94FCDE94846A1E309A088110DEC"/>
    <w:rsid w:val="003E551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yw pakietu Office">
  <a:themeElements>
    <a:clrScheme name="wolanski">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a:majorFont>
        <a:latin typeface="Nexa Light"/>
        <a:ea typeface=""/>
        <a:cs typeface=""/>
      </a:majorFont>
      <a:minorFont>
        <a:latin typeface="Lora"/>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Wolański Corp.">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ński Corp.">
    <a:majorFont>
      <a:latin typeface="Nexa Light"/>
      <a:ea typeface=""/>
      <a:cs typeface=""/>
    </a:majorFont>
    <a:minorFont>
      <a:latin typeface="Nexa Light"/>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wolanski">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a:majorFont>
      <a:latin typeface="Nexa Light"/>
      <a:ea typeface=""/>
      <a:cs typeface=""/>
    </a:majorFont>
    <a:minorFont>
      <a:latin typeface="Lora"/>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wolanski">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nski">
    <a:majorFont>
      <a:latin typeface="Nexa Light"/>
      <a:ea typeface=""/>
      <a:cs typeface=""/>
    </a:majorFont>
    <a:minorFont>
      <a:latin typeface="Lora"/>
      <a:ea typeface=""/>
      <a:cs typeface=""/>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Wolański Corp.">
    <a:dk1>
      <a:sysClr val="windowText" lastClr="000000"/>
    </a:dk1>
    <a:lt1>
      <a:srgbClr val="FFFFFF"/>
    </a:lt1>
    <a:dk2>
      <a:srgbClr val="44546A"/>
    </a:dk2>
    <a:lt2>
      <a:srgbClr val="EFEFEF"/>
    </a:lt2>
    <a:accent1>
      <a:srgbClr val="B0B0B0"/>
    </a:accent1>
    <a:accent2>
      <a:srgbClr val="FFC800"/>
    </a:accent2>
    <a:accent3>
      <a:srgbClr val="818181"/>
    </a:accent3>
    <a:accent4>
      <a:srgbClr val="DBDBDB"/>
    </a:accent4>
    <a:accent5>
      <a:srgbClr val="FF8C00"/>
    </a:accent5>
    <a:accent6>
      <a:srgbClr val="000000"/>
    </a:accent6>
    <a:hlink>
      <a:srgbClr val="0563C1"/>
    </a:hlink>
    <a:folHlink>
      <a:srgbClr val="954F72"/>
    </a:folHlink>
  </a:clrScheme>
  <a:fontScheme name="Wolański Corp.">
    <a:majorFont>
      <a:latin typeface="Nexa Light"/>
      <a:ea typeface=""/>
      <a:cs typeface=""/>
    </a:majorFont>
    <a:minorFont>
      <a:latin typeface="Nex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raport końcowy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C96A78-3759-458F-8115-EE3E29998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110</Pages>
  <Words>34319</Words>
  <Characters>205917</Characters>
  <Application>Microsoft Office Word</Application>
  <DocSecurity>0</DocSecurity>
  <Lines>1715</Lines>
  <Paragraphs>479</Paragraphs>
  <ScaleCrop>false</ScaleCrop>
  <HeadingPairs>
    <vt:vector size="2" baseType="variant">
      <vt:variant>
        <vt:lpstr>Tytuł</vt:lpstr>
      </vt:variant>
      <vt:variant>
        <vt:i4>1</vt:i4>
      </vt:variant>
    </vt:vector>
  </HeadingPairs>
  <TitlesOfParts>
    <vt:vector size="1" baseType="lpstr">
      <vt:lpstr>OCENA POPRAWY PŁYNNOŚCI I BEZPIECZEŃSTWA RUCHU W RAMACH VI OSI PRIORYTETOWEJ POIIŚ 2014-2020</vt:lpstr>
    </vt:vector>
  </TitlesOfParts>
  <Company/>
  <LinksUpToDate>false</LinksUpToDate>
  <CharactersWithSpaces>239757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OCENA POPRAWY PŁYNNOŚCI I BEZPIECZEŃSTWA RUCHU W RAMACH VI OSI PRIORYTETOWEJ POIIŚ 2014-2020</dc:title>
  <dc:subject/>
  <dc:creator>Bartosz Jakubowski</dc:creator>
  <cp:keywords/>
  <dc:description/>
  <cp:lastModifiedBy>Mirosław Czerliński</cp:lastModifiedBy>
  <cp:revision>3</cp:revision>
  <cp:lastPrinted>2019-12-12T14:07:00Z</cp:lastPrinted>
  <dcterms:created xsi:type="dcterms:W3CDTF">2019-12-13T09:57:00Z</dcterms:created>
  <dcterms:modified xsi:type="dcterms:W3CDTF">2019-12-13T09:58:00Z</dcterms:modified>
</cp:coreProperties>
</file>