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A3" w:rsidRPr="005D77A3" w:rsidRDefault="005D77A3" w:rsidP="005A6E07">
      <w:pPr>
        <w:pStyle w:val="Akapitzlist"/>
        <w:spacing w:before="100" w:after="120" w:line="24" w:lineRule="atLeast"/>
        <w:ind w:left="0"/>
        <w:jc w:val="both"/>
        <w:rPr>
          <w:b/>
        </w:rPr>
      </w:pPr>
      <w:r w:rsidRPr="005D77A3">
        <w:rPr>
          <w:b/>
        </w:rPr>
        <w:t>Załącznik</w:t>
      </w:r>
      <w:r w:rsidR="005A6E07">
        <w:rPr>
          <w:b/>
        </w:rPr>
        <w:t xml:space="preserve"> 4.1</w:t>
      </w:r>
      <w:r w:rsidRPr="005D77A3">
        <w:rPr>
          <w:b/>
        </w:rPr>
        <w:t xml:space="preserve"> - Oświadczenia potwierdzające zgodnoś</w:t>
      </w:r>
      <w:r w:rsidR="006E2B77">
        <w:rPr>
          <w:b/>
        </w:rPr>
        <w:t>ć przedsięwzięcia z zasadą DNSH</w:t>
      </w:r>
    </w:p>
    <w:p w:rsidR="00B42686" w:rsidRDefault="00B42686"/>
    <w:p w:rsidR="005D77A3" w:rsidRDefault="005D77A3" w:rsidP="005D77A3">
      <w:pPr>
        <w:pStyle w:val="Akapitzlist"/>
        <w:ind w:left="0"/>
        <w:jc w:val="both"/>
        <w:rPr>
          <w:kern w:val="20"/>
          <w:szCs w:val="24"/>
        </w:rPr>
      </w:pPr>
      <w:r w:rsidRPr="005D77A3">
        <w:rPr>
          <w:kern w:val="20"/>
          <w:szCs w:val="24"/>
        </w:rPr>
        <w:t xml:space="preserve">W zakresie dotyczącym potwierdzenia zgodności realizacji </w:t>
      </w:r>
      <w:r>
        <w:rPr>
          <w:kern w:val="20"/>
          <w:szCs w:val="24"/>
        </w:rPr>
        <w:t>przedsięwzięcia</w:t>
      </w:r>
      <w:r w:rsidRPr="005D77A3">
        <w:rPr>
          <w:kern w:val="20"/>
          <w:szCs w:val="24"/>
        </w:rPr>
        <w:t xml:space="preserve"> z zasadą DNSH</w:t>
      </w:r>
      <w:r>
        <w:rPr>
          <w:kern w:val="20"/>
          <w:szCs w:val="24"/>
        </w:rPr>
        <w:t>,</w:t>
      </w:r>
      <w:r w:rsidRPr="005D77A3">
        <w:rPr>
          <w:kern w:val="20"/>
          <w:szCs w:val="24"/>
        </w:rPr>
        <w:t xml:space="preserve"> </w:t>
      </w:r>
      <w:r>
        <w:rPr>
          <w:kern w:val="20"/>
          <w:szCs w:val="24"/>
        </w:rPr>
        <w:t>W</w:t>
      </w:r>
      <w:r w:rsidRPr="005D77A3">
        <w:rPr>
          <w:kern w:val="20"/>
          <w:szCs w:val="24"/>
        </w:rPr>
        <w:t xml:space="preserve">nioskodawca oświadcza, </w:t>
      </w:r>
      <w:r w:rsidR="005A6E07" w:rsidRPr="005A6E07">
        <w:rPr>
          <w:kern w:val="20"/>
          <w:szCs w:val="24"/>
        </w:rPr>
        <w:t>że</w:t>
      </w:r>
      <w:r w:rsidRPr="005A6E07">
        <w:rPr>
          <w:vertAlign w:val="superscript"/>
        </w:rPr>
        <w:footnoteReference w:id="1"/>
      </w:r>
      <w:r w:rsidRPr="005D77A3">
        <w:rPr>
          <w:kern w:val="20"/>
          <w:szCs w:val="24"/>
        </w:rPr>
        <w:t>:</w:t>
      </w:r>
    </w:p>
    <w:p w:rsidR="005D77A3" w:rsidRPr="005D77A3" w:rsidRDefault="005D77A3" w:rsidP="005D77A3">
      <w:pPr>
        <w:pStyle w:val="Akapitzlist"/>
        <w:ind w:left="0"/>
        <w:jc w:val="both"/>
        <w:rPr>
          <w:kern w:val="20"/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contextualSpacing/>
        <w:jc w:val="both"/>
        <w:rPr>
          <w:szCs w:val="24"/>
        </w:rPr>
      </w:pPr>
      <w:r w:rsidRPr="005A6E07">
        <w:rPr>
          <w:kern w:val="20"/>
          <w:szCs w:val="24"/>
        </w:rPr>
        <w:t>Przedsięwzięcie jest i będzie zgodne z celem środowiskowym:</w:t>
      </w:r>
      <w:bookmarkStart w:id="0" w:name="_GoBack"/>
      <w:bookmarkEnd w:id="0"/>
      <w:r w:rsidRPr="005A6E07">
        <w:rPr>
          <w:kern w:val="20"/>
          <w:szCs w:val="24"/>
        </w:rPr>
        <w:t xml:space="preserve"> „Łagodzenie zmian klimatu”</w:t>
      </w:r>
      <w:r w:rsidRPr="005A6E07">
        <w:rPr>
          <w:rStyle w:val="Odwoanieprzypisudolnego"/>
          <w:kern w:val="20"/>
          <w:szCs w:val="24"/>
        </w:rPr>
        <w:t xml:space="preserve"> </w:t>
      </w:r>
      <w:r w:rsidRPr="005A6E07">
        <w:rPr>
          <w:rStyle w:val="Odwoanieprzypisudolnego"/>
          <w:kern w:val="20"/>
          <w:szCs w:val="24"/>
        </w:rPr>
        <w:footnoteReference w:id="2"/>
      </w:r>
      <w:r w:rsidRPr="005A6E07">
        <w:rPr>
          <w:kern w:val="20"/>
          <w:szCs w:val="24"/>
        </w:rPr>
        <w:t xml:space="preserve"> i nie będzie przeznaczone do transportu paliw kopalnych</w:t>
      </w:r>
      <w:r w:rsidRPr="005A6E07">
        <w:rPr>
          <w:rStyle w:val="Odwoanieprzypisudolnego"/>
          <w:kern w:val="20"/>
          <w:szCs w:val="24"/>
        </w:rPr>
        <w:footnoteReference w:id="3"/>
      </w:r>
      <w:r w:rsidRPr="005A6E07">
        <w:rPr>
          <w:kern w:val="20"/>
          <w:szCs w:val="24"/>
        </w:rPr>
        <w:t xml:space="preserve">. 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kern w:val="20"/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i/>
          <w:kern w:val="20"/>
          <w:szCs w:val="24"/>
        </w:rPr>
      </w:pPr>
      <w:r w:rsidRPr="005A6E07">
        <w:rPr>
          <w:i/>
          <w:kern w:val="20"/>
          <w:szCs w:val="24"/>
        </w:rPr>
        <w:t>Uzasadnienie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kern w:val="20"/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contextualSpacing/>
        <w:jc w:val="both"/>
        <w:rPr>
          <w:szCs w:val="24"/>
        </w:rPr>
      </w:pPr>
      <w:r w:rsidRPr="005A6E07">
        <w:rPr>
          <w:kern w:val="20"/>
          <w:szCs w:val="24"/>
        </w:rPr>
        <w:t>Przedsięwzięcie jest i będzie zgodne z celem środowiskowym: „Adaptacja do zmian klimatu”</w:t>
      </w:r>
      <w:r w:rsidRPr="005A6E07">
        <w:rPr>
          <w:rStyle w:val="Odwoanieprzypisudolnego"/>
          <w:kern w:val="20"/>
          <w:szCs w:val="24"/>
        </w:rPr>
        <w:footnoteReference w:id="4"/>
      </w:r>
      <w:r w:rsidRPr="005A6E07">
        <w:rPr>
          <w:szCs w:val="24"/>
        </w:rPr>
        <w:t xml:space="preserve">. 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i/>
          <w:kern w:val="20"/>
          <w:szCs w:val="24"/>
        </w:rPr>
      </w:pPr>
      <w:r w:rsidRPr="005A6E07">
        <w:rPr>
          <w:i/>
          <w:kern w:val="20"/>
          <w:szCs w:val="24"/>
        </w:rPr>
        <w:t>Uzasadnienie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contextualSpacing/>
        <w:jc w:val="both"/>
        <w:rPr>
          <w:szCs w:val="24"/>
        </w:rPr>
      </w:pPr>
      <w:r w:rsidRPr="005A6E07">
        <w:rPr>
          <w:szCs w:val="24"/>
        </w:rPr>
        <w:t>Przedsięwzięcie jest i będzie zgodne z celem środowiskowym: „Zrównoważone wykorzystywanie i ochrona zasobów wodnych i morskich”.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Default="005A6E07" w:rsidP="005A6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E07">
        <w:rPr>
          <w:rFonts w:ascii="Times New Roman" w:eastAsia="Calibri" w:hAnsi="Times New Roman" w:cs="Times New Roman"/>
          <w:i/>
          <w:kern w:val="20"/>
          <w:sz w:val="24"/>
          <w:szCs w:val="24"/>
        </w:rPr>
        <w:t>Uzasadnienie</w:t>
      </w:r>
      <w:r w:rsidRPr="005A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07" w:rsidRDefault="005A6E07" w:rsidP="005A6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contextualSpacing/>
        <w:jc w:val="both"/>
        <w:rPr>
          <w:szCs w:val="24"/>
        </w:rPr>
      </w:pPr>
      <w:r w:rsidRPr="005A6E07">
        <w:rPr>
          <w:kern w:val="20"/>
          <w:szCs w:val="24"/>
        </w:rPr>
        <w:t>Przedsięwzięcie jest i będzie zgodne z celem: „Gospodarka o obiegu zamkniętym, w tym zapobieganie powstawaniu odpadów i recykling”.</w:t>
      </w:r>
      <w:r w:rsidRPr="005A6E07">
        <w:rPr>
          <w:szCs w:val="24"/>
        </w:rPr>
        <w:t xml:space="preserve"> 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i/>
          <w:kern w:val="20"/>
          <w:szCs w:val="24"/>
        </w:rPr>
      </w:pPr>
      <w:r w:rsidRPr="005A6E07">
        <w:rPr>
          <w:i/>
          <w:kern w:val="20"/>
          <w:szCs w:val="24"/>
        </w:rPr>
        <w:t>Uzasadnienie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ind w:left="426" w:hanging="426"/>
        <w:contextualSpacing/>
        <w:jc w:val="both"/>
        <w:rPr>
          <w:szCs w:val="24"/>
        </w:rPr>
      </w:pPr>
      <w:r w:rsidRPr="005A6E07">
        <w:rPr>
          <w:kern w:val="20"/>
          <w:szCs w:val="24"/>
        </w:rPr>
        <w:t xml:space="preserve">Przedsięwzięcie jest i będzie zgodne z celem: „Zapobieganie zanieczyszczeniom powietrza, wody lub gleby i jego kontrola”. 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i/>
          <w:kern w:val="20"/>
          <w:szCs w:val="24"/>
        </w:rPr>
      </w:pPr>
      <w:r w:rsidRPr="005A6E07">
        <w:rPr>
          <w:i/>
          <w:kern w:val="20"/>
          <w:szCs w:val="24"/>
        </w:rPr>
        <w:t>Uzasadnienie</w:t>
      </w: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5A6E07" w:rsidRPr="005A6E07" w:rsidRDefault="005A6E07" w:rsidP="005A6E07">
      <w:pPr>
        <w:pStyle w:val="Akapitzlist"/>
        <w:tabs>
          <w:tab w:val="left" w:pos="426"/>
          <w:tab w:val="left" w:pos="567"/>
        </w:tabs>
        <w:ind w:left="426"/>
        <w:jc w:val="both"/>
        <w:rPr>
          <w:kern w:val="20"/>
          <w:szCs w:val="24"/>
        </w:rPr>
      </w:pPr>
    </w:p>
    <w:p w:rsidR="005A6E07" w:rsidRPr="005A6E07" w:rsidRDefault="005A6E07" w:rsidP="005A6E07">
      <w:pPr>
        <w:pStyle w:val="Akapitzlist"/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contextualSpacing/>
        <w:jc w:val="both"/>
        <w:rPr>
          <w:kern w:val="20"/>
          <w:szCs w:val="24"/>
        </w:rPr>
      </w:pPr>
      <w:r w:rsidRPr="005A6E07">
        <w:rPr>
          <w:kern w:val="20"/>
          <w:szCs w:val="24"/>
        </w:rPr>
        <w:t>Przedsięwzięcie jest i będzie zgodne z celem: „Ochrona i odbudowa bioróżnorodności i ekosystemów”.</w:t>
      </w:r>
    </w:p>
    <w:p w:rsid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i/>
          <w:kern w:val="20"/>
          <w:szCs w:val="24"/>
        </w:rPr>
      </w:pPr>
    </w:p>
    <w:p w:rsidR="005D77A3" w:rsidRPr="005A6E07" w:rsidRDefault="005A6E07" w:rsidP="005A6E07">
      <w:pPr>
        <w:pStyle w:val="Akapitzlist"/>
        <w:tabs>
          <w:tab w:val="left" w:pos="426"/>
          <w:tab w:val="left" w:pos="567"/>
        </w:tabs>
        <w:ind w:left="0"/>
        <w:jc w:val="both"/>
        <w:rPr>
          <w:szCs w:val="24"/>
        </w:rPr>
      </w:pPr>
      <w:r w:rsidRPr="005A6E07">
        <w:rPr>
          <w:i/>
          <w:kern w:val="20"/>
          <w:szCs w:val="24"/>
        </w:rPr>
        <w:t>Uzasadnienie</w:t>
      </w:r>
    </w:p>
    <w:sectPr w:rsidR="005D77A3" w:rsidRPr="005A6E07" w:rsidSect="005A6E0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76" w:rsidRDefault="00465076" w:rsidP="005D77A3">
      <w:pPr>
        <w:spacing w:after="0" w:line="240" w:lineRule="auto"/>
      </w:pPr>
      <w:r>
        <w:separator/>
      </w:r>
    </w:p>
  </w:endnote>
  <w:endnote w:type="continuationSeparator" w:id="0">
    <w:p w:rsidR="00465076" w:rsidRDefault="00465076" w:rsidP="005D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76" w:rsidRDefault="00465076" w:rsidP="005D77A3">
      <w:pPr>
        <w:spacing w:after="0" w:line="240" w:lineRule="auto"/>
      </w:pPr>
      <w:r>
        <w:separator/>
      </w:r>
    </w:p>
  </w:footnote>
  <w:footnote w:type="continuationSeparator" w:id="0">
    <w:p w:rsidR="00465076" w:rsidRDefault="00465076" w:rsidP="005D77A3">
      <w:pPr>
        <w:spacing w:after="0" w:line="240" w:lineRule="auto"/>
      </w:pPr>
      <w:r>
        <w:continuationSeparator/>
      </w:r>
    </w:p>
  </w:footnote>
  <w:footnote w:id="1">
    <w:p w:rsidR="005D77A3" w:rsidRPr="005A6E07" w:rsidRDefault="005D77A3" w:rsidP="005A6E07">
      <w:pPr>
        <w:pStyle w:val="Tekstprzypisudolnego"/>
        <w:jc w:val="both"/>
        <w:rPr>
          <w:rFonts w:ascii="Verdana" w:hAnsi="Verdana"/>
          <w:sz w:val="16"/>
          <w:szCs w:val="16"/>
          <w:u w:val="none"/>
          <w:lang w:val="pl-PL"/>
        </w:rPr>
      </w:pPr>
      <w:r w:rsidRPr="005D759B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5D759B">
        <w:rPr>
          <w:rFonts w:ascii="Verdana" w:hAnsi="Verdana"/>
          <w:sz w:val="16"/>
          <w:szCs w:val="16"/>
          <w:u w:val="none"/>
        </w:rPr>
        <w:t xml:space="preserve"> </w:t>
      </w:r>
      <w:r w:rsidRPr="005D759B">
        <w:rPr>
          <w:rFonts w:ascii="Verdana" w:hAnsi="Verdana"/>
          <w:sz w:val="16"/>
          <w:szCs w:val="16"/>
          <w:u w:val="none"/>
          <w:lang w:val="pl-PL"/>
        </w:rPr>
        <w:t xml:space="preserve">Należy odnieść się do </w:t>
      </w:r>
      <w:r w:rsidRPr="005A6E07">
        <w:rPr>
          <w:rFonts w:ascii="Verdana" w:hAnsi="Verdana"/>
          <w:sz w:val="16"/>
          <w:szCs w:val="16"/>
          <w:u w:val="none"/>
          <w:lang w:val="pl-PL"/>
        </w:rPr>
        <w:t>wymogów określonych w dokumentach:</w:t>
      </w:r>
    </w:p>
    <w:p w:rsidR="005D77A3" w:rsidRPr="005A6E07" w:rsidRDefault="005D77A3" w:rsidP="005A6E07">
      <w:pPr>
        <w:pStyle w:val="Tekstprzypisudolnego"/>
        <w:numPr>
          <w:ilvl w:val="0"/>
          <w:numId w:val="3"/>
        </w:numPr>
        <w:jc w:val="both"/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5A6E07">
        <w:rPr>
          <w:rFonts w:ascii="Verdana" w:hAnsi="Verdana"/>
          <w:sz w:val="16"/>
          <w:szCs w:val="16"/>
          <w:u w:val="none"/>
          <w:lang w:val="pl-PL"/>
        </w:rPr>
        <w:t>„</w:t>
      </w:r>
      <w:r w:rsidRPr="005A6E07">
        <w:rPr>
          <w:rFonts w:ascii="Verdana" w:hAnsi="Verdana"/>
          <w:sz w:val="16"/>
          <w:szCs w:val="16"/>
          <w:u w:val="none"/>
        </w:rPr>
        <w:t>Ocena DNSH reform i inwestycji (wiązek projektów) przedstawionych w KPO”</w:t>
      </w:r>
      <w:r w:rsidRPr="005A6E07">
        <w:rPr>
          <w:rFonts w:ascii="Verdana" w:hAnsi="Verdana"/>
          <w:kern w:val="20"/>
          <w:sz w:val="16"/>
          <w:szCs w:val="16"/>
          <w:u w:val="none"/>
        </w:rPr>
        <w:t xml:space="preserve"> </w:t>
      </w:r>
      <w:hyperlink r:id="rId1" w:history="1">
        <w:r w:rsidRPr="005A6E07">
          <w:rPr>
            <w:rStyle w:val="Hipercze"/>
            <w:rFonts w:ascii="Verdana" w:hAnsi="Verdana"/>
            <w:sz w:val="16"/>
            <w:szCs w:val="16"/>
            <w:u w:val="none"/>
          </w:rPr>
          <w:t>https://www.gov.pl/attachment/035d99d8-c439-4c84-b77b-f2cb5d4772e8</w:t>
        </w:r>
      </w:hyperlink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</w:p>
    <w:p w:rsidR="005D77A3" w:rsidRPr="005A6E07" w:rsidRDefault="005D77A3" w:rsidP="005A6E07">
      <w:pPr>
        <w:pStyle w:val="Tekstprzypisudolnego"/>
        <w:numPr>
          <w:ilvl w:val="0"/>
          <w:numId w:val="3"/>
        </w:numPr>
        <w:jc w:val="both"/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Council</w:t>
      </w:r>
      <w:proofErr w:type="spellEnd"/>
      <w:r w:rsidRPr="005A6E0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Implementing</w:t>
      </w:r>
      <w:proofErr w:type="spellEnd"/>
      <w:r w:rsidRPr="005A6E0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Decision</w:t>
      </w:r>
      <w:proofErr w:type="spellEnd"/>
      <w:r w:rsidRPr="005A6E07">
        <w:rPr>
          <w:rFonts w:ascii="Verdana" w:hAnsi="Verdana"/>
          <w:kern w:val="20"/>
          <w:sz w:val="16"/>
          <w:szCs w:val="16"/>
          <w:u w:val="none"/>
        </w:rPr>
        <w:t xml:space="preserve"> (CID</w:t>
      </w:r>
      <w:r w:rsidRPr="005A6E07">
        <w:rPr>
          <w:rFonts w:ascii="Verdana" w:hAnsi="Verdana"/>
          <w:kern w:val="20"/>
          <w:sz w:val="16"/>
          <w:szCs w:val="16"/>
          <w:u w:val="none"/>
          <w:lang w:val="pl-PL"/>
        </w:rPr>
        <w:t>)</w:t>
      </w:r>
      <w:r w:rsidRPr="005A6E07">
        <w:rPr>
          <w:rFonts w:ascii="Verdana" w:hAnsi="Verdana"/>
          <w:kern w:val="20"/>
          <w:sz w:val="16"/>
          <w:szCs w:val="16"/>
        </w:rPr>
        <w:t xml:space="preserve"> </w:t>
      </w:r>
      <w:hyperlink r:id="rId2" w:history="1">
        <w:r w:rsidRPr="005A6E07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5A6E07">
        <w:rPr>
          <w:rFonts w:ascii="Verdana" w:hAnsi="Verdana"/>
          <w:sz w:val="16"/>
          <w:szCs w:val="16"/>
          <w:u w:val="none"/>
        </w:rPr>
        <w:t>oraz ustalenia operacyjne w sprawie KPO</w:t>
      </w:r>
      <w:r w:rsidRPr="005A6E07">
        <w:rPr>
          <w:rFonts w:ascii="Verdana" w:hAnsi="Verdana"/>
          <w:sz w:val="16"/>
          <w:szCs w:val="16"/>
          <w:u w:val="none"/>
          <w:lang w:val="pl-PL"/>
        </w:rPr>
        <w:t xml:space="preserve">  </w:t>
      </w:r>
      <w:hyperlink r:id="rId3" w:history="1">
        <w:r w:rsidRPr="005A6E07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</w:p>
    <w:p w:rsidR="005D77A3" w:rsidRPr="005A6E07" w:rsidRDefault="005D77A3" w:rsidP="005A6E07">
      <w:pPr>
        <w:pStyle w:val="Tekstprzypisudolnego"/>
        <w:numPr>
          <w:ilvl w:val="0"/>
          <w:numId w:val="3"/>
        </w:numPr>
        <w:jc w:val="both"/>
        <w:rPr>
          <w:rFonts w:ascii="Verdana" w:hAnsi="Verdana"/>
          <w:sz w:val="16"/>
          <w:szCs w:val="16"/>
          <w:u w:val="none"/>
          <w:lang w:val="pl-PL"/>
        </w:rPr>
      </w:pPr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5A6E07">
        <w:rPr>
          <w:rFonts w:ascii="Verdana" w:hAnsi="Verdana"/>
          <w:sz w:val="16"/>
          <w:szCs w:val="16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  <w:footnote w:id="2">
    <w:p w:rsidR="005A6E07" w:rsidRPr="005A6E07" w:rsidRDefault="005A6E07" w:rsidP="005A6E07">
      <w:pPr>
        <w:pStyle w:val="oj-doc-ti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A6E07">
        <w:rPr>
          <w:rStyle w:val="Odwoanieprzypisudolnego"/>
          <w:rFonts w:ascii="Verdana" w:hAnsi="Verdana"/>
          <w:sz w:val="16"/>
          <w:szCs w:val="16"/>
        </w:rPr>
        <w:footnoteRef/>
      </w:r>
      <w:r w:rsidRPr="005A6E07">
        <w:rPr>
          <w:rFonts w:ascii="Verdana" w:hAnsi="Verdana"/>
          <w:sz w:val="16"/>
          <w:szCs w:val="16"/>
        </w:rPr>
        <w:t xml:space="preserve"> Zaleca się stosowanie dokumentu: „Wytyczne techniczne dotyczące weryfikacji infrastruktury pod względem wpływu na klimat w latach 2021–2027</w:t>
      </w:r>
    </w:p>
    <w:p w:rsidR="005A6E07" w:rsidRPr="005A6E07" w:rsidRDefault="005A6E07" w:rsidP="005A6E07">
      <w:pPr>
        <w:pStyle w:val="oj-no-doc-c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A6E07">
        <w:rPr>
          <w:rFonts w:ascii="Verdana" w:hAnsi="Verdana"/>
          <w:sz w:val="16"/>
          <w:szCs w:val="16"/>
        </w:rPr>
        <w:t xml:space="preserve">(2021/C 373/01) ” </w:t>
      </w:r>
      <w:hyperlink r:id="rId4" w:history="1">
        <w:r w:rsidRPr="005A6E07">
          <w:rPr>
            <w:rStyle w:val="Hipercze"/>
            <w:rFonts w:ascii="Verdana" w:hAnsi="Verdana"/>
            <w:sz w:val="16"/>
            <w:szCs w:val="16"/>
          </w:rPr>
          <w:t>https://eur-lex.europa.eu/legal-content/PL/TXT/HTML/?uri=OJ:C:2021:373:FULL&amp;from=EN</w:t>
        </w:r>
      </w:hyperlink>
      <w:r w:rsidRPr="005A6E07">
        <w:rPr>
          <w:rFonts w:ascii="Verdana" w:hAnsi="Verdana"/>
          <w:sz w:val="16"/>
          <w:szCs w:val="16"/>
        </w:rPr>
        <w:t xml:space="preserve"> </w:t>
      </w:r>
    </w:p>
  </w:footnote>
  <w:footnote w:id="3">
    <w:p w:rsidR="005A6E07" w:rsidRPr="005A6E07" w:rsidRDefault="005A6E07" w:rsidP="005A6E07">
      <w:pPr>
        <w:pStyle w:val="oj-doc-ti"/>
        <w:spacing w:before="0" w:beforeAutospacing="0" w:after="0" w:afterAutospacing="0"/>
        <w:jc w:val="both"/>
        <w:rPr>
          <w:rFonts w:ascii="Verdana" w:hAnsi="Verdana"/>
          <w:sz w:val="16"/>
          <w:szCs w:val="16"/>
          <w:lang w:eastAsia="x-none"/>
        </w:rPr>
      </w:pPr>
      <w:r w:rsidRPr="005A6E07">
        <w:rPr>
          <w:rStyle w:val="Odwoanieprzypisudolnego"/>
          <w:rFonts w:ascii="Verdana" w:hAnsi="Verdana"/>
          <w:sz w:val="16"/>
          <w:szCs w:val="16"/>
        </w:rPr>
        <w:footnoteRef/>
      </w:r>
      <w:r w:rsidRPr="005A6E0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x-none"/>
        </w:rPr>
        <w:t>D</w:t>
      </w:r>
      <w:r w:rsidRPr="005A6E07">
        <w:rPr>
          <w:rFonts w:ascii="Verdana" w:hAnsi="Verdana"/>
          <w:sz w:val="16"/>
          <w:szCs w:val="16"/>
          <w:lang w:eastAsia="x-none"/>
        </w:rPr>
        <w:t>opuszczalny jest transport mieszany/tabor mieszany/magazynowanie mieszane</w:t>
      </w:r>
    </w:p>
  </w:footnote>
  <w:footnote w:id="4">
    <w:p w:rsidR="005A6E07" w:rsidRPr="005A6E07" w:rsidRDefault="005A6E07" w:rsidP="005A6E07">
      <w:pPr>
        <w:pStyle w:val="Tekstprzypisudolnego"/>
        <w:jc w:val="both"/>
        <w:rPr>
          <w:rFonts w:ascii="Verdana" w:hAnsi="Verdana"/>
          <w:sz w:val="16"/>
          <w:szCs w:val="16"/>
          <w:u w:val="none"/>
          <w:lang w:val="pl-PL"/>
        </w:rPr>
      </w:pPr>
      <w:r w:rsidRPr="005A6E07">
        <w:rPr>
          <w:rStyle w:val="Odwoanieprzypisudolnego"/>
          <w:rFonts w:ascii="Verdana" w:hAnsi="Verdana"/>
          <w:sz w:val="16"/>
          <w:szCs w:val="16"/>
          <w:u w:val="none"/>
        </w:rPr>
        <w:footnoteRef/>
      </w:r>
      <w:r w:rsidRPr="005A6E07">
        <w:rPr>
          <w:rFonts w:ascii="Verdana" w:hAnsi="Verdana"/>
          <w:sz w:val="16"/>
          <w:szCs w:val="16"/>
          <w:u w:val="none"/>
        </w:rPr>
        <w:t xml:space="preserve"> </w:t>
      </w:r>
      <w:r w:rsidRPr="005A6E07">
        <w:rPr>
          <w:rFonts w:ascii="Verdana" w:hAnsi="Verdana"/>
          <w:sz w:val="16"/>
          <w:szCs w:val="16"/>
          <w:u w:val="none"/>
          <w:lang w:val="pl-PL"/>
        </w:rPr>
        <w:t>Należy odnieść się do wymogów określonych w dokumentach:</w:t>
      </w:r>
    </w:p>
    <w:p w:rsidR="005A6E07" w:rsidRPr="005A6E07" w:rsidRDefault="005A6E07" w:rsidP="005A6E07">
      <w:pPr>
        <w:pStyle w:val="Tekstprzypisudolnego"/>
        <w:numPr>
          <w:ilvl w:val="0"/>
          <w:numId w:val="3"/>
        </w:numPr>
        <w:jc w:val="both"/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5A6E07">
        <w:rPr>
          <w:rFonts w:ascii="Verdana" w:hAnsi="Verdana"/>
          <w:sz w:val="16"/>
          <w:szCs w:val="16"/>
          <w:u w:val="none"/>
          <w:lang w:val="pl-PL"/>
        </w:rPr>
        <w:t xml:space="preserve"> „</w:t>
      </w:r>
      <w:r w:rsidRPr="005A6E07">
        <w:rPr>
          <w:rFonts w:ascii="Verdana" w:hAnsi="Verdana"/>
          <w:sz w:val="16"/>
          <w:szCs w:val="16"/>
          <w:u w:val="none"/>
        </w:rPr>
        <w:t>Ocena DNSH reform i inwestycji (wiązek projektów) przedstawionych w KPO”</w:t>
      </w:r>
      <w:r w:rsidRPr="005A6E07">
        <w:rPr>
          <w:rFonts w:ascii="Verdana" w:hAnsi="Verdana"/>
          <w:kern w:val="20"/>
          <w:sz w:val="16"/>
          <w:szCs w:val="16"/>
          <w:u w:val="none"/>
        </w:rPr>
        <w:t xml:space="preserve"> </w:t>
      </w:r>
      <w:hyperlink r:id="rId5" w:history="1">
        <w:r w:rsidRPr="005A6E07">
          <w:rPr>
            <w:rStyle w:val="Hipercze"/>
            <w:rFonts w:ascii="Verdana" w:hAnsi="Verdana"/>
            <w:sz w:val="16"/>
            <w:szCs w:val="16"/>
            <w:u w:val="none"/>
          </w:rPr>
          <w:t>https://www.gov.pl/attachment/035d99d8-c439-4c84-b77b-f2cb5d4772e8</w:t>
        </w:r>
      </w:hyperlink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</w:p>
    <w:p w:rsidR="005A6E07" w:rsidRPr="005A6E07" w:rsidRDefault="005A6E07" w:rsidP="005A6E07">
      <w:pPr>
        <w:pStyle w:val="Tekstprzypisudolnego"/>
        <w:numPr>
          <w:ilvl w:val="0"/>
          <w:numId w:val="3"/>
        </w:numPr>
        <w:jc w:val="both"/>
        <w:rPr>
          <w:rStyle w:val="Hipercze"/>
          <w:rFonts w:ascii="Verdana" w:hAnsi="Verdana"/>
          <w:sz w:val="16"/>
          <w:szCs w:val="16"/>
          <w:u w:val="none"/>
          <w:lang w:val="pl-PL"/>
        </w:rPr>
      </w:pPr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Council</w:t>
      </w:r>
      <w:proofErr w:type="spellEnd"/>
      <w:r w:rsidRPr="005A6E0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Implementing</w:t>
      </w:r>
      <w:proofErr w:type="spellEnd"/>
      <w:r w:rsidRPr="005A6E07">
        <w:rPr>
          <w:rFonts w:ascii="Verdana" w:hAnsi="Verdana"/>
          <w:sz w:val="16"/>
          <w:szCs w:val="16"/>
          <w:u w:val="none"/>
        </w:rPr>
        <w:t xml:space="preserve"> </w:t>
      </w:r>
      <w:proofErr w:type="spellStart"/>
      <w:r w:rsidRPr="005A6E07">
        <w:rPr>
          <w:rFonts w:ascii="Verdana" w:hAnsi="Verdana"/>
          <w:sz w:val="16"/>
          <w:szCs w:val="16"/>
          <w:u w:val="none"/>
        </w:rPr>
        <w:t>Decision</w:t>
      </w:r>
      <w:proofErr w:type="spellEnd"/>
      <w:r w:rsidRPr="005A6E07">
        <w:rPr>
          <w:rFonts w:ascii="Verdana" w:hAnsi="Verdana"/>
          <w:kern w:val="20"/>
          <w:sz w:val="16"/>
          <w:szCs w:val="16"/>
          <w:u w:val="none"/>
        </w:rPr>
        <w:t xml:space="preserve"> (CID</w:t>
      </w:r>
      <w:r w:rsidRPr="005A6E07">
        <w:rPr>
          <w:rFonts w:ascii="Verdana" w:hAnsi="Verdana"/>
          <w:kern w:val="20"/>
          <w:sz w:val="16"/>
          <w:szCs w:val="16"/>
          <w:u w:val="none"/>
          <w:lang w:val="pl-PL"/>
        </w:rPr>
        <w:t>)</w:t>
      </w:r>
      <w:r w:rsidRPr="005A6E07">
        <w:rPr>
          <w:rFonts w:ascii="Verdana" w:hAnsi="Verdana"/>
          <w:kern w:val="20"/>
          <w:sz w:val="16"/>
          <w:szCs w:val="16"/>
        </w:rPr>
        <w:t xml:space="preserve"> </w:t>
      </w:r>
      <w:hyperlink r:id="rId6" w:history="1">
        <w:r w:rsidRPr="005A6E07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5A6E07">
        <w:rPr>
          <w:rFonts w:ascii="Verdana" w:hAnsi="Verdana"/>
          <w:sz w:val="16"/>
          <w:szCs w:val="16"/>
          <w:u w:val="none"/>
        </w:rPr>
        <w:t>oraz ustalenia operacyjne w sprawie KPO</w:t>
      </w:r>
      <w:r w:rsidRPr="005A6E07">
        <w:rPr>
          <w:rFonts w:ascii="Verdana" w:hAnsi="Verdana"/>
          <w:sz w:val="16"/>
          <w:szCs w:val="16"/>
          <w:u w:val="none"/>
          <w:lang w:val="pl-PL"/>
        </w:rPr>
        <w:t xml:space="preserve"> </w:t>
      </w:r>
      <w:hyperlink r:id="rId7" w:history="1">
        <w:r w:rsidRPr="005A6E07">
          <w:rPr>
            <w:rStyle w:val="Hipercze"/>
            <w:rFonts w:ascii="Verdana" w:hAnsi="Verdana"/>
            <w:sz w:val="16"/>
            <w:szCs w:val="16"/>
          </w:rPr>
          <w:t>https://www.gov.pl/web/planodbudowy/o-kpo</w:t>
        </w:r>
      </w:hyperlink>
    </w:p>
    <w:p w:rsidR="005A6E07" w:rsidRPr="005A6E07" w:rsidRDefault="005A6E07" w:rsidP="005A6E07">
      <w:pPr>
        <w:pStyle w:val="Tekstprzypisudolnego"/>
        <w:numPr>
          <w:ilvl w:val="0"/>
          <w:numId w:val="3"/>
        </w:numPr>
        <w:jc w:val="both"/>
        <w:rPr>
          <w:rFonts w:ascii="Verdana" w:hAnsi="Verdana"/>
          <w:sz w:val="16"/>
          <w:szCs w:val="16"/>
          <w:u w:val="none"/>
          <w:lang w:val="pl-PL"/>
        </w:rPr>
      </w:pPr>
      <w:r w:rsidRPr="005A6E07">
        <w:rPr>
          <w:rStyle w:val="Hipercze"/>
          <w:rFonts w:ascii="Verdana" w:hAnsi="Verdana"/>
          <w:sz w:val="16"/>
          <w:szCs w:val="16"/>
          <w:u w:val="none"/>
          <w:lang w:val="pl-PL"/>
        </w:rPr>
        <w:t xml:space="preserve"> </w:t>
      </w:r>
      <w:r w:rsidRPr="005A6E07">
        <w:rPr>
          <w:rFonts w:ascii="Verdana" w:hAnsi="Verdana"/>
          <w:sz w:val="16"/>
          <w:szCs w:val="16"/>
          <w:u w:val="none"/>
        </w:rPr>
        <w:t>Wytyczne techniczne dotyczące stosowania zasady „nie czyń poważnych szkód” na podstawie rozporządzenia ustanawiającego Instrument na rzecz Odbudowy i Zwiększania Odporności (2021/C 58/01)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A7F"/>
    <w:multiLevelType w:val="hybridMultilevel"/>
    <w:tmpl w:val="F460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22A56"/>
    <w:multiLevelType w:val="multilevel"/>
    <w:tmpl w:val="E572C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BF01AB"/>
    <w:multiLevelType w:val="hybridMultilevel"/>
    <w:tmpl w:val="7D522F7A"/>
    <w:lvl w:ilvl="0" w:tplc="C26C5D5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38"/>
    <w:rsid w:val="00101A8C"/>
    <w:rsid w:val="0025524C"/>
    <w:rsid w:val="00465076"/>
    <w:rsid w:val="005414BA"/>
    <w:rsid w:val="005A6E07"/>
    <w:rsid w:val="005D77A3"/>
    <w:rsid w:val="005F546F"/>
    <w:rsid w:val="006E2B77"/>
    <w:rsid w:val="00B42686"/>
    <w:rsid w:val="00C24D38"/>
    <w:rsid w:val="00E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A699-93A4-45A7-9D8A-DEB3469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5A6E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A6E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punktowane_snoroa,Numerowanie,Kolorowa lista — akcent 11,Akapit z listą BS,List Paragraph,Obiekt,List Paragraph1,BulletC,normalny tekst,Akapit z listą11,sw tekst"/>
    <w:basedOn w:val="Normalny"/>
    <w:link w:val="AkapitzlistZnak"/>
    <w:uiPriority w:val="34"/>
    <w:qFormat/>
    <w:rsid w:val="005D77A3"/>
    <w:pPr>
      <w:spacing w:after="0" w:line="240" w:lineRule="auto"/>
      <w:ind w:left="708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punktowane_snoroa Znak,Numerowanie Znak,Kolorowa lista — akcent 11 Znak,Akapit z listą BS Znak,List Paragraph Znak,Obiekt Znak"/>
    <w:link w:val="Akapitzlist"/>
    <w:uiPriority w:val="34"/>
    <w:qFormat/>
    <w:rsid w:val="005D77A3"/>
    <w:rPr>
      <w:rFonts w:ascii="Times New Roman" w:eastAsia="Calibri" w:hAnsi="Times New Roman" w:cs="Times New Roman"/>
      <w:sz w:val="24"/>
    </w:rPr>
  </w:style>
  <w:style w:type="paragraph" w:customStyle="1" w:styleId="ZnakZnak18">
    <w:name w:val="Znak Znak18"/>
    <w:basedOn w:val="Normalny"/>
    <w:uiPriority w:val="99"/>
    <w:rsid w:val="005D77A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uiPriority w:val="99"/>
    <w:rsid w:val="005D77A3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Znak,o,fn"/>
    <w:basedOn w:val="Normalny"/>
    <w:link w:val="TekstprzypisudolnegoZnak"/>
    <w:uiPriority w:val="99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5D77A3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Exposant 3 Point,number,16 Poi"/>
    <w:uiPriority w:val="99"/>
    <w:rsid w:val="005D77A3"/>
    <w:rPr>
      <w:vertAlign w:val="superscript"/>
    </w:rPr>
  </w:style>
  <w:style w:type="paragraph" w:customStyle="1" w:styleId="oj-doc-ti">
    <w:name w:val="oj-doc-ti"/>
    <w:basedOn w:val="Normalny"/>
    <w:rsid w:val="005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j-no-doc-c">
    <w:name w:val="oj-no-doc-c"/>
    <w:basedOn w:val="Normalny"/>
    <w:rsid w:val="005D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5A6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locked/>
    <w:rsid w:val="005A6E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ZnakZnak180">
    <w:name w:val="Znak Znak18"/>
    <w:basedOn w:val="Normalny"/>
    <w:uiPriority w:val="99"/>
    <w:rsid w:val="005A6E0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6E07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planodbudowy/o-kpo" TargetMode="External"/><Relationship Id="rId7" Type="http://schemas.openxmlformats.org/officeDocument/2006/relationships/hyperlink" Target="https://www.gov.pl/web/planodbudowy/o-kpo" TargetMode="External"/><Relationship Id="rId2" Type="http://schemas.openxmlformats.org/officeDocument/2006/relationships/hyperlink" Target="https://www.gov.pl/web/planodbudowy/o-kpo" TargetMode="External"/><Relationship Id="rId1" Type="http://schemas.openxmlformats.org/officeDocument/2006/relationships/hyperlink" Target="https://www.gov.pl/attachment/035d99d8-c439-4c84-b77b-f2cb5d4772e8" TargetMode="External"/><Relationship Id="rId6" Type="http://schemas.openxmlformats.org/officeDocument/2006/relationships/hyperlink" Target="https://www.gov.pl/web/planodbudowy/o-kpo" TargetMode="External"/><Relationship Id="rId5" Type="http://schemas.openxmlformats.org/officeDocument/2006/relationships/hyperlink" Target="https://www.gov.pl/attachment/035d99d8-c439-4c84-b77b-f2cb5d4772e8" TargetMode="External"/><Relationship Id="rId4" Type="http://schemas.openxmlformats.org/officeDocument/2006/relationships/hyperlink" Target="https://eur-lex.europa.eu/legal-content/PL/TXT/HTML/?uri=OJ:C:2021:373:FULL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cupt.local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Rafał Marszałek</cp:lastModifiedBy>
  <cp:revision>2</cp:revision>
  <dcterms:created xsi:type="dcterms:W3CDTF">2023-03-31T11:19:00Z</dcterms:created>
  <dcterms:modified xsi:type="dcterms:W3CDTF">2023-03-31T11:19:00Z</dcterms:modified>
</cp:coreProperties>
</file>