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01FB6" w14:textId="77777777" w:rsidR="00581F20" w:rsidRDefault="00581F20" w:rsidP="00581F20">
      <w:bookmarkStart w:id="0" w:name="_GoBack"/>
      <w:bookmarkEnd w:id="0"/>
    </w:p>
    <w:p w14:paraId="10BD6CA0" w14:textId="77777777" w:rsidR="00581F20" w:rsidRPr="00581F20" w:rsidRDefault="00581F20" w:rsidP="00581F20">
      <w:pPr>
        <w:rPr>
          <w:rFonts w:ascii="Arial Narrow" w:hAnsi="Arial Narrow"/>
          <w:b/>
          <w:sz w:val="24"/>
        </w:rPr>
      </w:pPr>
      <w:r w:rsidRPr="00581F20">
        <w:rPr>
          <w:rFonts w:ascii="Arial Narrow" w:hAnsi="Arial Narrow"/>
          <w:b/>
          <w:sz w:val="24"/>
        </w:rPr>
        <w:t>KRYTERIA SZCZEGÓŁOWE</w:t>
      </w:r>
    </w:p>
    <w:p w14:paraId="4DFCF1FE" w14:textId="77777777" w:rsidR="00872E9E" w:rsidRPr="0059499F" w:rsidRDefault="00581F20" w:rsidP="00872E9E">
      <w:pPr>
        <w:pStyle w:val="Nagwek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K</w:t>
      </w:r>
      <w:r w:rsidR="00872E9E" w:rsidRPr="0059499F">
        <w:rPr>
          <w:rFonts w:ascii="Arial Narrow" w:hAnsi="Arial Narrow" w:cs="Calibri"/>
          <w:sz w:val="24"/>
          <w:szCs w:val="24"/>
        </w:rPr>
        <w:t xml:space="preserve">ryteria formalne </w:t>
      </w:r>
    </w:p>
    <w:tbl>
      <w:tblPr>
        <w:tblW w:w="14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5082"/>
        <w:gridCol w:w="7698"/>
        <w:gridCol w:w="855"/>
      </w:tblGrid>
      <w:tr w:rsidR="00872E9E" w:rsidRPr="0059499F" w14:paraId="47BCFFFD" w14:textId="77777777" w:rsidTr="00717525">
        <w:tc>
          <w:tcPr>
            <w:tcW w:w="540" w:type="dxa"/>
            <w:shd w:val="clear" w:color="auto" w:fill="auto"/>
          </w:tcPr>
          <w:p w14:paraId="7BDC7C21" w14:textId="77777777" w:rsidR="00872E9E" w:rsidRPr="0059499F" w:rsidRDefault="00872E9E" w:rsidP="00717525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59499F">
              <w:rPr>
                <w:rFonts w:ascii="Arial Narrow" w:hAnsi="Arial Narrow" w:cs="Calibri"/>
                <w:b/>
                <w:smallCaps/>
                <w:szCs w:val="22"/>
              </w:rPr>
              <w:t>Nr</w:t>
            </w:r>
          </w:p>
        </w:tc>
        <w:tc>
          <w:tcPr>
            <w:tcW w:w="5082" w:type="dxa"/>
            <w:shd w:val="clear" w:color="auto" w:fill="auto"/>
          </w:tcPr>
          <w:p w14:paraId="5492FC8B" w14:textId="77777777" w:rsidR="00872E9E" w:rsidRPr="0059499F" w:rsidRDefault="00872E9E" w:rsidP="00717525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59499F">
              <w:rPr>
                <w:rFonts w:ascii="Arial Narrow" w:hAnsi="Arial Narrow" w:cs="Calibri"/>
                <w:b/>
                <w:smallCaps/>
                <w:szCs w:val="20"/>
              </w:rPr>
              <w:t>Nazwa Kryterium</w:t>
            </w:r>
          </w:p>
        </w:tc>
        <w:tc>
          <w:tcPr>
            <w:tcW w:w="7698" w:type="dxa"/>
            <w:shd w:val="clear" w:color="auto" w:fill="auto"/>
          </w:tcPr>
          <w:p w14:paraId="25EF3265" w14:textId="77777777" w:rsidR="00872E9E" w:rsidRPr="0059499F" w:rsidRDefault="00872E9E" w:rsidP="00717525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59499F">
              <w:rPr>
                <w:rFonts w:ascii="Arial Narrow" w:hAnsi="Arial Narrow" w:cs="Calibri"/>
                <w:b/>
                <w:smallCaps/>
                <w:szCs w:val="20"/>
              </w:rPr>
              <w:t>Opis Kryterium</w:t>
            </w:r>
          </w:p>
        </w:tc>
        <w:tc>
          <w:tcPr>
            <w:tcW w:w="855" w:type="dxa"/>
            <w:shd w:val="clear" w:color="auto" w:fill="auto"/>
          </w:tcPr>
          <w:p w14:paraId="646D149F" w14:textId="77777777" w:rsidR="00872E9E" w:rsidRPr="0059499F" w:rsidRDefault="002C25DE" w:rsidP="00717525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7F2570">
              <w:rPr>
                <w:rFonts w:ascii="Arial Narrow" w:hAnsi="Arial Narrow" w:cs="Arial"/>
                <w:b/>
                <w:sz w:val="18"/>
                <w:szCs w:val="20"/>
              </w:rPr>
              <w:t xml:space="preserve">TAK/NIE/ </w:t>
            </w:r>
            <w:r w:rsidRPr="007F2570">
              <w:rPr>
                <w:rFonts w:ascii="Arial Narrow" w:hAnsi="Arial Narrow" w:cs="Arial"/>
                <w:b/>
                <w:sz w:val="16"/>
                <w:szCs w:val="20"/>
              </w:rPr>
              <w:t>NIE DOTYCZY</w:t>
            </w:r>
          </w:p>
        </w:tc>
      </w:tr>
      <w:tr w:rsidR="00872E9E" w:rsidRPr="0059499F" w14:paraId="2612E69D" w14:textId="77777777" w:rsidTr="00717525">
        <w:tc>
          <w:tcPr>
            <w:tcW w:w="540" w:type="dxa"/>
            <w:shd w:val="clear" w:color="auto" w:fill="auto"/>
          </w:tcPr>
          <w:p w14:paraId="38B559CA" w14:textId="77777777" w:rsidR="00872E9E" w:rsidRPr="0059499F" w:rsidRDefault="0059499F" w:rsidP="004D2B16">
            <w:pPr>
              <w:spacing w:before="120" w:after="120"/>
              <w:jc w:val="center"/>
              <w:rPr>
                <w:rFonts w:ascii="Arial Narrow" w:hAnsi="Arial Narrow" w:cs="Calibri"/>
                <w:smallCaps/>
                <w:szCs w:val="22"/>
              </w:rPr>
            </w:pPr>
            <w:r w:rsidRPr="0059499F">
              <w:rPr>
                <w:rFonts w:ascii="Arial Narrow" w:hAnsi="Arial Narrow" w:cs="Calibri"/>
                <w:smallCaps/>
                <w:szCs w:val="22"/>
              </w:rPr>
              <w:t>1</w:t>
            </w:r>
            <w:r w:rsidR="00872E9E" w:rsidRPr="0059499F">
              <w:rPr>
                <w:rFonts w:ascii="Arial Narrow" w:hAnsi="Arial Narrow" w:cs="Calibri"/>
                <w:smallCaps/>
                <w:szCs w:val="22"/>
              </w:rPr>
              <w:t>.</w:t>
            </w:r>
          </w:p>
        </w:tc>
        <w:tc>
          <w:tcPr>
            <w:tcW w:w="5082" w:type="dxa"/>
            <w:shd w:val="clear" w:color="auto" w:fill="auto"/>
          </w:tcPr>
          <w:p w14:paraId="20425BCC" w14:textId="0AB153DC" w:rsidR="00466BDD" w:rsidRPr="0059499F" w:rsidRDefault="00872E9E" w:rsidP="000B7C55">
            <w:pPr>
              <w:spacing w:before="120" w:after="120"/>
              <w:ind w:left="49"/>
              <w:rPr>
                <w:rFonts w:ascii="Arial Narrow" w:hAnsi="Arial Narrow" w:cs="Calibri"/>
                <w:spacing w:val="4"/>
                <w:szCs w:val="20"/>
              </w:rPr>
            </w:pPr>
            <w:r w:rsidRPr="0059499F">
              <w:rPr>
                <w:rFonts w:ascii="Arial Narrow" w:hAnsi="Arial Narrow" w:cs="Calibri"/>
                <w:spacing w:val="4"/>
                <w:szCs w:val="20"/>
              </w:rPr>
              <w:t>Wnioskodawca nie jest przedsiębiorstwem w trudnej sytuacji w rozumieniu unijnych przepisów dotyczących pomocy państwa</w:t>
            </w:r>
          </w:p>
        </w:tc>
        <w:tc>
          <w:tcPr>
            <w:tcW w:w="7698" w:type="dxa"/>
            <w:shd w:val="clear" w:color="auto" w:fill="auto"/>
          </w:tcPr>
          <w:p w14:paraId="5B4D5017" w14:textId="77777777" w:rsidR="00872E9E" w:rsidRDefault="00872E9E" w:rsidP="00664006">
            <w:pPr>
              <w:spacing w:before="120" w:after="120"/>
              <w:ind w:left="76"/>
              <w:jc w:val="both"/>
              <w:rPr>
                <w:rFonts w:ascii="Arial Narrow" w:hAnsi="Arial Narrow" w:cs="Calibri"/>
                <w:spacing w:val="4"/>
                <w:szCs w:val="20"/>
              </w:rPr>
            </w:pPr>
            <w:r w:rsidRPr="0059499F">
              <w:rPr>
                <w:rFonts w:ascii="Arial Narrow" w:hAnsi="Arial Narrow" w:cs="Calibri"/>
                <w:spacing w:val="4"/>
                <w:szCs w:val="20"/>
              </w:rPr>
              <w:t>Badana jest sytuacja wnioskodawcy ubiegającego się o wsparcie pod kątem trudnej sytuacji w rozumieniu unijnych przepisów dotyczących pomocy państwa</w:t>
            </w:r>
            <w:r w:rsidR="00190CEA">
              <w:rPr>
                <w:rFonts w:ascii="Arial Narrow" w:hAnsi="Arial Narrow" w:cs="Calibri"/>
                <w:spacing w:val="4"/>
                <w:szCs w:val="20"/>
              </w:rPr>
              <w:t>.</w:t>
            </w:r>
          </w:p>
          <w:p w14:paraId="2CC86A8A" w14:textId="54CFCCD2" w:rsidR="00190CEA" w:rsidRPr="0059499F" w:rsidRDefault="00190CEA" w:rsidP="00664006">
            <w:pPr>
              <w:spacing w:before="120" w:after="120"/>
              <w:ind w:left="76"/>
              <w:jc w:val="both"/>
              <w:rPr>
                <w:rFonts w:ascii="Arial Narrow" w:hAnsi="Arial Narrow" w:cs="Calibri"/>
                <w:spacing w:val="4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855" w:type="dxa"/>
            <w:shd w:val="clear" w:color="auto" w:fill="auto"/>
          </w:tcPr>
          <w:p w14:paraId="1FAC0A46" w14:textId="77777777" w:rsidR="00872E9E" w:rsidRPr="0059499F" w:rsidRDefault="00872E9E" w:rsidP="00717525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</w:p>
        </w:tc>
      </w:tr>
      <w:tr w:rsidR="00872E9E" w:rsidRPr="0059499F" w14:paraId="126A522F" w14:textId="77777777" w:rsidTr="004D2B16">
        <w:tc>
          <w:tcPr>
            <w:tcW w:w="540" w:type="dxa"/>
            <w:shd w:val="clear" w:color="auto" w:fill="auto"/>
            <w:vAlign w:val="center"/>
          </w:tcPr>
          <w:p w14:paraId="3E25DDF1" w14:textId="77777777" w:rsidR="00872E9E" w:rsidRPr="0059499F" w:rsidRDefault="00356F6B" w:rsidP="004D2B16">
            <w:pPr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2</w:t>
            </w:r>
            <w:r w:rsidR="00872E9E" w:rsidRPr="0059499F">
              <w:rPr>
                <w:rFonts w:ascii="Arial Narrow" w:hAnsi="Arial Narrow" w:cs="Calibri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4DC03646" w14:textId="27EE38BD" w:rsidR="00466BDD" w:rsidRPr="0059499F" w:rsidRDefault="00872E9E" w:rsidP="000B7C55">
            <w:pPr>
              <w:ind w:left="49"/>
              <w:rPr>
                <w:rFonts w:ascii="Arial Narrow" w:hAnsi="Arial Narrow" w:cs="Calibri"/>
                <w:spacing w:val="4"/>
                <w:szCs w:val="20"/>
              </w:rPr>
            </w:pPr>
            <w:r w:rsidRPr="0059499F">
              <w:rPr>
                <w:rFonts w:ascii="Arial Narrow" w:hAnsi="Arial Narrow" w:cs="Calibri"/>
                <w:spacing w:val="4"/>
                <w:szCs w:val="20"/>
              </w:rPr>
              <w:t>Kompletność dokumentacji aplikacyjnej</w:t>
            </w:r>
          </w:p>
        </w:tc>
        <w:tc>
          <w:tcPr>
            <w:tcW w:w="7698" w:type="dxa"/>
            <w:shd w:val="clear" w:color="auto" w:fill="auto"/>
          </w:tcPr>
          <w:p w14:paraId="01CCB5F7" w14:textId="73C619A2" w:rsidR="00872E9E" w:rsidRDefault="00477440" w:rsidP="00664006">
            <w:pPr>
              <w:ind w:left="76"/>
              <w:jc w:val="both"/>
              <w:rPr>
                <w:rFonts w:ascii="Arial Narrow" w:hAnsi="Arial Narrow" w:cs="Calibri"/>
                <w:spacing w:val="4"/>
                <w:szCs w:val="20"/>
              </w:rPr>
            </w:pPr>
            <w:r>
              <w:rPr>
                <w:rFonts w:ascii="Arial Narrow" w:hAnsi="Arial Narrow" w:cs="Calibri"/>
                <w:spacing w:val="4"/>
                <w:szCs w:val="20"/>
              </w:rPr>
              <w:t>Ocenie podlegać będzie kompletność dokumentacji aplikacyjnej zgodnie z wymaganiami określonymi w Regulaminie konkursu.</w:t>
            </w:r>
          </w:p>
          <w:p w14:paraId="11D24966" w14:textId="77777777" w:rsidR="00190CEA" w:rsidRDefault="00190CEA" w:rsidP="00664006">
            <w:pPr>
              <w:ind w:left="76"/>
              <w:jc w:val="both"/>
              <w:rPr>
                <w:rFonts w:ascii="Arial Narrow" w:hAnsi="Arial Narrow" w:cs="Calibri"/>
                <w:spacing w:val="4"/>
                <w:szCs w:val="20"/>
              </w:rPr>
            </w:pPr>
          </w:p>
          <w:p w14:paraId="61EEFF75" w14:textId="256D78F5" w:rsidR="00190CEA" w:rsidRPr="0059499F" w:rsidRDefault="00190CEA" w:rsidP="00664006">
            <w:pPr>
              <w:ind w:left="76"/>
              <w:jc w:val="both"/>
              <w:rPr>
                <w:rFonts w:ascii="Arial Narrow" w:hAnsi="Arial Narrow" w:cs="Calibri"/>
                <w:spacing w:val="4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855" w:type="dxa"/>
            <w:shd w:val="clear" w:color="auto" w:fill="auto"/>
          </w:tcPr>
          <w:p w14:paraId="28CB1827" w14:textId="77777777" w:rsidR="00872E9E" w:rsidRPr="0059499F" w:rsidRDefault="00872E9E" w:rsidP="00717525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</w:p>
        </w:tc>
      </w:tr>
    </w:tbl>
    <w:p w14:paraId="13DF8987" w14:textId="77777777" w:rsidR="00D92A8F" w:rsidRPr="0059499F" w:rsidRDefault="00581F20" w:rsidP="00D92A8F">
      <w:pPr>
        <w:pStyle w:val="Nagwek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K</w:t>
      </w:r>
      <w:r w:rsidR="00D92A8F" w:rsidRPr="0059499F">
        <w:rPr>
          <w:rFonts w:ascii="Arial Narrow" w:hAnsi="Arial Narrow" w:cs="Calibri"/>
          <w:sz w:val="24"/>
          <w:szCs w:val="24"/>
        </w:rPr>
        <w:t>ryteria merytoryczne I stopnia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94"/>
        <w:gridCol w:w="2976"/>
        <w:gridCol w:w="6663"/>
        <w:gridCol w:w="569"/>
        <w:gridCol w:w="701"/>
      </w:tblGrid>
      <w:tr w:rsidR="00D92A8F" w:rsidRPr="0059499F" w14:paraId="1639DA3A" w14:textId="77777777" w:rsidTr="00717525">
        <w:trPr>
          <w:trHeight w:val="1126"/>
        </w:trPr>
        <w:tc>
          <w:tcPr>
            <w:tcW w:w="572" w:type="dxa"/>
            <w:shd w:val="clear" w:color="auto" w:fill="auto"/>
            <w:vAlign w:val="center"/>
          </w:tcPr>
          <w:p w14:paraId="01ABB938" w14:textId="77777777" w:rsidR="00D92A8F" w:rsidRPr="0059499F" w:rsidRDefault="00D92A8F" w:rsidP="00717525">
            <w:pPr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59499F">
              <w:rPr>
                <w:rFonts w:ascii="Arial Narrow" w:hAnsi="Arial Narrow" w:cs="Calibri"/>
                <w:b/>
                <w:smallCaps/>
                <w:szCs w:val="20"/>
              </w:rPr>
              <w:t>Nr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ED3D29" w14:textId="77777777" w:rsidR="00D92A8F" w:rsidRPr="0059499F" w:rsidRDefault="00D92A8F" w:rsidP="00717525">
            <w:pPr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59499F">
              <w:rPr>
                <w:rFonts w:ascii="Arial Narrow" w:hAnsi="Arial Narrow" w:cs="Calibri"/>
                <w:b/>
                <w:smallCaps/>
                <w:szCs w:val="20"/>
              </w:rPr>
              <w:t>Nazwa kryterium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5020FE" w14:textId="77777777" w:rsidR="00D92A8F" w:rsidRPr="0059499F" w:rsidRDefault="00D92A8F" w:rsidP="00717525">
            <w:pPr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59499F">
              <w:rPr>
                <w:rFonts w:ascii="Arial Narrow" w:hAnsi="Arial Narrow" w:cs="Calibri"/>
                <w:b/>
                <w:smallCaps/>
                <w:szCs w:val="20"/>
              </w:rPr>
              <w:t>Opis kryterium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00E8B9D" w14:textId="77777777" w:rsidR="00D92A8F" w:rsidRPr="0059499F" w:rsidRDefault="00D92A8F" w:rsidP="00717525">
            <w:pPr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59499F">
              <w:rPr>
                <w:rFonts w:ascii="Arial Narrow" w:hAnsi="Arial Narrow" w:cs="Calibri"/>
                <w:b/>
                <w:smallCaps/>
                <w:szCs w:val="20"/>
              </w:rPr>
              <w:t>Zasady oceny kryterium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390EC99F" w14:textId="77777777" w:rsidR="00D92A8F" w:rsidRPr="0059499F" w:rsidRDefault="00D92A8F" w:rsidP="00717525">
            <w:pPr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  <w:r w:rsidRPr="0059499F">
              <w:rPr>
                <w:rFonts w:ascii="Arial Narrow" w:hAnsi="Arial Narrow" w:cs="Calibri"/>
                <w:b/>
                <w:smallCaps/>
                <w:szCs w:val="20"/>
              </w:rPr>
              <w:t>Waga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14:paraId="0759AC76" w14:textId="77777777" w:rsidR="00D92A8F" w:rsidRPr="0059499F" w:rsidRDefault="00D92A8F" w:rsidP="00717525">
            <w:pPr>
              <w:jc w:val="center"/>
              <w:rPr>
                <w:rFonts w:ascii="Arial Narrow" w:hAnsi="Arial Narrow" w:cs="Calibri"/>
                <w:b/>
                <w:smallCaps/>
                <w:sz w:val="19"/>
                <w:szCs w:val="19"/>
              </w:rPr>
            </w:pPr>
            <w:r w:rsidRPr="0059499F">
              <w:rPr>
                <w:rFonts w:ascii="Arial Narrow" w:hAnsi="Arial Narrow" w:cs="Calibri"/>
                <w:b/>
                <w:smallCaps/>
                <w:sz w:val="19"/>
                <w:szCs w:val="19"/>
              </w:rPr>
              <w:t>Maks. punktacja</w:t>
            </w:r>
          </w:p>
        </w:tc>
      </w:tr>
      <w:tr w:rsidR="0059499F" w:rsidRPr="0059499F" w14:paraId="02BD98E9" w14:textId="77777777" w:rsidTr="002C25DE">
        <w:tc>
          <w:tcPr>
            <w:tcW w:w="572" w:type="dxa"/>
            <w:shd w:val="clear" w:color="auto" w:fill="auto"/>
            <w:vAlign w:val="center"/>
          </w:tcPr>
          <w:p w14:paraId="44758EC1" w14:textId="77777777" w:rsidR="0059499F" w:rsidRPr="0059499F" w:rsidRDefault="0059499F" w:rsidP="004D2B16">
            <w:pPr>
              <w:spacing w:before="60"/>
              <w:jc w:val="center"/>
              <w:rPr>
                <w:rFonts w:ascii="Arial Narrow" w:hAnsi="Arial Narrow" w:cs="Calibri"/>
                <w:szCs w:val="20"/>
              </w:rPr>
            </w:pPr>
            <w:r w:rsidRPr="0059499F">
              <w:rPr>
                <w:rFonts w:ascii="Arial Narrow" w:hAnsi="Arial Narrow" w:cs="Calibri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F257FB" w14:textId="46CB46A8" w:rsidR="000B7C55" w:rsidRPr="000B7C55" w:rsidRDefault="00CF5BA7" w:rsidP="000B7C55">
            <w:pPr>
              <w:ind w:left="133"/>
              <w:rPr>
                <w:rFonts w:ascii="Arial Narrow" w:hAnsi="Arial Narrow"/>
                <w:szCs w:val="18"/>
              </w:rPr>
            </w:pPr>
            <w:r w:rsidRPr="004D2B16">
              <w:rPr>
                <w:rFonts w:ascii="Arial Narrow" w:hAnsi="Arial Narrow"/>
                <w:szCs w:val="18"/>
              </w:rPr>
              <w:t>Przygotowanie pr</w:t>
            </w:r>
            <w:r w:rsidR="00581F20">
              <w:rPr>
                <w:rFonts w:ascii="Arial Narrow" w:hAnsi="Arial Narrow"/>
                <w:szCs w:val="18"/>
              </w:rPr>
              <w:t>zedsięwzięcia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3EFEAD5" w14:textId="77777777" w:rsidR="0059499F" w:rsidRDefault="0059499F" w:rsidP="00581F20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  <w:r w:rsidRPr="0059499F">
              <w:rPr>
                <w:rFonts w:ascii="Arial Narrow" w:hAnsi="Arial Narrow" w:cs="Calibri"/>
                <w:szCs w:val="20"/>
              </w:rPr>
              <w:t>Ocena stanu przygotowania p</w:t>
            </w:r>
            <w:r w:rsidR="00581F20">
              <w:rPr>
                <w:rFonts w:ascii="Arial Narrow" w:hAnsi="Arial Narrow" w:cs="Calibri"/>
                <w:szCs w:val="20"/>
              </w:rPr>
              <w:t>rzedsięwzięcia do realizacji</w:t>
            </w:r>
          </w:p>
          <w:p w14:paraId="3D023DA7" w14:textId="77777777" w:rsidR="00190CEA" w:rsidRDefault="00190CEA" w:rsidP="00581F20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</w:p>
          <w:p w14:paraId="2826182B" w14:textId="1A041101" w:rsidR="00190CEA" w:rsidRPr="0059499F" w:rsidRDefault="00190CEA" w:rsidP="00581F20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5879F752" w14:textId="77777777" w:rsidR="00487281" w:rsidRPr="00487281" w:rsidRDefault="00487281" w:rsidP="00487281">
            <w:pPr>
              <w:spacing w:before="60"/>
              <w:ind w:left="127" w:right="142"/>
              <w:jc w:val="both"/>
              <w:rPr>
                <w:rFonts w:ascii="Arial Narrow" w:hAnsi="Arial Narrow"/>
                <w:szCs w:val="20"/>
              </w:rPr>
            </w:pPr>
            <w:r w:rsidRPr="00487281">
              <w:rPr>
                <w:rFonts w:ascii="Arial Narrow" w:hAnsi="Arial Narrow"/>
                <w:szCs w:val="20"/>
              </w:rPr>
              <w:t xml:space="preserve">Zakup taboru (w rozumieniu art.7 pkt.4 ustawy z dnia 11 września 2019 r. prawo zamówień publicznych Dz. U. 2019 poz. 2019 j.t. z późniejszymi zmianami). </w:t>
            </w:r>
          </w:p>
          <w:p w14:paraId="5A11EC7D" w14:textId="77777777" w:rsidR="002C1EE3" w:rsidRDefault="002C1EE3" w:rsidP="00487281">
            <w:pPr>
              <w:spacing w:before="60"/>
              <w:ind w:left="127" w:right="142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6 pkt – rozstrzygnięto postępowanie (wybrano wykonawcę zgodnie z </w:t>
            </w:r>
            <w:proofErr w:type="spellStart"/>
            <w:r>
              <w:rPr>
                <w:rFonts w:ascii="Arial Narrow" w:hAnsi="Arial Narrow"/>
                <w:szCs w:val="20"/>
              </w:rPr>
              <w:t>Pzp</w:t>
            </w:r>
            <w:proofErr w:type="spellEnd"/>
            <w:r>
              <w:rPr>
                <w:rFonts w:ascii="Arial Narrow" w:hAnsi="Arial Narrow"/>
                <w:szCs w:val="20"/>
              </w:rPr>
              <w:t>)</w:t>
            </w:r>
          </w:p>
          <w:p w14:paraId="7CAA603B" w14:textId="77777777" w:rsidR="002C1EE3" w:rsidRDefault="002C1EE3" w:rsidP="00487281">
            <w:pPr>
              <w:spacing w:before="60"/>
              <w:ind w:left="127" w:right="142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5 pkt – wszczęto postępowanie (ogłoszenie zgodnie z </w:t>
            </w:r>
            <w:proofErr w:type="spellStart"/>
            <w:r>
              <w:rPr>
                <w:rFonts w:ascii="Arial Narrow" w:hAnsi="Arial Narrow"/>
                <w:szCs w:val="20"/>
              </w:rPr>
              <w:t>Pzp</w:t>
            </w:r>
            <w:proofErr w:type="spellEnd"/>
            <w:r>
              <w:rPr>
                <w:rFonts w:ascii="Arial Narrow" w:hAnsi="Arial Narrow"/>
                <w:szCs w:val="20"/>
              </w:rPr>
              <w:t>)</w:t>
            </w:r>
          </w:p>
          <w:p w14:paraId="2F3ABC0F" w14:textId="77777777" w:rsidR="00487281" w:rsidRPr="00487281" w:rsidRDefault="00487281" w:rsidP="00487281">
            <w:pPr>
              <w:spacing w:before="60"/>
              <w:ind w:left="127" w:right="142"/>
              <w:jc w:val="both"/>
              <w:rPr>
                <w:rFonts w:ascii="Arial Narrow" w:hAnsi="Arial Narrow"/>
                <w:szCs w:val="20"/>
              </w:rPr>
            </w:pPr>
            <w:r w:rsidRPr="00487281">
              <w:rPr>
                <w:rFonts w:ascii="Arial Narrow" w:hAnsi="Arial Narrow"/>
                <w:szCs w:val="20"/>
              </w:rPr>
              <w:t xml:space="preserve">4 pkt - pełna dokumentacja niezbędna do wszczęcia postępowania o udzieleniu zamówienia publicznego (czyt. dokumentacja przetargowa). </w:t>
            </w:r>
          </w:p>
          <w:p w14:paraId="7B4D5267" w14:textId="77777777" w:rsidR="00487281" w:rsidRPr="00487281" w:rsidRDefault="00487281" w:rsidP="00487281">
            <w:pPr>
              <w:spacing w:before="60"/>
              <w:ind w:left="127" w:right="142"/>
              <w:jc w:val="both"/>
              <w:rPr>
                <w:rFonts w:ascii="Arial Narrow" w:hAnsi="Arial Narrow"/>
                <w:szCs w:val="20"/>
              </w:rPr>
            </w:pPr>
            <w:r w:rsidRPr="00487281">
              <w:rPr>
                <w:rFonts w:ascii="Arial Narrow" w:hAnsi="Arial Narrow"/>
                <w:szCs w:val="20"/>
              </w:rPr>
              <w:t xml:space="preserve">3 pkt - Specyfikacje Warunków Zamówienia obejmujące zakres całego </w:t>
            </w:r>
            <w:r>
              <w:rPr>
                <w:rFonts w:ascii="Arial Narrow" w:hAnsi="Arial Narrow"/>
                <w:szCs w:val="20"/>
              </w:rPr>
              <w:t>przedsięwzięcia</w:t>
            </w:r>
            <w:r w:rsidRPr="00487281">
              <w:rPr>
                <w:rFonts w:ascii="Arial Narrow" w:hAnsi="Arial Narrow"/>
                <w:szCs w:val="20"/>
              </w:rPr>
              <w:t xml:space="preserve"> (dla przeprowadzenia poszczególnych postępowań). </w:t>
            </w:r>
          </w:p>
          <w:p w14:paraId="6C669779" w14:textId="77777777" w:rsidR="00ED0338" w:rsidRDefault="00487281" w:rsidP="00664006">
            <w:pPr>
              <w:spacing w:before="60" w:after="60"/>
              <w:ind w:left="127"/>
              <w:rPr>
                <w:rFonts w:ascii="Arial Narrow" w:hAnsi="Arial Narrow"/>
                <w:szCs w:val="20"/>
              </w:rPr>
            </w:pPr>
            <w:r w:rsidRPr="00487281">
              <w:rPr>
                <w:rFonts w:ascii="Arial Narrow" w:hAnsi="Arial Narrow"/>
                <w:szCs w:val="20"/>
              </w:rPr>
              <w:t xml:space="preserve">2 pkt - specyfikacje techniczne obejmujące zakres całego </w:t>
            </w:r>
            <w:r>
              <w:rPr>
                <w:rFonts w:ascii="Arial Narrow" w:hAnsi="Arial Narrow"/>
                <w:szCs w:val="20"/>
              </w:rPr>
              <w:t>przedsięwzięcia</w:t>
            </w:r>
            <w:r w:rsidRPr="00487281">
              <w:rPr>
                <w:rFonts w:ascii="Arial Narrow" w:hAnsi="Arial Narrow"/>
                <w:szCs w:val="20"/>
              </w:rPr>
              <w:t xml:space="preserve"> (opis </w:t>
            </w:r>
            <w:r w:rsidRPr="00487281">
              <w:rPr>
                <w:rFonts w:ascii="Arial Narrow" w:hAnsi="Arial Narrow"/>
                <w:szCs w:val="20"/>
              </w:rPr>
              <w:lastRenderedPageBreak/>
              <w:t>przedmiotu zamówienia dla przeprowadzenia poszczególnych postępowań).</w:t>
            </w:r>
          </w:p>
          <w:p w14:paraId="605F3A25" w14:textId="36CDEB67" w:rsidR="00F84386" w:rsidRPr="0059499F" w:rsidRDefault="00F84386" w:rsidP="00664006">
            <w:pPr>
              <w:spacing w:before="60" w:after="60"/>
              <w:ind w:left="127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</w:rPr>
              <w:t>0 pkt – brak dokumentacji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04679AE" w14:textId="0804CF12" w:rsidR="0059499F" w:rsidRPr="0059499F" w:rsidRDefault="002C1EE3" w:rsidP="002C25DE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B6D2B0" w14:textId="025D4063" w:rsidR="0059499F" w:rsidRPr="0059499F" w:rsidRDefault="00194C1C" w:rsidP="004D2B16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12</w:t>
            </w:r>
          </w:p>
        </w:tc>
      </w:tr>
      <w:tr w:rsidR="00D92A8F" w:rsidRPr="0059499F" w14:paraId="76069258" w14:textId="77777777" w:rsidTr="002C25DE"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14:paraId="3E9FD67F" w14:textId="77777777" w:rsidR="00D92A8F" w:rsidRPr="0059499F" w:rsidRDefault="00D92A8F" w:rsidP="00664006">
            <w:pPr>
              <w:spacing w:before="60"/>
              <w:jc w:val="center"/>
              <w:rPr>
                <w:rFonts w:ascii="Arial Narrow" w:hAnsi="Arial Narrow" w:cs="Calibri"/>
                <w:szCs w:val="20"/>
              </w:rPr>
            </w:pPr>
            <w:r w:rsidRPr="0059499F">
              <w:rPr>
                <w:rFonts w:ascii="Arial Narrow" w:hAnsi="Arial Narrow" w:cs="Calibri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14F4944B" w14:textId="70160493" w:rsidR="00D92A8F" w:rsidRPr="0059499F" w:rsidRDefault="00F84386" w:rsidP="00F84386">
            <w:pPr>
              <w:ind w:left="133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/>
                <w:szCs w:val="18"/>
              </w:rPr>
              <w:t>G</w:t>
            </w:r>
            <w:r w:rsidR="00685EC0">
              <w:rPr>
                <w:rFonts w:ascii="Arial Narrow" w:hAnsi="Arial Narrow"/>
                <w:szCs w:val="18"/>
              </w:rPr>
              <w:t>rupy zakupowe</w:t>
            </w:r>
            <w:r w:rsidR="002C1EE3">
              <w:rPr>
                <w:rStyle w:val="Odwoanieprzypisudolnego"/>
                <w:rFonts w:ascii="Arial Narrow" w:hAnsi="Arial Narrow"/>
                <w:szCs w:val="18"/>
              </w:rPr>
              <w:footnoteReference w:id="1"/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14:paraId="73845B02" w14:textId="77777777" w:rsidR="00D92A8F" w:rsidRDefault="00D92A8F" w:rsidP="00581F20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  <w:r w:rsidRPr="0059499F">
              <w:rPr>
                <w:rFonts w:ascii="Arial Narrow" w:hAnsi="Arial Narrow" w:cs="Calibri"/>
                <w:szCs w:val="20"/>
              </w:rPr>
              <w:t>Pr</w:t>
            </w:r>
            <w:r w:rsidR="00581F20">
              <w:rPr>
                <w:rFonts w:ascii="Arial Narrow" w:hAnsi="Arial Narrow" w:cs="Calibri"/>
                <w:szCs w:val="20"/>
              </w:rPr>
              <w:t>zedsięwzięcie</w:t>
            </w:r>
            <w:r w:rsidRPr="0059499F">
              <w:rPr>
                <w:rFonts w:ascii="Arial Narrow" w:hAnsi="Arial Narrow" w:cs="Calibri"/>
                <w:szCs w:val="20"/>
              </w:rPr>
              <w:t xml:space="preserve"> jest </w:t>
            </w:r>
            <w:r w:rsidR="00CF5BA7">
              <w:rPr>
                <w:rFonts w:ascii="Arial Narrow" w:hAnsi="Arial Narrow" w:cs="Calibri"/>
                <w:szCs w:val="20"/>
              </w:rPr>
              <w:t>realizowan</w:t>
            </w:r>
            <w:r w:rsidR="00581F20">
              <w:rPr>
                <w:rFonts w:ascii="Arial Narrow" w:hAnsi="Arial Narrow" w:cs="Calibri"/>
                <w:szCs w:val="20"/>
              </w:rPr>
              <w:t>e</w:t>
            </w:r>
            <w:r w:rsidR="00CF5BA7">
              <w:rPr>
                <w:rFonts w:ascii="Arial Narrow" w:hAnsi="Arial Narrow" w:cs="Calibri"/>
                <w:szCs w:val="20"/>
              </w:rPr>
              <w:t xml:space="preserve"> przez więcej niż jednego organizatora przewozów</w:t>
            </w:r>
            <w:r w:rsidR="00685EC0">
              <w:rPr>
                <w:rFonts w:ascii="Arial Narrow" w:hAnsi="Arial Narrow" w:cs="Calibri"/>
                <w:szCs w:val="20"/>
              </w:rPr>
              <w:t xml:space="preserve"> / przedsiębiorstwo kolejowych przewozów pasażerskich</w:t>
            </w:r>
          </w:p>
          <w:p w14:paraId="358780BB" w14:textId="77777777" w:rsidR="00190CEA" w:rsidRDefault="00190CEA" w:rsidP="00581F20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</w:p>
          <w:p w14:paraId="05E9B6AD" w14:textId="2A625D00" w:rsidR="00190CEA" w:rsidRPr="0059499F" w:rsidRDefault="00190CEA" w:rsidP="00581F20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14:paraId="7211AB83" w14:textId="77777777" w:rsidR="00CF5BA7" w:rsidRPr="00664006" w:rsidRDefault="00CF5BA7" w:rsidP="002C25DE">
            <w:pPr>
              <w:spacing w:before="60"/>
              <w:ind w:left="127" w:right="142"/>
              <w:jc w:val="both"/>
              <w:rPr>
                <w:rFonts w:ascii="Arial Narrow" w:hAnsi="Arial Narrow"/>
                <w:szCs w:val="20"/>
              </w:rPr>
            </w:pPr>
            <w:r w:rsidRPr="00664006">
              <w:rPr>
                <w:rFonts w:ascii="Arial Narrow" w:hAnsi="Arial Narrow"/>
                <w:szCs w:val="20"/>
              </w:rPr>
              <w:t>3</w:t>
            </w:r>
            <w:r w:rsidR="00581F20">
              <w:rPr>
                <w:rFonts w:ascii="Arial Narrow" w:hAnsi="Arial Narrow"/>
                <w:szCs w:val="20"/>
              </w:rPr>
              <w:t xml:space="preserve"> pkt – przedsięwzięcie</w:t>
            </w:r>
            <w:r w:rsidRPr="00664006">
              <w:rPr>
                <w:rFonts w:ascii="Arial Narrow" w:hAnsi="Arial Narrow"/>
                <w:szCs w:val="20"/>
              </w:rPr>
              <w:t xml:space="preserve"> realizowan</w:t>
            </w:r>
            <w:r w:rsidR="00581F20">
              <w:rPr>
                <w:rFonts w:ascii="Arial Narrow" w:hAnsi="Arial Narrow"/>
                <w:szCs w:val="20"/>
              </w:rPr>
              <w:t>e</w:t>
            </w:r>
            <w:r w:rsidRPr="00664006">
              <w:rPr>
                <w:rFonts w:ascii="Arial Narrow" w:hAnsi="Arial Narrow"/>
                <w:szCs w:val="20"/>
              </w:rPr>
              <w:t xml:space="preserve"> przez więcej niż dwóch organizatorów przewozów</w:t>
            </w:r>
            <w:r w:rsidR="0082648C">
              <w:rPr>
                <w:rFonts w:ascii="Arial Narrow" w:hAnsi="Arial Narrow"/>
                <w:szCs w:val="20"/>
              </w:rPr>
              <w:t xml:space="preserve"> lub organizatorów przewozów i przedsiębiorstwa kolejowych przewozów pasażerskich (grupy zakupowe) </w:t>
            </w:r>
            <w:r w:rsidRPr="00664006">
              <w:rPr>
                <w:rFonts w:ascii="Arial Narrow" w:hAnsi="Arial Narrow"/>
                <w:szCs w:val="20"/>
              </w:rPr>
              <w:t xml:space="preserve">; </w:t>
            </w:r>
          </w:p>
          <w:p w14:paraId="2AEDC849" w14:textId="5755CD81" w:rsidR="00D92A8F" w:rsidRDefault="00581F20" w:rsidP="002C25DE">
            <w:pPr>
              <w:spacing w:before="60" w:after="60"/>
              <w:ind w:left="125" w:right="142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 pkt – przedsięwzięcie</w:t>
            </w:r>
            <w:r w:rsidR="00CF5BA7" w:rsidRPr="00664006">
              <w:rPr>
                <w:rFonts w:ascii="Arial Narrow" w:hAnsi="Arial Narrow"/>
                <w:szCs w:val="20"/>
              </w:rPr>
              <w:t xml:space="preserve"> realizowan</w:t>
            </w:r>
            <w:r>
              <w:rPr>
                <w:rFonts w:ascii="Arial Narrow" w:hAnsi="Arial Narrow"/>
                <w:szCs w:val="20"/>
              </w:rPr>
              <w:t>e</w:t>
            </w:r>
            <w:r w:rsidR="00CF5BA7" w:rsidRPr="00664006">
              <w:rPr>
                <w:rFonts w:ascii="Arial Narrow" w:hAnsi="Arial Narrow"/>
                <w:szCs w:val="20"/>
              </w:rPr>
              <w:t xml:space="preserve"> przez dwóch organizatorów przewozów</w:t>
            </w:r>
            <w:r w:rsidR="0082648C">
              <w:rPr>
                <w:rFonts w:ascii="Arial Narrow" w:hAnsi="Arial Narrow"/>
                <w:szCs w:val="20"/>
              </w:rPr>
              <w:t xml:space="preserve"> lub organizatora przewozów i przedsiębiorstwo kolejowych przewozów pasażerskich</w:t>
            </w:r>
            <w:r w:rsidR="00622E0D">
              <w:rPr>
                <w:rFonts w:ascii="Arial Narrow" w:hAnsi="Arial Narrow"/>
                <w:szCs w:val="20"/>
              </w:rPr>
              <w:t>,</w:t>
            </w:r>
            <w:r w:rsidR="00B037A9">
              <w:rPr>
                <w:rFonts w:ascii="Arial Narrow" w:hAnsi="Arial Narrow"/>
                <w:szCs w:val="20"/>
              </w:rPr>
              <w:t xml:space="preserve"> </w:t>
            </w:r>
            <w:r w:rsidR="00B037A9" w:rsidRPr="00B037A9">
              <w:rPr>
                <w:rFonts w:ascii="Arial Narrow" w:hAnsi="Arial Narrow"/>
                <w:szCs w:val="20"/>
              </w:rPr>
              <w:t>co najmniej dwa przedsiębiorstwa kolejowe świadczące usługi przewo</w:t>
            </w:r>
            <w:r w:rsidR="00B037A9">
              <w:rPr>
                <w:rFonts w:ascii="Arial Narrow" w:hAnsi="Arial Narrow"/>
                <w:szCs w:val="20"/>
              </w:rPr>
              <w:t xml:space="preserve">zów pasażerskich </w:t>
            </w:r>
            <w:r w:rsidR="0082648C">
              <w:rPr>
                <w:rFonts w:ascii="Arial Narrow" w:hAnsi="Arial Narrow"/>
                <w:szCs w:val="20"/>
              </w:rPr>
              <w:t xml:space="preserve"> (grupy zakupowe)</w:t>
            </w:r>
            <w:r w:rsidR="00CF5BA7" w:rsidRPr="00664006">
              <w:rPr>
                <w:rFonts w:ascii="Arial Narrow" w:hAnsi="Arial Narrow"/>
                <w:szCs w:val="20"/>
              </w:rPr>
              <w:t>.</w:t>
            </w:r>
          </w:p>
          <w:p w14:paraId="7F29708F" w14:textId="77777777" w:rsidR="0082648C" w:rsidRPr="00664006" w:rsidRDefault="0082648C" w:rsidP="002C25DE">
            <w:pPr>
              <w:spacing w:before="60" w:after="60"/>
              <w:ind w:left="125" w:right="142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 pkt – przedsięwzięcie realizowane jest przez jednego organizatora przewozów lub jedno przedsiębiorstwo kolejowych przewozów pasażerskich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3D00832" w14:textId="77777777" w:rsidR="00D92A8F" w:rsidRPr="0059499F" w:rsidRDefault="002C25DE" w:rsidP="002C25DE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D755E3" w14:textId="77777777" w:rsidR="00D92A8F" w:rsidRPr="00664006" w:rsidRDefault="003D609F" w:rsidP="00664006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 w:rsidRPr="00664006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3</w:t>
            </w:r>
          </w:p>
        </w:tc>
      </w:tr>
      <w:tr w:rsidR="00CF5BA7" w:rsidRPr="0059499F" w14:paraId="286DF374" w14:textId="77777777" w:rsidTr="002C25DE">
        <w:tc>
          <w:tcPr>
            <w:tcW w:w="572" w:type="dxa"/>
            <w:shd w:val="clear" w:color="auto" w:fill="auto"/>
            <w:vAlign w:val="center"/>
          </w:tcPr>
          <w:p w14:paraId="7529329A" w14:textId="77777777" w:rsidR="00CF5BA7" w:rsidRPr="0059499F" w:rsidRDefault="00CF5BA7" w:rsidP="008A1541">
            <w:pPr>
              <w:spacing w:before="6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3</w:t>
            </w:r>
            <w:r w:rsidRPr="0059499F">
              <w:rPr>
                <w:rFonts w:ascii="Arial Narrow" w:hAnsi="Arial Narrow" w:cs="Calibri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8728DE" w14:textId="0179D110" w:rsidR="000B7C55" w:rsidRPr="000B7C55" w:rsidRDefault="00CF5BA7" w:rsidP="000B7C55">
            <w:pPr>
              <w:ind w:left="133" w:right="145"/>
              <w:jc w:val="both"/>
              <w:rPr>
                <w:rFonts w:ascii="Arial Narrow" w:hAnsi="Arial Narrow"/>
                <w:szCs w:val="18"/>
              </w:rPr>
            </w:pPr>
            <w:r w:rsidRPr="008A1541">
              <w:rPr>
                <w:rFonts w:ascii="Arial Narrow" w:hAnsi="Arial Narrow"/>
                <w:szCs w:val="18"/>
              </w:rPr>
              <w:t>Wpływ na dostępność kolei dla osób z niepełnosprawnościami i osób o ograniczonej mobilności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539F62" w14:textId="77777777" w:rsidR="00CF5BA7" w:rsidRDefault="00CF5BA7" w:rsidP="008A1541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 xml:space="preserve">Ocena w jaki sposób planowany do zakupu tabor wpływa na dostępność kolei </w:t>
            </w:r>
            <w:r w:rsidRPr="007F4560">
              <w:rPr>
                <w:rFonts w:ascii="Arial Narrow" w:hAnsi="Arial Narrow" w:cs="Calibri"/>
                <w:szCs w:val="20"/>
              </w:rPr>
              <w:t>dla osób z niepełnosprawnościami i</w:t>
            </w:r>
            <w:r>
              <w:rPr>
                <w:rFonts w:ascii="Arial Narrow" w:hAnsi="Arial Narrow" w:cs="Calibri"/>
                <w:szCs w:val="20"/>
              </w:rPr>
              <w:t xml:space="preserve"> osób o ograniczonej mobilności</w:t>
            </w:r>
          </w:p>
          <w:p w14:paraId="45AE08B2" w14:textId="77777777" w:rsidR="00190CEA" w:rsidRDefault="00190CEA" w:rsidP="008A1541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</w:p>
          <w:p w14:paraId="0437AE49" w14:textId="40905BC5" w:rsidR="00190CEA" w:rsidRPr="0059499F" w:rsidRDefault="00190CEA" w:rsidP="008A1541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6663" w:type="dxa"/>
            <w:shd w:val="clear" w:color="auto" w:fill="auto"/>
          </w:tcPr>
          <w:p w14:paraId="6725CDA1" w14:textId="77777777" w:rsidR="00CF5BA7" w:rsidRDefault="00CF5BA7" w:rsidP="002C25DE">
            <w:pPr>
              <w:widowControl/>
              <w:spacing w:before="60" w:after="60"/>
              <w:ind w:left="125" w:right="142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 w:rsidRPr="007F456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2 pkt – t</w:t>
            </w:r>
            <w:r w:rsidR="00581F2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abor zakupiony w ramach przedsięwzięcia</w:t>
            </w:r>
            <w:r w:rsidRPr="007F456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 będzie wyposażony w dodatkowe (ponad wymagania TSI) elementy zwięk</w:t>
            </w: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szające dostępność takie jak instalacja pętli indukcyjnych w całym składzie, </w:t>
            </w:r>
            <w:r w:rsidRPr="00813F1C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tłumaczenie PJM do wszystkich informacji wyświetlanych na wyświetlaczach w pojeździe</w:t>
            </w: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, </w:t>
            </w:r>
            <w:r w:rsidRPr="00813F1C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wydzielone miejsca dla osób ze spektrum autyzmu</w:t>
            </w: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itp</w:t>
            </w:r>
            <w:proofErr w:type="spellEnd"/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:</w:t>
            </w:r>
          </w:p>
          <w:p w14:paraId="304E92A6" w14:textId="77777777" w:rsidR="00CF5BA7" w:rsidRDefault="00CF5BA7" w:rsidP="002C25DE">
            <w:pPr>
              <w:widowControl/>
              <w:spacing w:after="60"/>
              <w:ind w:left="720" w:right="142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0 pkt – brak dodatkowych elementów wykraczających poza TSI,</w:t>
            </w:r>
          </w:p>
          <w:p w14:paraId="515CB921" w14:textId="77777777" w:rsidR="00CF5BA7" w:rsidRDefault="00CF5BA7" w:rsidP="002C25DE">
            <w:pPr>
              <w:widowControl/>
              <w:spacing w:after="60"/>
              <w:ind w:left="720" w:right="142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1 pkt – dodatkowy jeden element wykraczający poza TSI,</w:t>
            </w:r>
          </w:p>
          <w:p w14:paraId="6D37041F" w14:textId="77777777" w:rsidR="00CF5BA7" w:rsidRPr="007F4560" w:rsidRDefault="00CF5BA7" w:rsidP="002C25DE">
            <w:pPr>
              <w:widowControl/>
              <w:spacing w:after="60"/>
              <w:ind w:left="720" w:right="142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2 pkt – dwa lub więcej dodatkowych elementów wykraczających poza TSI</w:t>
            </w:r>
          </w:p>
          <w:p w14:paraId="72A610FF" w14:textId="77777777" w:rsidR="00CF5BA7" w:rsidRPr="007F4560" w:rsidRDefault="00CF5BA7" w:rsidP="002C25DE">
            <w:pPr>
              <w:widowControl/>
              <w:spacing w:after="60"/>
              <w:ind w:left="127" w:right="142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 w:rsidRPr="007F456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2 pkt – t</w:t>
            </w:r>
            <w:r w:rsidR="00581F2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abor zakupiony w ramach przedsięwzięcia</w:t>
            </w:r>
            <w:r w:rsidRPr="007F456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 (przynajmniej częściowo) zastąpi tabor, który nie był dostosowany do przewozu osób o ograniczonej mobilności;</w:t>
            </w:r>
          </w:p>
          <w:p w14:paraId="67E6EAAA" w14:textId="77777777" w:rsidR="00CF5BA7" w:rsidRPr="0059499F" w:rsidRDefault="00CF5BA7" w:rsidP="002C25DE">
            <w:pPr>
              <w:spacing w:after="60"/>
              <w:ind w:left="127" w:right="142"/>
              <w:rPr>
                <w:rFonts w:ascii="Arial Narrow" w:eastAsia="Calibri" w:hAnsi="Arial Narrow" w:cs="Calibri"/>
                <w:szCs w:val="20"/>
                <w:lang w:eastAsia="en-US"/>
              </w:rPr>
            </w:pPr>
            <w:r w:rsidRPr="007F456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1 pkt - t</w:t>
            </w:r>
            <w:r w:rsidR="00581F2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abor zakupiony w ramach przedsięwzięcia</w:t>
            </w:r>
            <w:r w:rsidRPr="007F456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 zwiększy ilość połączeń realizowanych taborem dostosowanym do przewozu osób o ograniczonej mobilności.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0C5687B" w14:textId="77777777" w:rsidR="00CF5BA7" w:rsidRPr="0059499F" w:rsidRDefault="002C25DE" w:rsidP="002C25DE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45FFAA" w14:textId="77777777" w:rsidR="00CF5BA7" w:rsidRPr="0059499F" w:rsidRDefault="003D609F" w:rsidP="008A1541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5</w:t>
            </w:r>
          </w:p>
        </w:tc>
      </w:tr>
      <w:tr w:rsidR="00CF5BA7" w:rsidRPr="0059499F" w14:paraId="2E3C1055" w14:textId="77777777" w:rsidTr="002C25DE">
        <w:tc>
          <w:tcPr>
            <w:tcW w:w="572" w:type="dxa"/>
            <w:shd w:val="clear" w:color="auto" w:fill="auto"/>
            <w:vAlign w:val="center"/>
          </w:tcPr>
          <w:p w14:paraId="1D2162B0" w14:textId="77777777" w:rsidR="00CF5BA7" w:rsidRDefault="00934EFB" w:rsidP="00330786">
            <w:pPr>
              <w:spacing w:before="6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D3C099" w14:textId="48285563" w:rsidR="000B7C55" w:rsidRPr="000B7C55" w:rsidRDefault="00CF5BA7" w:rsidP="000B7C55">
            <w:pPr>
              <w:ind w:left="133" w:right="145"/>
              <w:rPr>
                <w:rFonts w:ascii="Arial Narrow" w:hAnsi="Arial Narrow"/>
                <w:szCs w:val="18"/>
              </w:rPr>
            </w:pPr>
            <w:r w:rsidRPr="00330786">
              <w:rPr>
                <w:rFonts w:ascii="Arial Narrow" w:hAnsi="Arial Narrow"/>
                <w:szCs w:val="18"/>
              </w:rPr>
              <w:t xml:space="preserve">Efektywność dofinansowania – </w:t>
            </w:r>
            <w:r w:rsidR="00330786" w:rsidRPr="00330786">
              <w:rPr>
                <w:rFonts w:ascii="Arial Narrow" w:hAnsi="Arial Narrow"/>
                <w:szCs w:val="18"/>
              </w:rPr>
              <w:t>zakładana praca eksploatacyjna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4C247E" w14:textId="77777777" w:rsidR="00CF5BA7" w:rsidRDefault="00CF5BA7" w:rsidP="007E1293">
            <w:pPr>
              <w:spacing w:before="60"/>
              <w:ind w:left="126" w:right="144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Zakładana praca eksploatacyjna taboru objętego wnioskiem</w:t>
            </w:r>
          </w:p>
          <w:p w14:paraId="2244FAB7" w14:textId="77777777" w:rsidR="00190CEA" w:rsidRDefault="00190CEA" w:rsidP="007E1293">
            <w:pPr>
              <w:spacing w:before="60"/>
              <w:ind w:left="126" w:right="144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</w:p>
          <w:p w14:paraId="6A906C12" w14:textId="4B52F195" w:rsidR="00190CEA" w:rsidRPr="00CF5BA7" w:rsidRDefault="00190CEA" w:rsidP="007E1293">
            <w:pPr>
              <w:spacing w:before="60"/>
              <w:ind w:left="126" w:right="144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 xml:space="preserve">Istnieje możliwość poprawy/uzupełnienia wniosku o objęcie przedsięwzięcia wsparciem </w:t>
            </w:r>
            <w:r w:rsidRPr="00190CEA">
              <w:rPr>
                <w:rFonts w:ascii="Arial Narrow" w:hAnsi="Arial Narrow" w:cs="Calibri"/>
                <w:spacing w:val="4"/>
                <w:szCs w:val="20"/>
              </w:rPr>
              <w:lastRenderedPageBreak/>
              <w:t>w zakresie niniejszego kryterium na etapie oceny spełnienia kryteriów wyboru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18EDB1C" w14:textId="77777777" w:rsidR="00A241DE" w:rsidRDefault="00924D8C" w:rsidP="00581F20">
            <w:pPr>
              <w:spacing w:after="60"/>
              <w:ind w:left="127" w:righ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18"/>
              </w:rPr>
              <w:lastRenderedPageBreak/>
              <w:t>M</w:t>
            </w:r>
            <w:r w:rsidR="00A241DE" w:rsidRPr="00A241DE">
              <w:rPr>
                <w:rFonts w:ascii="Arial Narrow" w:hAnsi="Arial Narrow"/>
              </w:rPr>
              <w:t>ożliwe będzie wykonywanie średnio co najmniej x km pojazdem zakupionym w ramach przedsięwzięcia w pierwszym roku po zakończeniu przedsięwzięcia</w:t>
            </w:r>
            <w:r>
              <w:rPr>
                <w:rFonts w:ascii="Arial Narrow" w:hAnsi="Arial Narrow"/>
              </w:rPr>
              <w:t xml:space="preserve"> </w:t>
            </w:r>
          </w:p>
          <w:p w14:paraId="2078A295" w14:textId="4E7BD13C" w:rsidR="00924D8C" w:rsidRDefault="00924D8C" w:rsidP="00581F20">
            <w:pPr>
              <w:spacing w:after="60"/>
              <w:ind w:left="127" w:right="142"/>
              <w:jc w:val="both"/>
              <w:rPr>
                <w:rFonts w:ascii="Arial Narrow" w:hAnsi="Arial Narrow"/>
              </w:rPr>
            </w:pPr>
            <w:r w:rsidRPr="00924D8C">
              <w:rPr>
                <w:rFonts w:ascii="Arial Narrow" w:hAnsi="Arial Narrow"/>
              </w:rPr>
              <w:t xml:space="preserve">2 pkt – 120 tyś </w:t>
            </w:r>
            <w:proofErr w:type="spellStart"/>
            <w:r w:rsidRPr="00924D8C">
              <w:rPr>
                <w:rFonts w:ascii="Arial Narrow" w:hAnsi="Arial Narrow"/>
              </w:rPr>
              <w:t>po</w:t>
            </w:r>
            <w:r w:rsidR="002C1EE3">
              <w:rPr>
                <w:rFonts w:ascii="Arial Narrow" w:hAnsi="Arial Narrow"/>
              </w:rPr>
              <w:t>jazdo</w:t>
            </w:r>
            <w:proofErr w:type="spellEnd"/>
            <w:r w:rsidR="002C1EE3">
              <w:rPr>
                <w:rFonts w:ascii="Arial Narrow" w:hAnsi="Arial Narrow"/>
              </w:rPr>
              <w:t>-</w:t>
            </w:r>
            <w:r w:rsidRPr="00924D8C">
              <w:rPr>
                <w:rFonts w:ascii="Arial Narrow" w:hAnsi="Arial Narrow"/>
              </w:rPr>
              <w:t>km/rok ≤ średni przebieg</w:t>
            </w:r>
          </w:p>
          <w:p w14:paraId="4F01E6B3" w14:textId="25A83F3B" w:rsidR="00924D8C" w:rsidRDefault="00924D8C" w:rsidP="00581F20">
            <w:pPr>
              <w:spacing w:after="60"/>
              <w:ind w:left="127" w:right="142"/>
              <w:jc w:val="both"/>
              <w:rPr>
                <w:rFonts w:ascii="Arial Narrow" w:hAnsi="Arial Narrow"/>
              </w:rPr>
            </w:pPr>
            <w:r w:rsidRPr="00924D8C">
              <w:rPr>
                <w:rFonts w:ascii="Arial Narrow" w:hAnsi="Arial Narrow"/>
              </w:rPr>
              <w:t>1 pkt –</w:t>
            </w:r>
            <w:r>
              <w:rPr>
                <w:rFonts w:ascii="Arial Narrow" w:hAnsi="Arial Narrow"/>
              </w:rPr>
              <w:t xml:space="preserve"> </w:t>
            </w:r>
            <w:r w:rsidRPr="00924D8C">
              <w:rPr>
                <w:rFonts w:ascii="Arial Narrow" w:hAnsi="Arial Narrow"/>
              </w:rPr>
              <w:t xml:space="preserve">80 </w:t>
            </w:r>
            <w:proofErr w:type="spellStart"/>
            <w:r w:rsidRPr="00924D8C">
              <w:rPr>
                <w:rFonts w:ascii="Arial Narrow" w:hAnsi="Arial Narrow"/>
              </w:rPr>
              <w:t>tys</w:t>
            </w:r>
            <w:proofErr w:type="spellEnd"/>
            <w:r w:rsidRPr="00924D8C">
              <w:rPr>
                <w:rFonts w:ascii="Arial Narrow" w:hAnsi="Arial Narrow"/>
              </w:rPr>
              <w:t xml:space="preserve"> </w:t>
            </w:r>
            <w:proofErr w:type="spellStart"/>
            <w:r w:rsidRPr="00924D8C">
              <w:rPr>
                <w:rFonts w:ascii="Arial Narrow" w:hAnsi="Arial Narrow"/>
              </w:rPr>
              <w:t>p</w:t>
            </w:r>
            <w:r w:rsidR="002C1EE3">
              <w:rPr>
                <w:rFonts w:ascii="Arial Narrow" w:hAnsi="Arial Narrow"/>
              </w:rPr>
              <w:t>ojazdo</w:t>
            </w:r>
            <w:proofErr w:type="spellEnd"/>
            <w:r w:rsidR="002C1EE3">
              <w:rPr>
                <w:rFonts w:ascii="Arial Narrow" w:hAnsi="Arial Narrow"/>
              </w:rPr>
              <w:t>-</w:t>
            </w:r>
            <w:r w:rsidRPr="00924D8C">
              <w:rPr>
                <w:rFonts w:ascii="Arial Narrow" w:hAnsi="Arial Narrow"/>
              </w:rPr>
              <w:t>km/rok</w:t>
            </w:r>
            <w:r>
              <w:rPr>
                <w:rFonts w:ascii="Arial Narrow" w:hAnsi="Arial Narrow"/>
              </w:rPr>
              <w:t xml:space="preserve"> </w:t>
            </w:r>
            <w:r w:rsidRPr="00924D8C">
              <w:rPr>
                <w:rFonts w:ascii="Arial Narrow" w:hAnsi="Arial Narrow"/>
              </w:rPr>
              <w:t xml:space="preserve">≤ średni przebieg &lt; 120 tyś </w:t>
            </w:r>
            <w:proofErr w:type="spellStart"/>
            <w:r w:rsidR="002C1EE3">
              <w:rPr>
                <w:rFonts w:ascii="Arial Narrow" w:hAnsi="Arial Narrow"/>
              </w:rPr>
              <w:t>pojazdo</w:t>
            </w:r>
            <w:proofErr w:type="spellEnd"/>
            <w:r w:rsidR="002C1EE3">
              <w:rPr>
                <w:rFonts w:ascii="Arial Narrow" w:hAnsi="Arial Narrow"/>
              </w:rPr>
              <w:t>-km</w:t>
            </w:r>
            <w:r w:rsidRPr="00924D8C">
              <w:rPr>
                <w:rFonts w:ascii="Arial Narrow" w:hAnsi="Arial Narrow"/>
              </w:rPr>
              <w:t>/rok</w:t>
            </w:r>
          </w:p>
          <w:p w14:paraId="16FC4030" w14:textId="6FD8B5C2" w:rsidR="00924D8C" w:rsidRPr="00E15D14" w:rsidRDefault="00924D8C" w:rsidP="002C1EE3">
            <w:pPr>
              <w:spacing w:after="60"/>
              <w:ind w:left="127" w:right="142"/>
              <w:jc w:val="both"/>
              <w:rPr>
                <w:rFonts w:ascii="Arial Narrow" w:hAnsi="Arial Narrow"/>
              </w:rPr>
            </w:pPr>
            <w:r w:rsidRPr="00924D8C">
              <w:rPr>
                <w:rFonts w:ascii="Arial Narrow" w:hAnsi="Arial Narrow"/>
              </w:rPr>
              <w:t xml:space="preserve">0 pkt – 0 </w:t>
            </w:r>
            <w:proofErr w:type="spellStart"/>
            <w:r>
              <w:rPr>
                <w:rFonts w:ascii="Arial Narrow" w:hAnsi="Arial Narrow"/>
              </w:rPr>
              <w:t>tys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2C1EE3">
              <w:rPr>
                <w:rFonts w:ascii="Arial Narrow" w:hAnsi="Arial Narrow"/>
              </w:rPr>
              <w:t>pojazdo</w:t>
            </w:r>
            <w:proofErr w:type="spellEnd"/>
            <w:r w:rsidR="002C1EE3">
              <w:rPr>
                <w:rFonts w:ascii="Arial Narrow" w:hAnsi="Arial Narrow"/>
              </w:rPr>
              <w:t>-km</w:t>
            </w:r>
            <w:r>
              <w:rPr>
                <w:rFonts w:ascii="Arial Narrow" w:hAnsi="Arial Narrow"/>
              </w:rPr>
              <w:t xml:space="preserve">/rok </w:t>
            </w:r>
            <w:r w:rsidRPr="00924D8C">
              <w:rPr>
                <w:rFonts w:ascii="Arial Narrow" w:hAnsi="Arial Narrow"/>
              </w:rPr>
              <w:t xml:space="preserve">&lt; średni przebieg &lt; 80 </w:t>
            </w:r>
            <w:proofErr w:type="spellStart"/>
            <w:r w:rsidRPr="00924D8C">
              <w:rPr>
                <w:rFonts w:ascii="Arial Narrow" w:hAnsi="Arial Narrow"/>
              </w:rPr>
              <w:t>tys</w:t>
            </w:r>
            <w:proofErr w:type="spellEnd"/>
            <w:r w:rsidRPr="00924D8C">
              <w:rPr>
                <w:rFonts w:ascii="Arial Narrow" w:hAnsi="Arial Narrow"/>
              </w:rPr>
              <w:t xml:space="preserve"> </w:t>
            </w:r>
            <w:proofErr w:type="spellStart"/>
            <w:r w:rsidR="002C1EE3">
              <w:rPr>
                <w:rFonts w:ascii="Arial Narrow" w:hAnsi="Arial Narrow"/>
              </w:rPr>
              <w:t>pojazdo</w:t>
            </w:r>
            <w:proofErr w:type="spellEnd"/>
            <w:r w:rsidR="002C1EE3">
              <w:rPr>
                <w:rFonts w:ascii="Arial Narrow" w:hAnsi="Arial Narrow"/>
              </w:rPr>
              <w:t>-km</w:t>
            </w:r>
            <w:r w:rsidRPr="00924D8C">
              <w:rPr>
                <w:rFonts w:ascii="Arial Narrow" w:hAnsi="Arial Narrow"/>
              </w:rPr>
              <w:t>/rok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373F23" w14:textId="77777777" w:rsidR="00CF5BA7" w:rsidRPr="0059499F" w:rsidRDefault="00B611CB" w:rsidP="002C25DE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7E096A" w14:textId="77777777" w:rsidR="00CF5BA7" w:rsidRPr="0059499F" w:rsidRDefault="00B611CB" w:rsidP="007E1293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4</w:t>
            </w:r>
          </w:p>
        </w:tc>
      </w:tr>
      <w:tr w:rsidR="0082648C" w:rsidRPr="0059499F" w14:paraId="60DF857A" w14:textId="77777777" w:rsidTr="002C25DE">
        <w:tc>
          <w:tcPr>
            <w:tcW w:w="572" w:type="dxa"/>
            <w:shd w:val="clear" w:color="auto" w:fill="auto"/>
            <w:vAlign w:val="center"/>
          </w:tcPr>
          <w:p w14:paraId="514B6B37" w14:textId="0D60D093" w:rsidR="0082648C" w:rsidRDefault="0082648C" w:rsidP="00330786">
            <w:pPr>
              <w:spacing w:before="6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5CEAC1" w14:textId="307180A4" w:rsidR="000B7C55" w:rsidRPr="00330786" w:rsidRDefault="00184D20" w:rsidP="000B7C55">
            <w:pPr>
              <w:ind w:left="133" w:right="145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Montaż finansowy przedsięwzięcia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A6DCC8" w14:textId="245A8719" w:rsidR="0082648C" w:rsidRDefault="00AE6A9B" w:rsidP="00933DCF">
            <w:pPr>
              <w:spacing w:before="60"/>
              <w:ind w:left="126" w:right="144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F</w:t>
            </w:r>
            <w:r w:rsidR="00184D2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inansowanie przedsięwzięcia </w:t>
            </w: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uwzględnia wykorzystanie </w:t>
            </w:r>
            <w:r w:rsidR="00184D20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 xml:space="preserve">części dotacyjnej oraz </w:t>
            </w:r>
            <w:r w:rsidR="00933DCF"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wkładu własnego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470C95C" w14:textId="51F01F8F" w:rsidR="00184D20" w:rsidRDefault="00933DCF" w:rsidP="00AE6A9B">
            <w:pPr>
              <w:spacing w:before="60" w:after="60"/>
              <w:ind w:left="125" w:right="142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4</w:t>
            </w:r>
            <w:r w:rsidR="00184D20">
              <w:rPr>
                <w:rFonts w:ascii="Arial Narrow" w:hAnsi="Arial Narrow"/>
                <w:szCs w:val="18"/>
              </w:rPr>
              <w:t xml:space="preserve"> pkt – finansowanie przedsięwzięcia </w:t>
            </w:r>
            <w:r w:rsidR="00AE6A9B">
              <w:rPr>
                <w:rFonts w:ascii="Arial Narrow" w:hAnsi="Arial Narrow"/>
                <w:szCs w:val="18"/>
              </w:rPr>
              <w:t>zakłada</w:t>
            </w:r>
            <w:r w:rsidR="00184D20">
              <w:rPr>
                <w:rFonts w:ascii="Arial Narrow" w:hAnsi="Arial Narrow"/>
                <w:szCs w:val="18"/>
              </w:rPr>
              <w:t xml:space="preserve"> </w:t>
            </w:r>
            <w:r w:rsidR="00AE6A9B">
              <w:rPr>
                <w:rFonts w:ascii="Arial Narrow" w:hAnsi="Arial Narrow"/>
                <w:szCs w:val="18"/>
              </w:rPr>
              <w:t xml:space="preserve">dotację mniejszą </w:t>
            </w:r>
            <w:r w:rsidR="00F84386">
              <w:rPr>
                <w:rFonts w:ascii="Arial Narrow" w:hAnsi="Arial Narrow"/>
                <w:szCs w:val="18"/>
              </w:rPr>
              <w:t xml:space="preserve">lub równą </w:t>
            </w:r>
            <w:r w:rsidR="00AE6A9B">
              <w:rPr>
                <w:rFonts w:ascii="Arial Narrow" w:hAnsi="Arial Narrow"/>
                <w:szCs w:val="18"/>
              </w:rPr>
              <w:t xml:space="preserve"> 50% wnioskowanego wsparcia </w:t>
            </w:r>
            <w:r w:rsidR="00773491">
              <w:rPr>
                <w:rFonts w:ascii="Arial Narrow" w:hAnsi="Arial Narrow"/>
                <w:szCs w:val="18"/>
              </w:rPr>
              <w:t xml:space="preserve">i </w:t>
            </w:r>
            <w:r>
              <w:rPr>
                <w:rFonts w:ascii="Arial Narrow" w:hAnsi="Arial Narrow"/>
                <w:szCs w:val="18"/>
              </w:rPr>
              <w:t>wkład własny większy</w:t>
            </w:r>
            <w:r w:rsidR="00773491">
              <w:rPr>
                <w:rFonts w:ascii="Arial Narrow" w:hAnsi="Arial Narrow"/>
                <w:szCs w:val="18"/>
              </w:rPr>
              <w:t xml:space="preserve"> </w:t>
            </w:r>
            <w:r w:rsidR="00F84386">
              <w:rPr>
                <w:rFonts w:ascii="Arial Narrow" w:hAnsi="Arial Narrow"/>
                <w:szCs w:val="18"/>
              </w:rPr>
              <w:t xml:space="preserve"> lub równy</w:t>
            </w:r>
            <w:r w:rsidR="00773491">
              <w:rPr>
                <w:rFonts w:ascii="Arial Narrow" w:hAnsi="Arial Narrow"/>
                <w:szCs w:val="18"/>
              </w:rPr>
              <w:t xml:space="preserve"> 50% wnioskowanego wsparcia</w:t>
            </w:r>
          </w:p>
          <w:p w14:paraId="55E9AD0E" w14:textId="556460C7" w:rsidR="00583742" w:rsidRDefault="00933DCF" w:rsidP="007E1293">
            <w:pPr>
              <w:spacing w:before="60" w:after="60"/>
              <w:ind w:left="125" w:right="142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2</w:t>
            </w:r>
            <w:r w:rsidR="00583742">
              <w:rPr>
                <w:rFonts w:ascii="Arial Narrow" w:hAnsi="Arial Narrow"/>
                <w:szCs w:val="18"/>
              </w:rPr>
              <w:t xml:space="preserve"> pkt – finansowanie przedsięwzięcia </w:t>
            </w:r>
            <w:r w:rsidR="00AE6A9B">
              <w:rPr>
                <w:rFonts w:ascii="Arial Narrow" w:hAnsi="Arial Narrow"/>
                <w:szCs w:val="18"/>
              </w:rPr>
              <w:t>zakłada</w:t>
            </w:r>
            <w:r w:rsidR="00583742">
              <w:rPr>
                <w:rFonts w:ascii="Arial Narrow" w:hAnsi="Arial Narrow"/>
                <w:szCs w:val="18"/>
              </w:rPr>
              <w:t xml:space="preserve"> </w:t>
            </w:r>
            <w:r w:rsidR="00AE6A9B">
              <w:rPr>
                <w:rFonts w:ascii="Arial Narrow" w:hAnsi="Arial Narrow"/>
                <w:szCs w:val="18"/>
              </w:rPr>
              <w:t>dotację stanowiącą od 5</w:t>
            </w:r>
            <w:r w:rsidR="00B037A9">
              <w:rPr>
                <w:rFonts w:ascii="Arial Narrow" w:hAnsi="Arial Narrow"/>
                <w:szCs w:val="18"/>
              </w:rPr>
              <w:t>1</w:t>
            </w:r>
            <w:r w:rsidR="00AE6A9B">
              <w:rPr>
                <w:rFonts w:ascii="Arial Narrow" w:hAnsi="Arial Narrow"/>
                <w:szCs w:val="18"/>
              </w:rPr>
              <w:t xml:space="preserve"> do </w:t>
            </w:r>
            <w:r>
              <w:rPr>
                <w:rFonts w:ascii="Arial Narrow" w:hAnsi="Arial Narrow"/>
                <w:szCs w:val="18"/>
              </w:rPr>
              <w:t>84</w:t>
            </w:r>
            <w:r w:rsidR="00AE6A9B">
              <w:rPr>
                <w:rFonts w:ascii="Arial Narrow" w:hAnsi="Arial Narrow"/>
                <w:szCs w:val="18"/>
              </w:rPr>
              <w:t>% wnioskowanego wsparcia</w:t>
            </w:r>
            <w:r w:rsidR="00773491">
              <w:rPr>
                <w:rFonts w:ascii="Arial Narrow" w:hAnsi="Arial Narrow"/>
                <w:szCs w:val="18"/>
              </w:rPr>
              <w:t xml:space="preserve"> oraz </w:t>
            </w:r>
            <w:r>
              <w:rPr>
                <w:rFonts w:ascii="Arial Narrow" w:hAnsi="Arial Narrow"/>
                <w:szCs w:val="18"/>
              </w:rPr>
              <w:t xml:space="preserve">wkład własny </w:t>
            </w:r>
            <w:r w:rsidR="00773491">
              <w:rPr>
                <w:rFonts w:ascii="Arial Narrow" w:hAnsi="Arial Narrow"/>
                <w:szCs w:val="18"/>
              </w:rPr>
              <w:t>stanowiąc</w:t>
            </w:r>
            <w:r>
              <w:rPr>
                <w:rFonts w:ascii="Arial Narrow" w:hAnsi="Arial Narrow"/>
                <w:szCs w:val="18"/>
              </w:rPr>
              <w:t>y 16</w:t>
            </w:r>
            <w:r w:rsidR="00773491">
              <w:rPr>
                <w:rFonts w:ascii="Arial Narrow" w:hAnsi="Arial Narrow"/>
                <w:szCs w:val="18"/>
              </w:rPr>
              <w:t>-</w:t>
            </w:r>
            <w:r w:rsidR="00D01C3E">
              <w:rPr>
                <w:rFonts w:ascii="Arial Narrow" w:hAnsi="Arial Narrow"/>
                <w:szCs w:val="18"/>
              </w:rPr>
              <w:t>49</w:t>
            </w:r>
            <w:r w:rsidR="00773491">
              <w:rPr>
                <w:rFonts w:ascii="Arial Narrow" w:hAnsi="Arial Narrow"/>
                <w:szCs w:val="18"/>
              </w:rPr>
              <w:t>% wnioskowanego wsparcia</w:t>
            </w:r>
          </w:p>
          <w:p w14:paraId="00A0DBBD" w14:textId="17BC43AB" w:rsidR="00184D20" w:rsidRPr="007E1293" w:rsidRDefault="00933DCF" w:rsidP="00933DCF">
            <w:pPr>
              <w:spacing w:before="60" w:after="60"/>
              <w:ind w:left="125" w:right="142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0</w:t>
            </w:r>
            <w:r w:rsidR="00184D20">
              <w:rPr>
                <w:rFonts w:ascii="Arial Narrow" w:hAnsi="Arial Narrow"/>
                <w:szCs w:val="18"/>
              </w:rPr>
              <w:t xml:space="preserve"> pkt – finansowanie przedsięwzięcia </w:t>
            </w:r>
            <w:r w:rsidR="00773491">
              <w:rPr>
                <w:rFonts w:ascii="Arial Narrow" w:hAnsi="Arial Narrow"/>
                <w:szCs w:val="18"/>
              </w:rPr>
              <w:t xml:space="preserve">zakłada </w:t>
            </w:r>
            <w:r w:rsidR="00DC0030">
              <w:rPr>
                <w:rFonts w:ascii="Arial Narrow" w:hAnsi="Arial Narrow"/>
                <w:szCs w:val="18"/>
              </w:rPr>
              <w:t xml:space="preserve">dotację </w:t>
            </w:r>
            <w:r>
              <w:rPr>
                <w:rFonts w:ascii="Arial Narrow" w:hAnsi="Arial Narrow"/>
                <w:szCs w:val="18"/>
              </w:rPr>
              <w:t>85</w:t>
            </w:r>
            <w:r w:rsidR="00DC0030">
              <w:rPr>
                <w:rFonts w:ascii="Arial Narrow" w:hAnsi="Arial Narrow"/>
                <w:szCs w:val="18"/>
              </w:rPr>
              <w:t xml:space="preserve">% wnioskowanego wsparcia oraz </w:t>
            </w:r>
            <w:r>
              <w:rPr>
                <w:rFonts w:ascii="Arial Narrow" w:hAnsi="Arial Narrow"/>
                <w:szCs w:val="18"/>
              </w:rPr>
              <w:t>wkład własny w wysokości 15</w:t>
            </w:r>
            <w:r w:rsidR="00DC0030">
              <w:rPr>
                <w:rFonts w:ascii="Arial Narrow" w:hAnsi="Arial Narrow"/>
                <w:szCs w:val="18"/>
              </w:rPr>
              <w:t>% wnioskowanego wsparcia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61A997C" w14:textId="1094439E" w:rsidR="0082648C" w:rsidRPr="0059499F" w:rsidRDefault="002C25DE" w:rsidP="002C25DE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57EE9E3" w14:textId="752E849D" w:rsidR="0082648C" w:rsidRDefault="00933DCF" w:rsidP="007E1293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4</w:t>
            </w:r>
          </w:p>
        </w:tc>
      </w:tr>
      <w:tr w:rsidR="00F16F1C" w:rsidRPr="0059499F" w14:paraId="0C9BCFA8" w14:textId="77777777" w:rsidTr="002C25DE">
        <w:tc>
          <w:tcPr>
            <w:tcW w:w="572" w:type="dxa"/>
            <w:shd w:val="clear" w:color="auto" w:fill="auto"/>
            <w:vAlign w:val="center"/>
          </w:tcPr>
          <w:p w14:paraId="22B3234C" w14:textId="3FFD92D6" w:rsidR="00F16F1C" w:rsidRDefault="00F45E5F" w:rsidP="00330786">
            <w:pPr>
              <w:spacing w:before="6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5DDAAC" w14:textId="37ECBBD0" w:rsidR="00F16F1C" w:rsidRDefault="00F16F1C" w:rsidP="00330786">
            <w:pPr>
              <w:ind w:left="133" w:right="145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Dostępność oferty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0155C8" w14:textId="77777777" w:rsidR="00F16F1C" w:rsidRDefault="00F16F1C" w:rsidP="00AE6A9B">
            <w:pPr>
              <w:spacing w:before="60"/>
              <w:ind w:left="126" w:right="144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szCs w:val="20"/>
                <w:lang w:eastAsia="en-US"/>
              </w:rPr>
              <w:t>Tabor przeznaczony do przewozów oferowanych w ramach platformy Wspólny Bilet</w:t>
            </w:r>
          </w:p>
          <w:p w14:paraId="0E6135E0" w14:textId="77777777" w:rsidR="00190CEA" w:rsidRDefault="00190CEA" w:rsidP="00AE6A9B">
            <w:pPr>
              <w:spacing w:before="60"/>
              <w:ind w:left="126" w:right="144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</w:p>
          <w:p w14:paraId="249ADDF0" w14:textId="425C9270" w:rsidR="00190CEA" w:rsidRDefault="00190CEA" w:rsidP="00AE6A9B">
            <w:pPr>
              <w:spacing w:before="60"/>
              <w:ind w:left="126" w:right="144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CADD18D" w14:textId="2A8BF9AE" w:rsidR="00F16F1C" w:rsidRDefault="00F16F1C" w:rsidP="00F45E5F">
            <w:pPr>
              <w:spacing w:before="60" w:after="60"/>
              <w:ind w:right="142"/>
              <w:jc w:val="both"/>
              <w:rPr>
                <w:rFonts w:ascii="Arial Narrow" w:hAnsi="Arial Narrow"/>
                <w:szCs w:val="18"/>
              </w:rPr>
            </w:pPr>
          </w:p>
          <w:p w14:paraId="3F3F81A4" w14:textId="4D295E18" w:rsidR="00D01C3E" w:rsidRDefault="002E3572" w:rsidP="00D01C3E">
            <w:pPr>
              <w:spacing w:before="60" w:after="60"/>
              <w:ind w:left="125" w:right="142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5</w:t>
            </w:r>
            <w:r w:rsidR="00F16F1C">
              <w:rPr>
                <w:rFonts w:ascii="Arial Narrow" w:hAnsi="Arial Narrow"/>
                <w:szCs w:val="18"/>
              </w:rPr>
              <w:t xml:space="preserve"> pkt – </w:t>
            </w:r>
            <w:r w:rsidR="00D01C3E">
              <w:rPr>
                <w:rFonts w:ascii="Arial Narrow" w:hAnsi="Arial Narrow"/>
                <w:szCs w:val="18"/>
              </w:rPr>
              <w:t>oferta udostępniana w ramach Wspólnego Biletu lub został złożony wniosek o włączenie do platformy WB</w:t>
            </w:r>
          </w:p>
          <w:p w14:paraId="25C26F57" w14:textId="36000345" w:rsidR="00F16F1C" w:rsidRDefault="00F16F1C" w:rsidP="00AE6A9B">
            <w:pPr>
              <w:spacing w:before="60" w:after="60"/>
              <w:ind w:left="125" w:right="142"/>
              <w:jc w:val="both"/>
              <w:rPr>
                <w:rFonts w:ascii="Arial Narrow" w:hAnsi="Arial Narrow"/>
                <w:szCs w:val="18"/>
              </w:rPr>
            </w:pPr>
          </w:p>
          <w:p w14:paraId="644117C7" w14:textId="4D2404A9" w:rsidR="00F16F1C" w:rsidRDefault="00F16F1C" w:rsidP="00F16F1C">
            <w:pPr>
              <w:spacing w:before="60" w:after="60"/>
              <w:ind w:left="125" w:right="142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0 pkt – oferta nie będzie włączona do platformy WB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03A1419" w14:textId="2F3EF39B" w:rsidR="00F16F1C" w:rsidRDefault="00F16F1C" w:rsidP="002C25DE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F21BEA7" w14:textId="23E84C1D" w:rsidR="00F16F1C" w:rsidRDefault="002E3572" w:rsidP="007E1293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Cs w:val="20"/>
                <w:lang w:eastAsia="en-US"/>
              </w:rPr>
              <w:t>5</w:t>
            </w:r>
          </w:p>
        </w:tc>
      </w:tr>
      <w:tr w:rsidR="00933DCF" w:rsidRPr="0059499F" w14:paraId="7F79F49C" w14:textId="77777777" w:rsidTr="004F718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29CE" w14:textId="77777777" w:rsidR="00933DCF" w:rsidRPr="00AC74B8" w:rsidRDefault="00933DCF" w:rsidP="00933DCF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</w:p>
          <w:p w14:paraId="3DC41B0C" w14:textId="78687BF2" w:rsidR="00933DCF" w:rsidRDefault="00933DCF" w:rsidP="00933DCF">
            <w:pPr>
              <w:spacing w:before="6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C18" w14:textId="6B9CA7B7" w:rsidR="00933DCF" w:rsidRDefault="00933DCF" w:rsidP="00933DCF">
            <w:pPr>
              <w:ind w:left="133" w:right="145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 w:cs="Calibri"/>
                <w:szCs w:val="20"/>
              </w:rPr>
              <w:t>T</w:t>
            </w:r>
            <w:r w:rsidRPr="00AC74B8">
              <w:rPr>
                <w:rFonts w:ascii="Arial Narrow" w:hAnsi="Arial Narrow" w:cs="Calibri"/>
                <w:szCs w:val="20"/>
              </w:rPr>
              <w:t xml:space="preserve">abor </w:t>
            </w:r>
            <w:r>
              <w:rPr>
                <w:rFonts w:ascii="Arial Narrow" w:hAnsi="Arial Narrow" w:cs="Calibri"/>
                <w:szCs w:val="20"/>
              </w:rPr>
              <w:t xml:space="preserve">dwusystemowy obsługujący </w:t>
            </w:r>
            <w:r w:rsidRPr="00AC74B8">
              <w:rPr>
                <w:rFonts w:ascii="Arial Narrow" w:hAnsi="Arial Narrow" w:cs="Calibri"/>
                <w:szCs w:val="20"/>
              </w:rPr>
              <w:t>s</w:t>
            </w:r>
            <w:r>
              <w:rPr>
                <w:rFonts w:ascii="Arial Narrow" w:hAnsi="Arial Narrow" w:cs="Calibri"/>
                <w:szCs w:val="20"/>
              </w:rPr>
              <w:t xml:space="preserve">ystemy 25kv 50 </w:t>
            </w:r>
            <w:proofErr w:type="spellStart"/>
            <w:r>
              <w:rPr>
                <w:rFonts w:ascii="Arial Narrow" w:hAnsi="Arial Narrow" w:cs="Calibri"/>
                <w:szCs w:val="20"/>
              </w:rPr>
              <w:t>hz</w:t>
            </w:r>
            <w:proofErr w:type="spellEnd"/>
            <w:r>
              <w:rPr>
                <w:rFonts w:ascii="Arial Narrow" w:hAnsi="Arial Narrow" w:cs="Calibri"/>
                <w:szCs w:val="20"/>
              </w:rPr>
              <w:t xml:space="preserve"> AC oraz 3kv DC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630" w14:textId="77777777" w:rsidR="00933DCF" w:rsidRPr="00AC74B8" w:rsidRDefault="00933DCF" w:rsidP="00933DCF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 xml:space="preserve">Zakupiony </w:t>
            </w:r>
            <w:r w:rsidRPr="00AC74B8">
              <w:rPr>
                <w:rFonts w:ascii="Arial Narrow" w:hAnsi="Arial Narrow" w:cs="Calibri"/>
                <w:szCs w:val="20"/>
              </w:rPr>
              <w:t xml:space="preserve">tabor przeznaczony do </w:t>
            </w:r>
            <w:r>
              <w:rPr>
                <w:rFonts w:ascii="Arial Narrow" w:hAnsi="Arial Narrow" w:cs="Calibri"/>
                <w:szCs w:val="20"/>
              </w:rPr>
              <w:t xml:space="preserve">obsługi linii kolejowych zasilanych zarówno systemem 25kv 50 </w:t>
            </w:r>
            <w:proofErr w:type="spellStart"/>
            <w:r>
              <w:rPr>
                <w:rFonts w:ascii="Arial Narrow" w:hAnsi="Arial Narrow" w:cs="Calibri"/>
                <w:szCs w:val="20"/>
              </w:rPr>
              <w:t>hz</w:t>
            </w:r>
            <w:proofErr w:type="spellEnd"/>
            <w:r>
              <w:rPr>
                <w:rFonts w:ascii="Arial Narrow" w:hAnsi="Arial Narrow" w:cs="Calibri"/>
                <w:szCs w:val="20"/>
              </w:rPr>
              <w:t xml:space="preserve"> AC jak też 3kv DC</w:t>
            </w:r>
          </w:p>
          <w:p w14:paraId="3223800E" w14:textId="77777777" w:rsidR="00933DCF" w:rsidRPr="00AC74B8" w:rsidRDefault="00933DCF" w:rsidP="00933DCF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</w:p>
          <w:p w14:paraId="08FB6B4E" w14:textId="16F4733A" w:rsidR="00933DCF" w:rsidRDefault="00933DCF" w:rsidP="00933DCF">
            <w:pPr>
              <w:spacing w:before="60"/>
              <w:ind w:left="126" w:right="144"/>
              <w:rPr>
                <w:rFonts w:ascii="Arial Narrow" w:eastAsia="Calibri" w:hAnsi="Arial Narrow" w:cs="Calibri"/>
                <w:bCs/>
                <w:szCs w:val="20"/>
                <w:lang w:eastAsia="en-US"/>
              </w:rPr>
            </w:pPr>
            <w:r w:rsidRPr="00AC74B8">
              <w:rPr>
                <w:rFonts w:ascii="Arial Narrow" w:hAnsi="Arial Narrow" w:cs="Calibri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3F41" w14:textId="77777777" w:rsidR="00933DCF" w:rsidRPr="00AC74B8" w:rsidRDefault="00933DCF" w:rsidP="00933DCF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</w:p>
          <w:p w14:paraId="6E74BE7B" w14:textId="77777777" w:rsidR="00B9374B" w:rsidRDefault="00933DCF" w:rsidP="00B9374B">
            <w:pPr>
              <w:spacing w:before="60"/>
              <w:ind w:left="126" w:right="144"/>
              <w:rPr>
                <w:rFonts w:ascii="Arial Narrow" w:hAnsi="Arial Narrow" w:cs="Calibri"/>
                <w:szCs w:val="20"/>
              </w:rPr>
            </w:pPr>
            <w:r w:rsidRPr="00AC74B8">
              <w:rPr>
                <w:rFonts w:ascii="Arial Narrow" w:hAnsi="Arial Narrow" w:cs="Calibri"/>
                <w:szCs w:val="20"/>
              </w:rPr>
              <w:t>3 pkt – zakupiony tabor będzie dwusystemowy, o</w:t>
            </w:r>
            <w:r>
              <w:rPr>
                <w:rFonts w:ascii="Arial Narrow" w:hAnsi="Arial Narrow" w:cs="Calibri"/>
                <w:szCs w:val="20"/>
              </w:rPr>
              <w:t xml:space="preserve">bsługujący systemy 25kv 50 </w:t>
            </w:r>
            <w:proofErr w:type="spellStart"/>
            <w:r>
              <w:rPr>
                <w:rFonts w:ascii="Arial Narrow" w:hAnsi="Arial Narrow" w:cs="Calibri"/>
                <w:szCs w:val="20"/>
              </w:rPr>
              <w:t>hz</w:t>
            </w:r>
            <w:proofErr w:type="spellEnd"/>
            <w:r>
              <w:rPr>
                <w:rFonts w:ascii="Arial Narrow" w:hAnsi="Arial Narrow" w:cs="Calibri"/>
                <w:szCs w:val="20"/>
              </w:rPr>
              <w:t xml:space="preserve"> AC oraz 3kv DC</w:t>
            </w:r>
          </w:p>
          <w:p w14:paraId="305046DC" w14:textId="4F9A5326" w:rsidR="00933DCF" w:rsidRDefault="00933DCF" w:rsidP="00B9374B">
            <w:pPr>
              <w:spacing w:before="60"/>
              <w:ind w:left="126" w:right="144"/>
              <w:rPr>
                <w:rFonts w:ascii="Arial Narrow" w:hAnsi="Arial Narrow"/>
                <w:szCs w:val="18"/>
              </w:rPr>
            </w:pPr>
            <w:r w:rsidRPr="00AC74B8">
              <w:rPr>
                <w:rFonts w:ascii="Arial Narrow" w:hAnsi="Arial Narrow" w:cs="Calibri"/>
                <w:szCs w:val="20"/>
              </w:rPr>
              <w:t xml:space="preserve">0 pkt – </w:t>
            </w:r>
            <w:r>
              <w:rPr>
                <w:rFonts w:ascii="Arial Narrow" w:hAnsi="Arial Narrow" w:cs="Calibri"/>
                <w:szCs w:val="20"/>
              </w:rPr>
              <w:t xml:space="preserve"> zakupiony tabor będzie przeznaczony do obsługi linii kolejowych zasilanych tylko jednym systemem (3kv DC)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3041" w14:textId="0DBF720B" w:rsidR="00933DCF" w:rsidRDefault="00933DCF" w:rsidP="00933DCF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 w:rsidRPr="00AC74B8">
              <w:rPr>
                <w:rFonts w:ascii="Arial Narrow" w:hAnsi="Arial Narrow" w:cs="Calibri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E849" w14:textId="0486D203" w:rsidR="00933DCF" w:rsidRDefault="00933DCF" w:rsidP="00933DCF">
            <w:pPr>
              <w:widowControl/>
              <w:spacing w:before="60"/>
              <w:jc w:val="center"/>
              <w:rPr>
                <w:rFonts w:ascii="Arial Narrow" w:eastAsia="Calibri" w:hAnsi="Arial Narrow" w:cs="Calibri"/>
                <w:szCs w:val="20"/>
                <w:lang w:eastAsia="en-US"/>
              </w:rPr>
            </w:pPr>
            <w:r w:rsidRPr="00AC74B8">
              <w:rPr>
                <w:rFonts w:ascii="Arial Narrow" w:hAnsi="Arial Narrow" w:cs="Calibri"/>
                <w:szCs w:val="20"/>
              </w:rPr>
              <w:t>3</w:t>
            </w:r>
          </w:p>
        </w:tc>
      </w:tr>
      <w:tr w:rsidR="00933DCF" w:rsidRPr="0059499F" w14:paraId="34431185" w14:textId="77777777" w:rsidTr="00717525">
        <w:tc>
          <w:tcPr>
            <w:tcW w:w="13474" w:type="dxa"/>
            <w:gridSpan w:val="5"/>
            <w:shd w:val="clear" w:color="auto" w:fill="auto"/>
          </w:tcPr>
          <w:p w14:paraId="01395E99" w14:textId="77777777" w:rsidR="00933DCF" w:rsidRPr="0059499F" w:rsidRDefault="00933DCF" w:rsidP="00933DCF">
            <w:pPr>
              <w:widowControl/>
              <w:spacing w:before="60" w:after="60" w:line="276" w:lineRule="auto"/>
              <w:rPr>
                <w:rFonts w:ascii="Arial Narrow" w:eastAsia="Calibri" w:hAnsi="Arial Narrow" w:cs="Calibri"/>
                <w:b/>
                <w:szCs w:val="20"/>
                <w:lang w:eastAsia="en-US"/>
              </w:rPr>
            </w:pPr>
            <w:r w:rsidRPr="0059499F">
              <w:rPr>
                <w:rFonts w:ascii="Arial Narrow" w:eastAsia="Calibri" w:hAnsi="Arial Narrow" w:cs="Calibri"/>
                <w:b/>
                <w:szCs w:val="20"/>
                <w:lang w:eastAsia="en-US"/>
              </w:rPr>
              <w:t>Maksymalna liczba punktów:</w:t>
            </w:r>
          </w:p>
        </w:tc>
        <w:tc>
          <w:tcPr>
            <w:tcW w:w="701" w:type="dxa"/>
            <w:shd w:val="clear" w:color="auto" w:fill="auto"/>
          </w:tcPr>
          <w:p w14:paraId="10EECD35" w14:textId="7E155C4C" w:rsidR="00933DCF" w:rsidRPr="0059499F" w:rsidRDefault="00933DCF" w:rsidP="00933DCF">
            <w:pPr>
              <w:widowControl/>
              <w:spacing w:before="60" w:after="60" w:line="276" w:lineRule="auto"/>
              <w:jc w:val="center"/>
              <w:rPr>
                <w:rFonts w:ascii="Arial Narrow" w:eastAsia="Calibri" w:hAnsi="Arial Narrow" w:cs="Calibri"/>
                <w:b/>
                <w:bCs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szCs w:val="20"/>
                <w:lang w:eastAsia="en-US"/>
              </w:rPr>
              <w:t>36</w:t>
            </w:r>
          </w:p>
        </w:tc>
      </w:tr>
    </w:tbl>
    <w:p w14:paraId="0C03E131" w14:textId="77777777" w:rsidR="002C4F4F" w:rsidRPr="0059499F" w:rsidRDefault="005A5FD9">
      <w:pPr>
        <w:rPr>
          <w:rFonts w:ascii="Arial Narrow" w:hAnsi="Arial Narrow"/>
        </w:rPr>
      </w:pPr>
    </w:p>
    <w:p w14:paraId="0BE2C3AC" w14:textId="77777777" w:rsidR="00872E9E" w:rsidRPr="0059499F" w:rsidRDefault="00581F20" w:rsidP="00872E9E">
      <w:pPr>
        <w:pStyle w:val="Nagwek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K</w:t>
      </w:r>
      <w:r w:rsidR="00872E9E" w:rsidRPr="0059499F">
        <w:rPr>
          <w:rFonts w:ascii="Arial Narrow" w:hAnsi="Arial Narrow" w:cs="Calibri"/>
          <w:sz w:val="24"/>
          <w:szCs w:val="24"/>
        </w:rPr>
        <w:t>ryteria merytoryczne II stopnia</w:t>
      </w:r>
    </w:p>
    <w:tbl>
      <w:tblPr>
        <w:tblW w:w="14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080"/>
        <w:gridCol w:w="8536"/>
        <w:gridCol w:w="1019"/>
      </w:tblGrid>
      <w:tr w:rsidR="00872E9E" w:rsidRPr="0059499F" w14:paraId="2C18BFCC" w14:textId="77777777" w:rsidTr="007E1293">
        <w:tc>
          <w:tcPr>
            <w:tcW w:w="615" w:type="dxa"/>
            <w:vAlign w:val="center"/>
          </w:tcPr>
          <w:p w14:paraId="1579556C" w14:textId="77777777" w:rsidR="00872E9E" w:rsidRPr="0059499F" w:rsidRDefault="00872E9E" w:rsidP="00FF5FB8">
            <w:pPr>
              <w:pStyle w:val="cel1"/>
              <w:keepNext/>
              <w:ind w:left="0" w:firstLine="0"/>
              <w:jc w:val="center"/>
              <w:rPr>
                <w:rFonts w:ascii="Arial Narrow" w:hAnsi="Arial Narrow" w:cs="Calibri"/>
                <w:u w:val="none"/>
              </w:rPr>
            </w:pPr>
            <w:r w:rsidRPr="0059499F">
              <w:rPr>
                <w:rFonts w:ascii="Arial Narrow" w:hAnsi="Arial Narrow" w:cs="Calibri"/>
                <w:u w:val="none"/>
              </w:rPr>
              <w:t>Nr</w:t>
            </w:r>
          </w:p>
        </w:tc>
        <w:tc>
          <w:tcPr>
            <w:tcW w:w="4080" w:type="dxa"/>
            <w:vAlign w:val="center"/>
          </w:tcPr>
          <w:p w14:paraId="6ACEC758" w14:textId="77777777" w:rsidR="00872E9E" w:rsidRPr="0059499F" w:rsidRDefault="00872E9E" w:rsidP="00FF5FB8">
            <w:pPr>
              <w:pStyle w:val="cel1"/>
              <w:keepNext/>
              <w:ind w:left="0" w:firstLine="0"/>
              <w:jc w:val="center"/>
              <w:rPr>
                <w:rFonts w:ascii="Arial Narrow" w:hAnsi="Arial Narrow" w:cs="Calibri"/>
                <w:bCs/>
                <w:u w:val="none"/>
              </w:rPr>
            </w:pPr>
            <w:r w:rsidRPr="0059499F">
              <w:rPr>
                <w:rFonts w:ascii="Arial Narrow" w:hAnsi="Arial Narrow" w:cs="Calibri"/>
                <w:bCs/>
                <w:u w:val="none"/>
              </w:rPr>
              <w:t>Nazwa kryterium</w:t>
            </w:r>
          </w:p>
        </w:tc>
        <w:tc>
          <w:tcPr>
            <w:tcW w:w="8536" w:type="dxa"/>
            <w:vAlign w:val="center"/>
          </w:tcPr>
          <w:p w14:paraId="19C25885" w14:textId="77777777" w:rsidR="00872E9E" w:rsidRPr="0059499F" w:rsidRDefault="00872E9E" w:rsidP="00FF5FB8">
            <w:pPr>
              <w:pStyle w:val="cel1"/>
              <w:keepNext/>
              <w:ind w:left="0" w:firstLine="0"/>
              <w:jc w:val="center"/>
              <w:rPr>
                <w:rFonts w:ascii="Arial Narrow" w:hAnsi="Arial Narrow" w:cs="Calibri"/>
                <w:u w:val="none"/>
              </w:rPr>
            </w:pPr>
            <w:r w:rsidRPr="0059499F">
              <w:rPr>
                <w:rFonts w:ascii="Arial Narrow" w:hAnsi="Arial Narrow" w:cs="Calibri"/>
                <w:bCs/>
                <w:u w:val="none"/>
              </w:rPr>
              <w:t>Opis kryterium</w:t>
            </w:r>
          </w:p>
        </w:tc>
        <w:tc>
          <w:tcPr>
            <w:tcW w:w="1019" w:type="dxa"/>
            <w:vAlign w:val="center"/>
          </w:tcPr>
          <w:p w14:paraId="4FCAA495" w14:textId="77777777" w:rsidR="00872E9E" w:rsidRPr="002C25DE" w:rsidRDefault="002C25DE" w:rsidP="00FF5FB8">
            <w:pPr>
              <w:pStyle w:val="cel1"/>
              <w:keepNext/>
              <w:ind w:left="0" w:firstLine="0"/>
              <w:jc w:val="center"/>
              <w:rPr>
                <w:rFonts w:ascii="Arial Narrow" w:hAnsi="Arial Narrow" w:cs="Calibri"/>
                <w:b w:val="0"/>
                <w:smallCaps w:val="0"/>
                <w:u w:val="none"/>
              </w:rPr>
            </w:pPr>
            <w:r w:rsidRPr="002C25DE">
              <w:rPr>
                <w:rFonts w:ascii="Arial Narrow" w:hAnsi="Arial Narrow" w:cs="Arial"/>
                <w:sz w:val="18"/>
                <w:u w:val="none"/>
              </w:rPr>
              <w:t xml:space="preserve">TAK/NIE/ </w:t>
            </w:r>
            <w:r w:rsidRPr="002C25DE">
              <w:rPr>
                <w:rFonts w:ascii="Arial Narrow" w:hAnsi="Arial Narrow" w:cs="Arial"/>
                <w:sz w:val="16"/>
                <w:u w:val="none"/>
              </w:rPr>
              <w:t>NIE DOTYCZY</w:t>
            </w:r>
          </w:p>
        </w:tc>
      </w:tr>
      <w:tr w:rsidR="00872E9E" w:rsidRPr="0059499F" w14:paraId="79B4134F" w14:textId="77777777" w:rsidTr="006C7384">
        <w:tc>
          <w:tcPr>
            <w:tcW w:w="615" w:type="dxa"/>
            <w:vAlign w:val="center"/>
          </w:tcPr>
          <w:p w14:paraId="4C82BC84" w14:textId="77777777" w:rsidR="00872E9E" w:rsidRPr="0059499F" w:rsidRDefault="00872E9E" w:rsidP="00741F53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-72" w:hanging="70"/>
              <w:contextualSpacing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14:paraId="4E86F1C3" w14:textId="77777777" w:rsidR="00872E9E" w:rsidRPr="003D609F" w:rsidRDefault="00581F20" w:rsidP="00FF5FB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Cs w:val="18"/>
              </w:rPr>
              <w:t>Przedsięwzięcie</w:t>
            </w:r>
            <w:r w:rsidR="003D609F" w:rsidRPr="006C7384">
              <w:rPr>
                <w:rFonts w:ascii="Arial Narrow" w:hAnsi="Arial Narrow"/>
                <w:szCs w:val="18"/>
              </w:rPr>
              <w:t xml:space="preserve"> posiada jasno określone cele, kamienie milowe realizacji oraz </w:t>
            </w:r>
            <w:r w:rsidR="00FF5FB8">
              <w:rPr>
                <w:rFonts w:ascii="Arial Narrow" w:hAnsi="Arial Narrow"/>
                <w:szCs w:val="18"/>
              </w:rPr>
              <w:t>wskaźniki</w:t>
            </w:r>
          </w:p>
        </w:tc>
        <w:tc>
          <w:tcPr>
            <w:tcW w:w="8536" w:type="dxa"/>
          </w:tcPr>
          <w:p w14:paraId="3D2714AB" w14:textId="77777777" w:rsidR="00872E9E" w:rsidRDefault="00FF5FB8" w:rsidP="00581F20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Ocenie podlegać będzie czy </w:t>
            </w:r>
            <w:r w:rsidR="00581F20">
              <w:rPr>
                <w:rFonts w:ascii="Arial Narrow" w:hAnsi="Arial Narrow" w:cs="Calibri"/>
                <w:color w:val="000000"/>
              </w:rPr>
              <w:t xml:space="preserve">w dokumentacji aplikacyjnej zostały </w:t>
            </w:r>
            <w:r>
              <w:rPr>
                <w:rFonts w:ascii="Arial Narrow" w:hAnsi="Arial Narrow" w:cs="Calibri"/>
                <w:color w:val="000000"/>
              </w:rPr>
              <w:t xml:space="preserve">jasno określone cele, kamienie milowe realizacji oraz wskaźniki </w:t>
            </w:r>
            <w:r w:rsidR="00581F20">
              <w:rPr>
                <w:rFonts w:ascii="Arial Narrow" w:hAnsi="Arial Narrow" w:cs="Calibri"/>
                <w:color w:val="000000"/>
              </w:rPr>
              <w:t xml:space="preserve">dla przedsięwzięcia. </w:t>
            </w:r>
          </w:p>
          <w:p w14:paraId="29F5AF91" w14:textId="1F50CB00" w:rsidR="00190CEA" w:rsidRPr="0059499F" w:rsidRDefault="00190CEA" w:rsidP="00581F20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190CEA">
              <w:rPr>
                <w:rFonts w:ascii="Arial Narrow" w:hAnsi="Arial Narrow" w:cs="Calibri"/>
                <w:spacing w:val="4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1019" w:type="dxa"/>
          </w:tcPr>
          <w:p w14:paraId="515D0C77" w14:textId="77777777" w:rsidR="00872E9E" w:rsidRPr="0059499F" w:rsidRDefault="00872E9E" w:rsidP="00FF5FB8">
            <w:pPr>
              <w:rPr>
                <w:rFonts w:ascii="Arial Narrow" w:hAnsi="Arial Narrow" w:cs="Calibri"/>
                <w:szCs w:val="20"/>
              </w:rPr>
            </w:pPr>
          </w:p>
        </w:tc>
      </w:tr>
      <w:tr w:rsidR="00872E9E" w:rsidRPr="0059499F" w14:paraId="7B1EB0F6" w14:textId="77777777" w:rsidTr="00FF5FB8">
        <w:tc>
          <w:tcPr>
            <w:tcW w:w="615" w:type="dxa"/>
            <w:vAlign w:val="center"/>
          </w:tcPr>
          <w:p w14:paraId="0C55B4FD" w14:textId="77777777" w:rsidR="00872E9E" w:rsidRPr="0059499F" w:rsidRDefault="00872E9E" w:rsidP="00FF5FB8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255" w:hanging="255"/>
              <w:contextualSpacing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14:paraId="4F0D07FB" w14:textId="22023016" w:rsidR="000B7C55" w:rsidRPr="000B7C55" w:rsidRDefault="003D609F" w:rsidP="00FF5FB8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FF5FB8">
              <w:rPr>
                <w:rFonts w:ascii="Arial Narrow" w:hAnsi="Arial Narrow"/>
                <w:szCs w:val="18"/>
              </w:rPr>
              <w:t>Poprawność an</w:t>
            </w:r>
            <w:r w:rsidR="00FF5FB8">
              <w:rPr>
                <w:rFonts w:ascii="Arial Narrow" w:hAnsi="Arial Narrow"/>
                <w:szCs w:val="18"/>
              </w:rPr>
              <w:t>alizy finansowej i ekonomicznej</w:t>
            </w:r>
          </w:p>
        </w:tc>
        <w:tc>
          <w:tcPr>
            <w:tcW w:w="8536" w:type="dxa"/>
            <w:vAlign w:val="center"/>
          </w:tcPr>
          <w:p w14:paraId="41F7F942" w14:textId="77777777" w:rsidR="002E3E54" w:rsidRPr="0097512A" w:rsidRDefault="002E3E54" w:rsidP="0097512A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97512A">
              <w:rPr>
                <w:rFonts w:ascii="Arial Narrow" w:hAnsi="Arial Narrow" w:cs="Calibri"/>
                <w:color w:val="000000"/>
              </w:rPr>
              <w:t>Kluczowymi elementami wymaganymi dla spełnienia kryterium są:</w:t>
            </w:r>
          </w:p>
          <w:p w14:paraId="612220FB" w14:textId="77777777" w:rsidR="002E3E54" w:rsidRPr="0097512A" w:rsidRDefault="002E3E54" w:rsidP="0097512A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97512A">
              <w:rPr>
                <w:rFonts w:ascii="Arial Narrow" w:hAnsi="Arial Narrow" w:cs="Calibri"/>
                <w:color w:val="000000"/>
              </w:rPr>
              <w:t xml:space="preserve">- analiza zapotrzebowania na </w:t>
            </w:r>
            <w:r w:rsidR="00F15780">
              <w:rPr>
                <w:rFonts w:ascii="Arial Narrow" w:hAnsi="Arial Narrow" w:cs="Calibri"/>
                <w:color w:val="000000"/>
              </w:rPr>
              <w:t>przedsięwzięcie</w:t>
            </w:r>
            <w:r w:rsidRPr="0097512A">
              <w:rPr>
                <w:rFonts w:ascii="Arial Narrow" w:hAnsi="Arial Narrow" w:cs="Calibri"/>
                <w:color w:val="000000"/>
              </w:rPr>
              <w:t>,</w:t>
            </w:r>
          </w:p>
          <w:p w14:paraId="75582C60" w14:textId="77777777" w:rsidR="00B51132" w:rsidRPr="0097512A" w:rsidRDefault="002E3E54" w:rsidP="0097512A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97512A">
              <w:rPr>
                <w:rFonts w:ascii="Arial Narrow" w:hAnsi="Arial Narrow" w:cs="Calibri"/>
                <w:color w:val="000000"/>
              </w:rPr>
              <w:t xml:space="preserve">- </w:t>
            </w:r>
            <w:r w:rsidR="00B51132" w:rsidRPr="0097512A">
              <w:rPr>
                <w:rFonts w:ascii="Arial Narrow" w:hAnsi="Arial Narrow" w:cs="Calibri"/>
                <w:color w:val="000000"/>
              </w:rPr>
              <w:t>analiza popytu,</w:t>
            </w:r>
          </w:p>
          <w:p w14:paraId="52AB4DFE" w14:textId="77777777" w:rsidR="002E3E54" w:rsidRPr="0097512A" w:rsidRDefault="00B51132" w:rsidP="0097512A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97512A">
              <w:rPr>
                <w:rFonts w:ascii="Arial Narrow" w:hAnsi="Arial Narrow" w:cs="Calibri"/>
                <w:color w:val="000000"/>
              </w:rPr>
              <w:t xml:space="preserve">- </w:t>
            </w:r>
            <w:r w:rsidR="002E3E54" w:rsidRPr="0097512A">
              <w:rPr>
                <w:rFonts w:ascii="Arial Narrow" w:hAnsi="Arial Narrow" w:cs="Calibri"/>
                <w:color w:val="000000"/>
              </w:rPr>
              <w:t xml:space="preserve">uzasadnienie wyboru zakresu </w:t>
            </w:r>
            <w:r w:rsidR="00F15780">
              <w:rPr>
                <w:rFonts w:ascii="Arial Narrow" w:hAnsi="Arial Narrow" w:cs="Calibri"/>
                <w:color w:val="000000"/>
              </w:rPr>
              <w:t>przedsięwzięcia</w:t>
            </w:r>
            <w:r w:rsidR="00F15780" w:rsidRPr="0097512A">
              <w:rPr>
                <w:rFonts w:ascii="Arial Narrow" w:hAnsi="Arial Narrow" w:cs="Calibri"/>
                <w:color w:val="000000"/>
              </w:rPr>
              <w:t xml:space="preserve"> </w:t>
            </w:r>
            <w:r w:rsidR="002E3E54" w:rsidRPr="0097512A">
              <w:rPr>
                <w:rFonts w:ascii="Arial Narrow" w:hAnsi="Arial Narrow" w:cs="Calibri"/>
                <w:color w:val="000000"/>
              </w:rPr>
              <w:t>do realizacji,</w:t>
            </w:r>
          </w:p>
          <w:p w14:paraId="10DBF180" w14:textId="77777777" w:rsidR="002E3E54" w:rsidRPr="0097512A" w:rsidRDefault="002E3E54" w:rsidP="0097512A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97512A">
              <w:rPr>
                <w:rFonts w:ascii="Arial Narrow" w:hAnsi="Arial Narrow" w:cs="Calibri"/>
                <w:color w:val="000000"/>
              </w:rPr>
              <w:t>- analiza operacyjna,</w:t>
            </w:r>
          </w:p>
          <w:p w14:paraId="60CC8860" w14:textId="77777777" w:rsidR="002E3E54" w:rsidRPr="0097512A" w:rsidRDefault="002E3E54" w:rsidP="0097512A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97512A">
              <w:rPr>
                <w:rFonts w:ascii="Arial Narrow" w:hAnsi="Arial Narrow" w:cs="Calibri"/>
                <w:color w:val="000000"/>
              </w:rPr>
              <w:t xml:space="preserve">- </w:t>
            </w:r>
            <w:r w:rsidR="00B51132" w:rsidRPr="0097512A">
              <w:rPr>
                <w:rFonts w:ascii="Arial Narrow" w:hAnsi="Arial Narrow" w:cs="Calibri"/>
                <w:color w:val="000000"/>
              </w:rPr>
              <w:t>analiza ekonomiczna</w:t>
            </w:r>
            <w:r w:rsidRPr="0097512A">
              <w:rPr>
                <w:rFonts w:ascii="Arial Narrow" w:hAnsi="Arial Narrow" w:cs="Calibri"/>
                <w:color w:val="000000"/>
              </w:rPr>
              <w:t>,</w:t>
            </w:r>
          </w:p>
          <w:p w14:paraId="2198B2A7" w14:textId="77777777" w:rsidR="002E3E54" w:rsidRPr="0097512A" w:rsidRDefault="002E3E54" w:rsidP="0097512A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97512A">
              <w:rPr>
                <w:rFonts w:ascii="Arial Narrow" w:hAnsi="Arial Narrow" w:cs="Calibri"/>
                <w:color w:val="000000"/>
              </w:rPr>
              <w:t>- udowodnienie trwałości finansowej i instytucjonalnej.</w:t>
            </w:r>
          </w:p>
          <w:p w14:paraId="04DE4A00" w14:textId="77777777" w:rsidR="00872E9E" w:rsidRDefault="002E3E54" w:rsidP="00B432B5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  <w:color w:val="000000"/>
              </w:rPr>
            </w:pPr>
            <w:r w:rsidRPr="0097512A">
              <w:rPr>
                <w:rFonts w:ascii="Arial Narrow" w:hAnsi="Arial Narrow" w:cs="Calibri"/>
                <w:color w:val="000000"/>
              </w:rPr>
              <w:t>Na etapie przygotowania dokumentacji konkursowej zostanie przygotowane uszczegółowienie wymagań w przedmiotowym zakresie.</w:t>
            </w:r>
            <w:r w:rsidR="00B51132" w:rsidRPr="0097512A">
              <w:rPr>
                <w:rFonts w:ascii="Arial Narrow" w:hAnsi="Arial Narrow" w:cs="Calibri"/>
                <w:color w:val="000000"/>
              </w:rPr>
              <w:t xml:space="preserve"> </w:t>
            </w:r>
          </w:p>
          <w:p w14:paraId="7A0A7A18" w14:textId="5EC9A4C2" w:rsidR="00190CEA" w:rsidRPr="0059499F" w:rsidRDefault="00190CEA" w:rsidP="00B432B5">
            <w:pPr>
              <w:pStyle w:val="NormalnyWyjustowany"/>
              <w:spacing w:before="60" w:after="60"/>
              <w:ind w:left="56" w:right="123"/>
              <w:rPr>
                <w:rFonts w:ascii="Arial Narrow" w:hAnsi="Arial Narrow" w:cs="Calibri"/>
              </w:rPr>
            </w:pPr>
            <w:r w:rsidRPr="00190CEA">
              <w:rPr>
                <w:rFonts w:ascii="Arial Narrow" w:hAnsi="Arial Narrow" w:cs="Calibri"/>
                <w:spacing w:val="4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1019" w:type="dxa"/>
          </w:tcPr>
          <w:p w14:paraId="7EFAEB38" w14:textId="77777777" w:rsidR="00872E9E" w:rsidRPr="0059499F" w:rsidRDefault="00872E9E" w:rsidP="00FF5FB8">
            <w:pPr>
              <w:rPr>
                <w:rFonts w:ascii="Arial Narrow" w:hAnsi="Arial Narrow" w:cs="Calibri"/>
                <w:szCs w:val="20"/>
              </w:rPr>
            </w:pPr>
          </w:p>
        </w:tc>
      </w:tr>
      <w:tr w:rsidR="00872E9E" w:rsidRPr="0059499F" w14:paraId="4C762463" w14:textId="77777777" w:rsidTr="009808B2">
        <w:tc>
          <w:tcPr>
            <w:tcW w:w="615" w:type="dxa"/>
            <w:vAlign w:val="center"/>
          </w:tcPr>
          <w:p w14:paraId="6377C3AD" w14:textId="77777777" w:rsidR="00872E9E" w:rsidRPr="00934EFB" w:rsidRDefault="00872E9E" w:rsidP="009808B2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255" w:hanging="255"/>
              <w:contextualSpacing w:val="0"/>
              <w:jc w:val="center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4080" w:type="dxa"/>
          </w:tcPr>
          <w:p w14:paraId="049ABCDC" w14:textId="3F2C63BE" w:rsidR="0007612A" w:rsidRPr="003D609F" w:rsidRDefault="0007612A" w:rsidP="00581F2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7612A">
              <w:rPr>
                <w:rFonts w:ascii="Arial Narrow" w:hAnsi="Arial Narrow"/>
                <w:szCs w:val="18"/>
              </w:rPr>
              <w:t>Wartość kwalifikowana przedsięwzięcia wynosi co najmniej 150,00 mln zł i nie przekracza kwoty 500,00 mln zł (</w:t>
            </w:r>
            <w:r w:rsidR="00F84386" w:rsidRPr="00F84386">
              <w:rPr>
                <w:rFonts w:ascii="Arial Narrow" w:hAnsi="Arial Narrow"/>
                <w:szCs w:val="18"/>
              </w:rPr>
              <w:t>górny pułap 500,00 mln zł</w:t>
            </w:r>
            <w:r w:rsidR="00F84386">
              <w:rPr>
                <w:b/>
                <w:bCs/>
                <w:color w:val="FF0000"/>
              </w:rPr>
              <w:t xml:space="preserve"> </w:t>
            </w:r>
            <w:r w:rsidRPr="0007612A">
              <w:rPr>
                <w:rFonts w:ascii="Arial Narrow" w:hAnsi="Arial Narrow"/>
                <w:szCs w:val="18"/>
              </w:rPr>
              <w:t>nie dotyczy grup zakupowych)</w:t>
            </w:r>
          </w:p>
        </w:tc>
        <w:tc>
          <w:tcPr>
            <w:tcW w:w="8536" w:type="dxa"/>
            <w:vAlign w:val="center"/>
          </w:tcPr>
          <w:p w14:paraId="5D985D5B" w14:textId="77777777" w:rsidR="00872E9E" w:rsidRDefault="009808B2" w:rsidP="00F15780">
            <w:pPr>
              <w:autoSpaceDE w:val="0"/>
              <w:autoSpaceDN w:val="0"/>
              <w:adjustRightInd w:val="0"/>
              <w:spacing w:before="60" w:after="60"/>
              <w:ind w:left="57" w:right="125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Ocenie podlegać będzie w</w:t>
            </w:r>
            <w:r w:rsidR="003D609F">
              <w:rPr>
                <w:rFonts w:ascii="Arial Narrow" w:hAnsi="Arial Narrow" w:cs="Calibri"/>
                <w:szCs w:val="20"/>
              </w:rPr>
              <w:t xml:space="preserve">artość kwalifikowana </w:t>
            </w:r>
            <w:r w:rsidR="00F15780">
              <w:rPr>
                <w:rFonts w:ascii="Arial Narrow" w:hAnsi="Arial Narrow" w:cs="Calibri"/>
                <w:szCs w:val="20"/>
              </w:rPr>
              <w:t xml:space="preserve">przedsięwzięcia </w:t>
            </w:r>
            <w:r>
              <w:rPr>
                <w:rFonts w:ascii="Arial Narrow" w:hAnsi="Arial Narrow" w:cs="Calibri"/>
                <w:szCs w:val="20"/>
              </w:rPr>
              <w:t xml:space="preserve">określona w dokumentacji aplikacyjnej. </w:t>
            </w:r>
          </w:p>
          <w:p w14:paraId="3F4C04CF" w14:textId="3942606C" w:rsidR="00190CEA" w:rsidRPr="0059499F" w:rsidRDefault="00190CEA" w:rsidP="00F15780">
            <w:pPr>
              <w:autoSpaceDE w:val="0"/>
              <w:autoSpaceDN w:val="0"/>
              <w:adjustRightInd w:val="0"/>
              <w:spacing w:before="60" w:after="60"/>
              <w:ind w:left="57" w:right="125"/>
              <w:rPr>
                <w:rFonts w:ascii="Arial Narrow" w:hAnsi="Arial Narrow" w:cs="Calibri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1019" w:type="dxa"/>
          </w:tcPr>
          <w:p w14:paraId="62615E93" w14:textId="77777777" w:rsidR="00872E9E" w:rsidRPr="0059499F" w:rsidRDefault="00872E9E" w:rsidP="00FF5FB8">
            <w:pPr>
              <w:pStyle w:val="cel1"/>
              <w:keepNext/>
              <w:spacing w:after="0"/>
              <w:ind w:left="0" w:firstLine="0"/>
              <w:jc w:val="left"/>
              <w:rPr>
                <w:rFonts w:ascii="Arial Narrow" w:hAnsi="Arial Narrow" w:cs="Calibri"/>
                <w:b w:val="0"/>
                <w:u w:val="none"/>
              </w:rPr>
            </w:pPr>
          </w:p>
        </w:tc>
      </w:tr>
      <w:tr w:rsidR="00973419" w:rsidRPr="0059499F" w14:paraId="4198799B" w14:textId="77777777" w:rsidTr="009808B2">
        <w:tc>
          <w:tcPr>
            <w:tcW w:w="615" w:type="dxa"/>
            <w:vAlign w:val="center"/>
          </w:tcPr>
          <w:p w14:paraId="6B5ED4E3" w14:textId="77777777" w:rsidR="00973419" w:rsidRPr="009D6020" w:rsidRDefault="00973419" w:rsidP="009808B2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255" w:hanging="255"/>
              <w:contextualSpacing w:val="0"/>
              <w:jc w:val="center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4080" w:type="dxa"/>
            <w:vAlign w:val="center"/>
          </w:tcPr>
          <w:p w14:paraId="3019EA06" w14:textId="77777777" w:rsidR="00973419" w:rsidRPr="003D609F" w:rsidRDefault="003D609F" w:rsidP="009808B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808B2">
              <w:rPr>
                <w:rFonts w:ascii="Arial Narrow" w:hAnsi="Arial Narrow"/>
                <w:szCs w:val="18"/>
              </w:rPr>
              <w:t xml:space="preserve">Tabor przeznaczony do wykonywania </w:t>
            </w:r>
            <w:r w:rsidR="009808B2" w:rsidRPr="009808B2">
              <w:rPr>
                <w:rFonts w:ascii="Arial Narrow" w:hAnsi="Arial Narrow"/>
                <w:szCs w:val="18"/>
              </w:rPr>
              <w:t>przewozów ujętych w umowach PSC</w:t>
            </w:r>
          </w:p>
        </w:tc>
        <w:tc>
          <w:tcPr>
            <w:tcW w:w="8536" w:type="dxa"/>
          </w:tcPr>
          <w:p w14:paraId="6D33AED6" w14:textId="77777777" w:rsidR="00973419" w:rsidRDefault="00973419" w:rsidP="00EC2FC0">
            <w:pPr>
              <w:autoSpaceDE w:val="0"/>
              <w:autoSpaceDN w:val="0"/>
              <w:adjustRightInd w:val="0"/>
              <w:spacing w:before="60"/>
              <w:ind w:left="56"/>
              <w:jc w:val="both"/>
              <w:rPr>
                <w:rFonts w:ascii="Arial Narrow" w:hAnsi="Arial Narrow" w:cs="Calibri"/>
                <w:szCs w:val="20"/>
              </w:rPr>
            </w:pPr>
            <w:r w:rsidRPr="00973419">
              <w:rPr>
                <w:rFonts w:ascii="Arial Narrow" w:hAnsi="Arial Narrow" w:cs="Calibri"/>
                <w:szCs w:val="20"/>
              </w:rPr>
              <w:t>Ocena wykorzystania taboru w przewozach.</w:t>
            </w:r>
          </w:p>
          <w:p w14:paraId="5A70A9C1" w14:textId="2DB6AF65" w:rsidR="00973419" w:rsidRDefault="00973419" w:rsidP="00EC2FC0">
            <w:pPr>
              <w:autoSpaceDE w:val="0"/>
              <w:autoSpaceDN w:val="0"/>
              <w:adjustRightInd w:val="0"/>
              <w:spacing w:before="60" w:after="60"/>
              <w:ind w:left="56"/>
              <w:jc w:val="both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T</w:t>
            </w:r>
            <w:r w:rsidRPr="00973419">
              <w:rPr>
                <w:rFonts w:ascii="Arial Narrow" w:hAnsi="Arial Narrow" w:cs="Calibri"/>
                <w:szCs w:val="20"/>
              </w:rPr>
              <w:t xml:space="preserve">abor będzie wykorzystywany </w:t>
            </w:r>
            <w:r w:rsidR="007E4FAD">
              <w:rPr>
                <w:rFonts w:ascii="Arial Narrow" w:hAnsi="Arial Narrow" w:cs="Calibri"/>
                <w:szCs w:val="20"/>
              </w:rPr>
              <w:t xml:space="preserve">wyłącznie </w:t>
            </w:r>
            <w:r w:rsidRPr="00973419">
              <w:rPr>
                <w:rFonts w:ascii="Arial Narrow" w:hAnsi="Arial Narrow" w:cs="Calibri"/>
                <w:szCs w:val="20"/>
              </w:rPr>
              <w:t>do realizacji przewozów o char</w:t>
            </w:r>
            <w:r w:rsidR="009808B2">
              <w:rPr>
                <w:rFonts w:ascii="Arial Narrow" w:hAnsi="Arial Narrow" w:cs="Calibri"/>
                <w:szCs w:val="20"/>
              </w:rPr>
              <w:t>akterze użyteczności publicznej.</w:t>
            </w:r>
          </w:p>
          <w:p w14:paraId="72C72C98" w14:textId="2F2D30DF" w:rsidR="00190CEA" w:rsidRPr="0059499F" w:rsidRDefault="00190CEA" w:rsidP="00EC2FC0">
            <w:pPr>
              <w:autoSpaceDE w:val="0"/>
              <w:autoSpaceDN w:val="0"/>
              <w:adjustRightInd w:val="0"/>
              <w:spacing w:before="60" w:after="60"/>
              <w:ind w:left="56"/>
              <w:jc w:val="both"/>
              <w:rPr>
                <w:rFonts w:ascii="Arial Narrow" w:hAnsi="Arial Narrow" w:cs="Calibri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1019" w:type="dxa"/>
          </w:tcPr>
          <w:p w14:paraId="5E06AFF0" w14:textId="77777777" w:rsidR="00973419" w:rsidRPr="0059499F" w:rsidRDefault="00973419" w:rsidP="00FF5FB8">
            <w:pPr>
              <w:pStyle w:val="cel1"/>
              <w:keepNext/>
              <w:spacing w:after="0"/>
              <w:ind w:left="0" w:firstLine="0"/>
              <w:jc w:val="left"/>
              <w:rPr>
                <w:rFonts w:ascii="Arial Narrow" w:hAnsi="Arial Narrow" w:cs="Calibri"/>
                <w:b w:val="0"/>
                <w:u w:val="none"/>
              </w:rPr>
            </w:pPr>
          </w:p>
        </w:tc>
      </w:tr>
      <w:tr w:rsidR="00973419" w:rsidRPr="0059499F" w14:paraId="4B391A9A" w14:textId="77777777" w:rsidTr="00EC2FC0">
        <w:tc>
          <w:tcPr>
            <w:tcW w:w="615" w:type="dxa"/>
            <w:vAlign w:val="center"/>
          </w:tcPr>
          <w:p w14:paraId="117E0CF9" w14:textId="77777777" w:rsidR="00973419" w:rsidRPr="009D6020" w:rsidRDefault="00973419" w:rsidP="00EC2FC0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255" w:hanging="255"/>
              <w:contextualSpacing w:val="0"/>
              <w:jc w:val="center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4080" w:type="dxa"/>
            <w:vAlign w:val="center"/>
          </w:tcPr>
          <w:p w14:paraId="2BC461E2" w14:textId="77777777" w:rsidR="00973419" w:rsidRPr="00973419" w:rsidRDefault="00973419" w:rsidP="00EC2FC0">
            <w:pPr>
              <w:rPr>
                <w:rFonts w:ascii="Arial Narrow" w:hAnsi="Arial Narrow" w:cs="Calibri"/>
                <w:bCs/>
                <w:szCs w:val="20"/>
              </w:rPr>
            </w:pPr>
            <w:r w:rsidRPr="00973419">
              <w:rPr>
                <w:rFonts w:ascii="Arial Narrow" w:hAnsi="Arial Narrow" w:cs="Calibri"/>
                <w:bCs/>
                <w:szCs w:val="20"/>
              </w:rPr>
              <w:t>Tabor zgodny z wymoga</w:t>
            </w:r>
            <w:r>
              <w:rPr>
                <w:rFonts w:ascii="Arial Narrow" w:hAnsi="Arial Narrow" w:cs="Calibri"/>
                <w:bCs/>
                <w:szCs w:val="20"/>
              </w:rPr>
              <w:t>mi TSI lub przepisami krajowymi</w:t>
            </w:r>
          </w:p>
        </w:tc>
        <w:tc>
          <w:tcPr>
            <w:tcW w:w="8536" w:type="dxa"/>
          </w:tcPr>
          <w:p w14:paraId="27EBE223" w14:textId="77777777" w:rsidR="00973419" w:rsidRPr="00973419" w:rsidRDefault="00973419" w:rsidP="00EC2FC0">
            <w:pPr>
              <w:autoSpaceDE w:val="0"/>
              <w:autoSpaceDN w:val="0"/>
              <w:adjustRightInd w:val="0"/>
              <w:spacing w:before="60" w:after="60"/>
              <w:ind w:left="57" w:right="125"/>
              <w:rPr>
                <w:rFonts w:ascii="Arial Narrow" w:hAnsi="Arial Narrow" w:cs="Calibri"/>
                <w:szCs w:val="20"/>
              </w:rPr>
            </w:pPr>
            <w:r w:rsidRPr="00973419">
              <w:rPr>
                <w:rFonts w:ascii="Arial Narrow" w:hAnsi="Arial Narrow" w:cs="Calibri"/>
                <w:szCs w:val="20"/>
              </w:rPr>
              <w:t>Dla nowego taboru warunek jest spełniony, jeśli spełnia wymagania TSI.</w:t>
            </w:r>
          </w:p>
          <w:p w14:paraId="1F4F13B0" w14:textId="77777777" w:rsidR="00973419" w:rsidRPr="00973419" w:rsidRDefault="00973419" w:rsidP="00EC2FC0">
            <w:pPr>
              <w:autoSpaceDE w:val="0"/>
              <w:autoSpaceDN w:val="0"/>
              <w:adjustRightInd w:val="0"/>
              <w:spacing w:before="60" w:after="60"/>
              <w:ind w:left="56" w:right="125"/>
              <w:rPr>
                <w:rFonts w:ascii="Arial Narrow" w:hAnsi="Arial Narrow" w:cs="Calibri"/>
                <w:szCs w:val="20"/>
              </w:rPr>
            </w:pPr>
            <w:r w:rsidRPr="00973419">
              <w:rPr>
                <w:rFonts w:ascii="Arial Narrow" w:hAnsi="Arial Narrow" w:cs="Calibri"/>
                <w:szCs w:val="20"/>
              </w:rPr>
              <w:t>Dla objętego odstępstwami od stosowania TSI, warunek jest spełniony jeśli spełnia wymagania TSI lub przepisów krajowych.</w:t>
            </w:r>
          </w:p>
          <w:p w14:paraId="37B2F88A" w14:textId="77777777" w:rsidR="00973419" w:rsidRPr="00973419" w:rsidRDefault="00973419" w:rsidP="00EC2FC0">
            <w:pPr>
              <w:autoSpaceDE w:val="0"/>
              <w:autoSpaceDN w:val="0"/>
              <w:adjustRightInd w:val="0"/>
              <w:spacing w:before="60" w:after="60"/>
              <w:ind w:left="56" w:right="125"/>
              <w:rPr>
                <w:rFonts w:ascii="Arial Narrow" w:hAnsi="Arial Narrow" w:cs="Calibri"/>
                <w:szCs w:val="20"/>
              </w:rPr>
            </w:pPr>
            <w:r w:rsidRPr="00973419">
              <w:rPr>
                <w:rFonts w:ascii="Arial Narrow" w:hAnsi="Arial Narrow" w:cs="Calibri"/>
                <w:szCs w:val="20"/>
              </w:rPr>
              <w:t>Dla nowego taboru z przeznaczeniem do poruszania się po sieci wyłączonej z obowiązku stosowania TSI warunek jest spełniony, jeśli spełnia wymagania TSI lub przepisów krajowych.</w:t>
            </w:r>
          </w:p>
          <w:p w14:paraId="10C817D1" w14:textId="77777777" w:rsidR="00973419" w:rsidRDefault="00973419" w:rsidP="000C7927">
            <w:pPr>
              <w:autoSpaceDE w:val="0"/>
              <w:autoSpaceDN w:val="0"/>
              <w:adjustRightInd w:val="0"/>
              <w:spacing w:before="60" w:after="60"/>
              <w:ind w:left="57" w:right="125"/>
              <w:rPr>
                <w:rFonts w:ascii="Arial Narrow" w:hAnsi="Arial Narrow" w:cs="Calibri"/>
                <w:szCs w:val="20"/>
              </w:rPr>
            </w:pPr>
            <w:r w:rsidRPr="00973419">
              <w:rPr>
                <w:rFonts w:ascii="Arial Narrow" w:hAnsi="Arial Narrow" w:cs="Calibri"/>
                <w:szCs w:val="20"/>
              </w:rPr>
              <w:t xml:space="preserve">W każdym przypadku tabor musi zostać </w:t>
            </w:r>
            <w:r w:rsidR="000C7927">
              <w:rPr>
                <w:rFonts w:ascii="Arial Narrow" w:hAnsi="Arial Narrow" w:cs="Calibri"/>
                <w:szCs w:val="20"/>
              </w:rPr>
              <w:t xml:space="preserve">wprowadzony do obrotu </w:t>
            </w:r>
            <w:r w:rsidRPr="00973419">
              <w:rPr>
                <w:rFonts w:ascii="Arial Narrow" w:hAnsi="Arial Narrow" w:cs="Calibri"/>
                <w:szCs w:val="20"/>
              </w:rPr>
              <w:t xml:space="preserve">zgodnie z przepisami ustawy z dnia 28 marca </w:t>
            </w:r>
            <w:r w:rsidRPr="00973419">
              <w:rPr>
                <w:rFonts w:ascii="Arial Narrow" w:hAnsi="Arial Narrow" w:cs="Calibri"/>
                <w:szCs w:val="20"/>
              </w:rPr>
              <w:lastRenderedPageBreak/>
              <w:t xml:space="preserve">2003 r. o transporcie kolejowym (Dz. U. z 2015 r. poz. 1297, z </w:t>
            </w:r>
            <w:proofErr w:type="spellStart"/>
            <w:r w:rsidRPr="00973419">
              <w:rPr>
                <w:rFonts w:ascii="Arial Narrow" w:hAnsi="Arial Narrow" w:cs="Calibri"/>
                <w:szCs w:val="20"/>
              </w:rPr>
              <w:t>późn</w:t>
            </w:r>
            <w:proofErr w:type="spellEnd"/>
            <w:r w:rsidRPr="00973419">
              <w:rPr>
                <w:rFonts w:ascii="Arial Narrow" w:hAnsi="Arial Narrow" w:cs="Calibri"/>
                <w:szCs w:val="20"/>
              </w:rPr>
              <w:t>. zm.).</w:t>
            </w:r>
          </w:p>
          <w:p w14:paraId="67F5A969" w14:textId="67467262" w:rsidR="00190CEA" w:rsidRPr="0059499F" w:rsidRDefault="00190CEA" w:rsidP="000C7927">
            <w:pPr>
              <w:autoSpaceDE w:val="0"/>
              <w:autoSpaceDN w:val="0"/>
              <w:adjustRightInd w:val="0"/>
              <w:spacing w:before="60" w:after="60"/>
              <w:ind w:left="57" w:right="125"/>
              <w:rPr>
                <w:rFonts w:ascii="Arial Narrow" w:hAnsi="Arial Narrow" w:cs="Calibri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1019" w:type="dxa"/>
          </w:tcPr>
          <w:p w14:paraId="567114D5" w14:textId="77777777" w:rsidR="00973419" w:rsidRPr="0059499F" w:rsidRDefault="00973419" w:rsidP="00FF5FB8">
            <w:pPr>
              <w:pStyle w:val="cel1"/>
              <w:keepNext/>
              <w:spacing w:after="0"/>
              <w:ind w:left="0" w:firstLine="0"/>
              <w:jc w:val="left"/>
              <w:rPr>
                <w:rFonts w:ascii="Arial Narrow" w:hAnsi="Arial Narrow" w:cs="Calibri"/>
                <w:b w:val="0"/>
                <w:u w:val="none"/>
              </w:rPr>
            </w:pPr>
          </w:p>
        </w:tc>
      </w:tr>
      <w:tr w:rsidR="00973419" w:rsidRPr="0059499F" w14:paraId="7CAB4024" w14:textId="77777777" w:rsidTr="00741F53">
        <w:tc>
          <w:tcPr>
            <w:tcW w:w="615" w:type="dxa"/>
            <w:vAlign w:val="center"/>
          </w:tcPr>
          <w:p w14:paraId="68BE5D03" w14:textId="77777777" w:rsidR="00973419" w:rsidRPr="0059499F" w:rsidRDefault="00973419" w:rsidP="00741F53">
            <w:pPr>
              <w:pStyle w:val="Akapitzlist"/>
              <w:numPr>
                <w:ilvl w:val="0"/>
                <w:numId w:val="6"/>
              </w:numPr>
              <w:spacing w:before="60" w:beforeAutospacing="0" w:after="60" w:afterAutospacing="0"/>
              <w:ind w:left="255" w:hanging="255"/>
              <w:contextualSpacing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80" w:type="dxa"/>
          </w:tcPr>
          <w:p w14:paraId="6A031879" w14:textId="77777777" w:rsidR="00973419" w:rsidRPr="00973419" w:rsidRDefault="00973419" w:rsidP="00741F53">
            <w:pPr>
              <w:spacing w:before="60" w:after="60"/>
              <w:rPr>
                <w:rFonts w:ascii="Arial Narrow" w:hAnsi="Arial Narrow" w:cs="Calibri"/>
                <w:bCs/>
                <w:szCs w:val="20"/>
              </w:rPr>
            </w:pPr>
            <w:r w:rsidRPr="00973419">
              <w:rPr>
                <w:rFonts w:ascii="Arial Narrow" w:hAnsi="Arial Narrow" w:cs="Calibri"/>
                <w:bCs/>
                <w:szCs w:val="20"/>
              </w:rPr>
              <w:t>Tabor przeznaczony do obsługi prze</w:t>
            </w:r>
            <w:r w:rsidR="00741F53">
              <w:rPr>
                <w:rFonts w:ascii="Arial Narrow" w:hAnsi="Arial Narrow" w:cs="Calibri"/>
                <w:bCs/>
                <w:szCs w:val="20"/>
              </w:rPr>
              <w:t>wozów o charakterze regionalnym</w:t>
            </w:r>
            <w:r w:rsidR="002C1EE3">
              <w:rPr>
                <w:rStyle w:val="Odwoanieprzypisudolnego"/>
                <w:rFonts w:ascii="Arial Narrow" w:hAnsi="Arial Narrow" w:cs="Calibri"/>
                <w:bCs/>
                <w:szCs w:val="20"/>
              </w:rPr>
              <w:footnoteReference w:id="2"/>
            </w:r>
          </w:p>
        </w:tc>
        <w:tc>
          <w:tcPr>
            <w:tcW w:w="8536" w:type="dxa"/>
          </w:tcPr>
          <w:p w14:paraId="331E8E81" w14:textId="77777777" w:rsidR="00973419" w:rsidRDefault="00E5554F" w:rsidP="00741F53">
            <w:pPr>
              <w:autoSpaceDE w:val="0"/>
              <w:autoSpaceDN w:val="0"/>
              <w:adjustRightInd w:val="0"/>
              <w:spacing w:before="60" w:after="60"/>
              <w:ind w:left="57" w:right="123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 xml:space="preserve">Ocenie podlegać będzie czy zakupiony tabor wykorzystywany będzie do wykonywania przewozów o charakterze regionalnym. </w:t>
            </w:r>
          </w:p>
          <w:p w14:paraId="13CED8BD" w14:textId="364DC647" w:rsidR="00190CEA" w:rsidRPr="0059499F" w:rsidRDefault="00190CEA" w:rsidP="00741F53">
            <w:pPr>
              <w:autoSpaceDE w:val="0"/>
              <w:autoSpaceDN w:val="0"/>
              <w:adjustRightInd w:val="0"/>
              <w:spacing w:before="60" w:after="60"/>
              <w:ind w:left="57" w:right="123"/>
              <w:rPr>
                <w:rFonts w:ascii="Arial Narrow" w:hAnsi="Arial Narrow" w:cs="Calibri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1019" w:type="dxa"/>
          </w:tcPr>
          <w:p w14:paraId="015D8B07" w14:textId="77777777" w:rsidR="00973419" w:rsidRPr="0059499F" w:rsidRDefault="00973419" w:rsidP="00FF5FB8">
            <w:pPr>
              <w:pStyle w:val="cel1"/>
              <w:keepNext/>
              <w:spacing w:after="0"/>
              <w:ind w:left="0" w:firstLine="0"/>
              <w:jc w:val="left"/>
              <w:rPr>
                <w:rFonts w:ascii="Arial Narrow" w:hAnsi="Arial Narrow" w:cs="Calibri"/>
                <w:b w:val="0"/>
                <w:u w:val="none"/>
              </w:rPr>
            </w:pPr>
          </w:p>
        </w:tc>
      </w:tr>
      <w:tr w:rsidR="00872E9E" w:rsidRPr="0059499F" w14:paraId="660AF20D" w14:textId="77777777" w:rsidTr="00741F53">
        <w:tc>
          <w:tcPr>
            <w:tcW w:w="615" w:type="dxa"/>
            <w:vAlign w:val="center"/>
          </w:tcPr>
          <w:p w14:paraId="50C8928D" w14:textId="77777777" w:rsidR="00872E9E" w:rsidRPr="0059499F" w:rsidRDefault="00872E9E" w:rsidP="00741F53">
            <w:pPr>
              <w:pStyle w:val="Akapitzlist"/>
              <w:numPr>
                <w:ilvl w:val="0"/>
                <w:numId w:val="6"/>
              </w:numPr>
              <w:spacing w:before="60" w:beforeAutospacing="0" w:after="60" w:afterAutospacing="0"/>
              <w:ind w:left="255" w:hanging="255"/>
              <w:contextualSpacing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14:paraId="39AAF8C6" w14:textId="77777777" w:rsidR="00872E9E" w:rsidRPr="0059499F" w:rsidRDefault="00872E9E" w:rsidP="00581F20">
            <w:pPr>
              <w:pStyle w:val="NormalnyWyjustowany"/>
              <w:jc w:val="left"/>
              <w:rPr>
                <w:rFonts w:ascii="Arial Narrow" w:hAnsi="Arial Narrow" w:cs="Calibri"/>
              </w:rPr>
            </w:pPr>
            <w:r w:rsidRPr="0007612A">
              <w:rPr>
                <w:rFonts w:ascii="Arial Narrow" w:hAnsi="Arial Narrow" w:cs="Calibri"/>
              </w:rPr>
              <w:t xml:space="preserve">Trwałość </w:t>
            </w:r>
            <w:r w:rsidR="00581F20" w:rsidRPr="0007612A">
              <w:rPr>
                <w:rFonts w:ascii="Arial Narrow" w:hAnsi="Arial Narrow" w:cs="Calibri"/>
              </w:rPr>
              <w:t>przedsięwzięcia</w:t>
            </w:r>
          </w:p>
        </w:tc>
        <w:tc>
          <w:tcPr>
            <w:tcW w:w="8536" w:type="dxa"/>
          </w:tcPr>
          <w:p w14:paraId="667E22F7" w14:textId="77777777" w:rsidR="006C29F3" w:rsidRPr="0007612A" w:rsidRDefault="006C29F3" w:rsidP="006C29F3">
            <w:pPr>
              <w:widowControl/>
              <w:spacing w:after="60"/>
              <w:ind w:left="56" w:right="11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Sprawdzane będzie</w:t>
            </w:r>
            <w:r w:rsidRPr="0007612A">
              <w:rPr>
                <w:rFonts w:ascii="Arial Narrow" w:hAnsi="Arial Narrow"/>
              </w:rPr>
              <w:t xml:space="preserve"> zachowanie przez przedsięwzięcie zasady trwałości</w:t>
            </w:r>
            <w:r>
              <w:rPr>
                <w:rFonts w:ascii="Arial Narrow" w:hAnsi="Arial Narrow"/>
              </w:rPr>
              <w:t>, rozumiane jako z</w:t>
            </w:r>
            <w:r w:rsidRPr="0007612A">
              <w:rPr>
                <w:rFonts w:ascii="Arial Narrow" w:hAnsi="Arial Narrow"/>
              </w:rPr>
              <w:t>obowiązanie</w:t>
            </w:r>
            <w:r>
              <w:rPr>
                <w:rFonts w:ascii="Arial Narrow" w:hAnsi="Arial Narrow"/>
              </w:rPr>
              <w:t xml:space="preserve"> (oświadczenie)</w:t>
            </w:r>
            <w:r w:rsidRPr="0007612A">
              <w:rPr>
                <w:rFonts w:ascii="Arial Narrow" w:hAnsi="Arial Narrow"/>
              </w:rPr>
              <w:t xml:space="preserve"> Wnioskodawcy do zachowania własności zakupionego środka trwałego (taboru) przez</w:t>
            </w:r>
            <w:r>
              <w:rPr>
                <w:rFonts w:ascii="Arial Narrow" w:hAnsi="Arial Narrow"/>
              </w:rPr>
              <w:t xml:space="preserve"> minimum</w:t>
            </w:r>
            <w:r w:rsidRPr="0007612A">
              <w:rPr>
                <w:rFonts w:ascii="Arial Narrow" w:hAnsi="Arial Narrow"/>
              </w:rPr>
              <w:t xml:space="preserve"> 3 lata</w:t>
            </w:r>
            <w:r>
              <w:rPr>
                <w:rStyle w:val="Odwoanieprzypisudolnego"/>
                <w:rFonts w:ascii="Arial Narrow" w:hAnsi="Arial Narrow"/>
              </w:rPr>
              <w:footnoteReference w:id="3"/>
            </w:r>
            <w:r w:rsidRPr="0007612A">
              <w:rPr>
                <w:rFonts w:ascii="Arial Narrow" w:hAnsi="Arial Narrow"/>
              </w:rPr>
              <w:t>.</w:t>
            </w:r>
          </w:p>
          <w:p w14:paraId="61C573BB" w14:textId="1010588B" w:rsidR="00190CEA" w:rsidRPr="0059499F" w:rsidRDefault="006C29F3" w:rsidP="006C29F3">
            <w:pPr>
              <w:widowControl/>
              <w:rPr>
                <w:rFonts w:ascii="Arial Narrow" w:hAnsi="Arial Narrow" w:cs="Calibri"/>
                <w:szCs w:val="20"/>
              </w:rPr>
            </w:pPr>
            <w:r w:rsidRPr="00C813F8">
              <w:rPr>
                <w:rFonts w:ascii="Arial Narrow" w:hAnsi="Arial Narrow" w:cs="Calibri"/>
                <w:spacing w:val="4"/>
                <w:szCs w:val="20"/>
              </w:rPr>
              <w:t>I</w:t>
            </w:r>
            <w:r w:rsidRPr="00A65741">
              <w:rPr>
                <w:rFonts w:ascii="Arial Narrow" w:hAnsi="Arial Narrow" w:cs="Calibri"/>
                <w:spacing w:val="4"/>
                <w:szCs w:val="20"/>
              </w:rPr>
              <w:t xml:space="preserve">stnieje możliwość poprawy/uzupełnienia wniosku o objęcie przedsięwzięcia wsparciem w zakresie </w:t>
            </w:r>
            <w:r>
              <w:rPr>
                <w:rFonts w:ascii="Arial Narrow" w:hAnsi="Arial Narrow" w:cs="Calibri"/>
                <w:spacing w:val="4"/>
                <w:szCs w:val="20"/>
              </w:rPr>
              <w:t>n</w:t>
            </w:r>
            <w:r w:rsidRPr="00A65741">
              <w:rPr>
                <w:rFonts w:ascii="Arial Narrow" w:hAnsi="Arial Narrow" w:cs="Calibri"/>
                <w:spacing w:val="4"/>
                <w:szCs w:val="20"/>
              </w:rPr>
              <w:t>iniejszego kryterium</w:t>
            </w:r>
            <w:r w:rsidRPr="00C813F8">
              <w:rPr>
                <w:rFonts w:ascii="Arial Narrow" w:hAnsi="Arial Narrow" w:cs="Calibri"/>
                <w:spacing w:val="4"/>
                <w:szCs w:val="20"/>
              </w:rPr>
              <w:t xml:space="preserve"> na etapie oceny spełnienia kryteriów wyboru</w:t>
            </w:r>
            <w:r>
              <w:rPr>
                <w:rFonts w:ascii="Arial Narrow" w:hAnsi="Arial Narrow" w:cs="Calibri"/>
                <w:spacing w:val="4"/>
                <w:szCs w:val="20"/>
              </w:rPr>
              <w:t>.</w:t>
            </w:r>
          </w:p>
        </w:tc>
        <w:tc>
          <w:tcPr>
            <w:tcW w:w="1019" w:type="dxa"/>
          </w:tcPr>
          <w:p w14:paraId="6EF5C81D" w14:textId="77777777" w:rsidR="00872E9E" w:rsidRPr="0059499F" w:rsidRDefault="00872E9E" w:rsidP="00FF5FB8">
            <w:pPr>
              <w:pStyle w:val="cel1"/>
              <w:keepNext/>
              <w:spacing w:before="0" w:after="0"/>
              <w:ind w:left="0" w:firstLine="0"/>
              <w:jc w:val="left"/>
              <w:rPr>
                <w:rFonts w:ascii="Arial Narrow" w:hAnsi="Arial Narrow" w:cs="Calibri"/>
                <w:b w:val="0"/>
                <w:u w:val="none"/>
              </w:rPr>
            </w:pPr>
          </w:p>
        </w:tc>
      </w:tr>
      <w:tr w:rsidR="0007612A" w:rsidRPr="0059499F" w14:paraId="7FE20DAE" w14:textId="77777777" w:rsidTr="00741F53">
        <w:tc>
          <w:tcPr>
            <w:tcW w:w="615" w:type="dxa"/>
            <w:vAlign w:val="center"/>
          </w:tcPr>
          <w:p w14:paraId="4CF4BDC1" w14:textId="77777777" w:rsidR="0007612A" w:rsidRPr="0059499F" w:rsidRDefault="0007612A" w:rsidP="00741F53">
            <w:pPr>
              <w:pStyle w:val="Akapitzlist"/>
              <w:numPr>
                <w:ilvl w:val="0"/>
                <w:numId w:val="6"/>
              </w:numPr>
              <w:spacing w:before="60" w:beforeAutospacing="0" w:after="60" w:afterAutospacing="0"/>
              <w:ind w:left="255" w:hanging="255"/>
              <w:contextualSpacing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14:paraId="64207791" w14:textId="77777777" w:rsidR="0007612A" w:rsidRPr="0007612A" w:rsidRDefault="0007612A" w:rsidP="00581F20">
            <w:pPr>
              <w:pStyle w:val="NormalnyWyjustowany"/>
              <w:jc w:val="left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Nadrekompensata</w:t>
            </w:r>
            <w:proofErr w:type="spellEnd"/>
          </w:p>
        </w:tc>
        <w:tc>
          <w:tcPr>
            <w:tcW w:w="8536" w:type="dxa"/>
          </w:tcPr>
          <w:p w14:paraId="168ABCAF" w14:textId="3A299767" w:rsidR="000F29E8" w:rsidRDefault="002B497A" w:rsidP="00F15780">
            <w:pPr>
              <w:spacing w:before="60" w:after="60"/>
              <w:ind w:left="56" w:right="123"/>
              <w:jc w:val="both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Ocenie podlegać będzie</w:t>
            </w:r>
            <w:r w:rsidR="00395C74">
              <w:rPr>
                <w:rFonts w:ascii="Arial Narrow" w:hAnsi="Arial Narrow" w:cs="Calibri"/>
                <w:szCs w:val="20"/>
              </w:rPr>
              <w:t xml:space="preserve"> </w:t>
            </w:r>
            <w:r w:rsidR="00395C74">
              <w:rPr>
                <w:rFonts w:ascii="Arial Narrow" w:hAnsi="Arial Narrow"/>
              </w:rPr>
              <w:t>(oświadczenie)</w:t>
            </w:r>
            <w:r>
              <w:rPr>
                <w:rFonts w:ascii="Arial Narrow" w:hAnsi="Arial Narrow" w:cs="Calibri"/>
                <w:szCs w:val="20"/>
              </w:rPr>
              <w:t xml:space="preserve">, czy </w:t>
            </w:r>
            <w:r w:rsidR="00395C74">
              <w:rPr>
                <w:rFonts w:ascii="Arial Narrow" w:hAnsi="Arial Narrow" w:cs="Calibri"/>
                <w:szCs w:val="20"/>
              </w:rPr>
              <w:t>Wnioskodawca zagwarantował</w:t>
            </w:r>
            <w:r w:rsidR="000F29E8">
              <w:rPr>
                <w:rFonts w:ascii="Arial Narrow" w:hAnsi="Arial Narrow" w:cs="Calibri"/>
                <w:szCs w:val="20"/>
              </w:rPr>
              <w:t>, że na koniec obowiązywania</w:t>
            </w:r>
            <w:r w:rsidR="00395C74">
              <w:rPr>
                <w:rFonts w:ascii="Arial Narrow" w:hAnsi="Arial Narrow" w:cs="Calibri"/>
                <w:szCs w:val="20"/>
              </w:rPr>
              <w:t xml:space="preserve"> umowy PSC</w:t>
            </w:r>
            <w:r w:rsidR="000F29E8">
              <w:rPr>
                <w:rFonts w:ascii="Arial Narrow" w:hAnsi="Arial Narrow" w:cs="Calibri"/>
                <w:szCs w:val="20"/>
              </w:rPr>
              <w:t xml:space="preserve"> dojdzie do </w:t>
            </w:r>
            <w:r>
              <w:rPr>
                <w:rFonts w:ascii="Arial Narrow" w:hAnsi="Arial Narrow" w:cs="Calibri"/>
                <w:szCs w:val="20"/>
              </w:rPr>
              <w:t>całkowite</w:t>
            </w:r>
            <w:r w:rsidR="000F29E8">
              <w:rPr>
                <w:rFonts w:ascii="Arial Narrow" w:hAnsi="Arial Narrow" w:cs="Calibri"/>
                <w:szCs w:val="20"/>
              </w:rPr>
              <w:t>go</w:t>
            </w:r>
            <w:r>
              <w:rPr>
                <w:rFonts w:ascii="Arial Narrow" w:hAnsi="Arial Narrow" w:cs="Calibri"/>
                <w:szCs w:val="20"/>
              </w:rPr>
              <w:t xml:space="preserve"> </w:t>
            </w:r>
            <w:r w:rsidR="00F15780">
              <w:rPr>
                <w:rFonts w:ascii="Arial Narrow" w:hAnsi="Arial Narrow" w:cs="Calibri"/>
                <w:szCs w:val="20"/>
              </w:rPr>
              <w:t xml:space="preserve">rozliczenia </w:t>
            </w:r>
            <w:r>
              <w:rPr>
                <w:rFonts w:ascii="Arial Narrow" w:hAnsi="Arial Narrow" w:cs="Calibri"/>
                <w:szCs w:val="20"/>
              </w:rPr>
              <w:t xml:space="preserve">dofinansowania </w:t>
            </w:r>
            <w:r w:rsidR="000F29E8">
              <w:rPr>
                <w:rFonts w:ascii="Arial Narrow" w:hAnsi="Arial Narrow" w:cs="Calibri"/>
                <w:szCs w:val="20"/>
              </w:rPr>
              <w:t xml:space="preserve">kosztów </w:t>
            </w:r>
            <w:r>
              <w:rPr>
                <w:rFonts w:ascii="Arial Narrow" w:hAnsi="Arial Narrow" w:cs="Calibri"/>
                <w:szCs w:val="20"/>
              </w:rPr>
              <w:t>zakupu taboru</w:t>
            </w:r>
            <w:r w:rsidR="000F29E8">
              <w:rPr>
                <w:rFonts w:ascii="Arial Narrow" w:hAnsi="Arial Narrow" w:cs="Calibri"/>
                <w:szCs w:val="20"/>
              </w:rPr>
              <w:t xml:space="preserve"> udzielonego ze środków publicznych.  </w:t>
            </w:r>
          </w:p>
          <w:p w14:paraId="4C97E971" w14:textId="63754111" w:rsidR="00190CEA" w:rsidRPr="0007612A" w:rsidDel="0007612A" w:rsidRDefault="00190CEA" w:rsidP="00F15780">
            <w:pPr>
              <w:spacing w:before="60" w:after="60"/>
              <w:ind w:left="56" w:right="123"/>
              <w:jc w:val="both"/>
              <w:rPr>
                <w:rFonts w:ascii="Arial Narrow" w:hAnsi="Arial Narrow" w:cs="Calibri"/>
                <w:szCs w:val="20"/>
              </w:rPr>
            </w:pPr>
            <w:r w:rsidRPr="00190CEA">
              <w:rPr>
                <w:rFonts w:ascii="Arial Narrow" w:hAnsi="Arial Narrow" w:cs="Calibri"/>
                <w:spacing w:val="4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</w:p>
        </w:tc>
        <w:tc>
          <w:tcPr>
            <w:tcW w:w="1019" w:type="dxa"/>
          </w:tcPr>
          <w:p w14:paraId="7AE35FE0" w14:textId="77777777" w:rsidR="0007612A" w:rsidRPr="0059499F" w:rsidRDefault="0007612A" w:rsidP="00FF5FB8">
            <w:pPr>
              <w:pStyle w:val="cel1"/>
              <w:keepNext/>
              <w:spacing w:before="0" w:after="0"/>
              <w:ind w:left="0" w:firstLine="0"/>
              <w:jc w:val="left"/>
              <w:rPr>
                <w:rFonts w:ascii="Arial Narrow" w:hAnsi="Arial Narrow" w:cs="Calibri"/>
                <w:b w:val="0"/>
                <w:u w:val="none"/>
              </w:rPr>
            </w:pPr>
          </w:p>
        </w:tc>
      </w:tr>
    </w:tbl>
    <w:p w14:paraId="1E33CF6A" w14:textId="7913F9D6" w:rsidR="00872E9E" w:rsidRDefault="00872E9E" w:rsidP="00CC0ACE">
      <w:pPr>
        <w:rPr>
          <w:rFonts w:ascii="Arial Narrow" w:hAnsi="Arial Narrow"/>
        </w:rPr>
      </w:pPr>
    </w:p>
    <w:p w14:paraId="4AF7DEF6" w14:textId="6523C8EA" w:rsidR="00466BDD" w:rsidRPr="0059499F" w:rsidRDefault="00466BDD" w:rsidP="00466BDD">
      <w:pPr>
        <w:rPr>
          <w:rFonts w:ascii="Arial Narrow" w:hAnsi="Arial Narrow"/>
        </w:rPr>
      </w:pPr>
    </w:p>
    <w:sectPr w:rsidR="00466BDD" w:rsidRPr="0059499F" w:rsidSect="00AA6F8A">
      <w:headerReference w:type="first" r:id="rId8"/>
      <w:pgSz w:w="16838" w:h="11906" w:orient="landscape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FBB0" w14:textId="77777777" w:rsidR="004C06A7" w:rsidRDefault="004C06A7" w:rsidP="00D92A8F">
      <w:r>
        <w:separator/>
      </w:r>
    </w:p>
  </w:endnote>
  <w:endnote w:type="continuationSeparator" w:id="0">
    <w:p w14:paraId="147DBB08" w14:textId="77777777" w:rsidR="004C06A7" w:rsidRDefault="004C06A7" w:rsidP="00D9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26C30" w14:textId="77777777" w:rsidR="004C06A7" w:rsidRDefault="004C06A7" w:rsidP="00D92A8F">
      <w:r>
        <w:separator/>
      </w:r>
    </w:p>
  </w:footnote>
  <w:footnote w:type="continuationSeparator" w:id="0">
    <w:p w14:paraId="70B13F7C" w14:textId="77777777" w:rsidR="004C06A7" w:rsidRDefault="004C06A7" w:rsidP="00D92A8F">
      <w:r>
        <w:continuationSeparator/>
      </w:r>
    </w:p>
  </w:footnote>
  <w:footnote w:id="1">
    <w:p w14:paraId="56C8EE8C" w14:textId="77777777" w:rsidR="002C1EE3" w:rsidRPr="00F45E5F" w:rsidRDefault="002C1EE3" w:rsidP="002C1EE3">
      <w:pPr>
        <w:rPr>
          <w:rFonts w:ascii="Arial Narrow" w:hAnsi="Arial Narrow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45E5F">
        <w:rPr>
          <w:rFonts w:ascii="Arial Narrow" w:hAnsi="Arial Narrow"/>
          <w:szCs w:val="20"/>
        </w:rPr>
        <w:t xml:space="preserve">Jako grupę zakupową należy rozumieć Zamawiających którzy na podstawie zawartego porozumienia wspólnie przygotowują, przeprowadzają lub udzielają zamówienie. Funkcjonowanie grupy musi być zgodne w szczególności z art. 38 ust 3-5 ustawy </w:t>
      </w:r>
      <w:proofErr w:type="spellStart"/>
      <w:r w:rsidRPr="00F45E5F">
        <w:rPr>
          <w:rFonts w:ascii="Arial Narrow" w:hAnsi="Arial Narrow"/>
          <w:szCs w:val="20"/>
        </w:rPr>
        <w:t>Pzp</w:t>
      </w:r>
      <w:proofErr w:type="spellEnd"/>
    </w:p>
    <w:p w14:paraId="7574497F" w14:textId="77777777" w:rsidR="002C1EE3" w:rsidRPr="00F45E5F" w:rsidRDefault="002C1EE3">
      <w:pPr>
        <w:pStyle w:val="Tekstprzypisudolnego"/>
        <w:rPr>
          <w:lang w:val="pl-PL"/>
        </w:rPr>
      </w:pPr>
    </w:p>
  </w:footnote>
  <w:footnote w:id="2">
    <w:p w14:paraId="093488C6" w14:textId="6CDE97A6" w:rsidR="002C1EE3" w:rsidRPr="00F45E5F" w:rsidRDefault="002C1EE3">
      <w:pPr>
        <w:pStyle w:val="Tekstprzypisudolnego"/>
        <w:rPr>
          <w:rFonts w:ascii="Arial Narrow" w:hAnsi="Arial Narrow" w:cs="Calibri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43033">
        <w:rPr>
          <w:rFonts w:ascii="Arial Narrow" w:hAnsi="Arial Narrow" w:cs="Calibri"/>
          <w:lang w:val="pl-PL" w:eastAsia="pl-PL"/>
        </w:rPr>
        <w:t>P</w:t>
      </w:r>
      <w:r w:rsidRPr="00F45E5F">
        <w:rPr>
          <w:rFonts w:ascii="Arial Narrow" w:hAnsi="Arial Narrow" w:cs="Calibri"/>
          <w:lang w:val="pl-PL" w:eastAsia="pl-PL"/>
        </w:rPr>
        <w:t>rzewozy aglomeracyjne, przewozy w granicach jednego województwa (w rozumieniu przewozów wojewódzkich zgodnie z ustawą PTZ) bądź realizujące połączenia z sąsiednimi województwami.</w:t>
      </w:r>
    </w:p>
  </w:footnote>
  <w:footnote w:id="3">
    <w:p w14:paraId="5E2174CE" w14:textId="1F3AC9EA" w:rsidR="006C29F3" w:rsidRPr="00F45E5F" w:rsidRDefault="006C29F3" w:rsidP="006C29F3">
      <w:pPr>
        <w:pStyle w:val="Tekstprzypisudolnego"/>
        <w:rPr>
          <w:rFonts w:ascii="Arial Narrow" w:hAnsi="Arial Narrow" w:cs="Calibri"/>
          <w:lang w:val="pl-PL" w:eastAsia="pl-PL"/>
        </w:rPr>
      </w:pPr>
      <w:r w:rsidRPr="00143033">
        <w:rPr>
          <w:rStyle w:val="Odwoanieprzypisudolnego"/>
        </w:rPr>
        <w:footnoteRef/>
      </w:r>
      <w:r w:rsidRPr="00143033">
        <w:rPr>
          <w:rStyle w:val="Odwoanieprzypisudolnego"/>
        </w:rPr>
        <w:t xml:space="preserve"> </w:t>
      </w:r>
      <w:r w:rsidRPr="00F45E5F">
        <w:rPr>
          <w:rFonts w:ascii="Arial Narrow" w:hAnsi="Arial Narrow" w:cs="Calibri"/>
          <w:lang w:val="pl-PL" w:eastAsia="pl-PL"/>
        </w:rPr>
        <w:t>Przekazanie lub sprzedaż taboru zakupionego przy wsparciu KPO na rzecz</w:t>
      </w:r>
      <w:r w:rsidR="00395C74">
        <w:rPr>
          <w:rFonts w:ascii="Arial Narrow" w:hAnsi="Arial Narrow" w:cs="Calibri"/>
          <w:lang w:val="pl-PL" w:eastAsia="pl-PL"/>
        </w:rPr>
        <w:t xml:space="preserve"> kolejnego operatora lub</w:t>
      </w:r>
      <w:r w:rsidRPr="00F45E5F">
        <w:rPr>
          <w:rFonts w:ascii="Arial Narrow" w:hAnsi="Arial Narrow" w:cs="Calibri"/>
          <w:lang w:val="pl-PL" w:eastAsia="pl-PL"/>
        </w:rPr>
        <w:t xml:space="preserve"> organizatora transportu zbiorowego w rozumieniu ustawy o PTZ </w:t>
      </w:r>
      <w:r>
        <w:rPr>
          <w:rFonts w:ascii="Arial Narrow" w:hAnsi="Arial Narrow" w:cs="Calibri"/>
          <w:lang w:val="pl-PL" w:eastAsia="pl-PL"/>
        </w:rPr>
        <w:t>nie narusza</w:t>
      </w:r>
      <w:r w:rsidRPr="00F45E5F">
        <w:rPr>
          <w:rFonts w:ascii="Arial Narrow" w:hAnsi="Arial Narrow" w:cs="Calibri"/>
          <w:lang w:val="pl-PL" w:eastAsia="pl-PL"/>
        </w:rPr>
        <w:t xml:space="preserve"> przedmiotowego kryterium.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9FF6" w14:textId="04172C76" w:rsidR="00AA6F8A" w:rsidRDefault="00AA6F8A" w:rsidP="00AA6F8A">
    <w:pPr>
      <w:pStyle w:val="Nagwek"/>
      <w:jc w:val="center"/>
    </w:pPr>
    <w:r>
      <w:rPr>
        <w:noProof/>
      </w:rPr>
      <w:drawing>
        <wp:inline distT="0" distB="0" distL="0" distR="0" wp14:anchorId="08116012" wp14:editId="1D9F44AB">
          <wp:extent cx="5759450" cy="705964"/>
          <wp:effectExtent l="0" t="0" r="0" b="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75" r="2447" b="24045"/>
                  <a:stretch/>
                </pic:blipFill>
                <pic:spPr bwMode="auto">
                  <a:xfrm>
                    <a:off x="0" y="0"/>
                    <a:ext cx="5759450" cy="705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078"/>
    <w:multiLevelType w:val="hybridMultilevel"/>
    <w:tmpl w:val="38A0DDAE"/>
    <w:lvl w:ilvl="0" w:tplc="A200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836"/>
    <w:multiLevelType w:val="hybridMultilevel"/>
    <w:tmpl w:val="268C2C3C"/>
    <w:lvl w:ilvl="0" w:tplc="02888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0080"/>
    <w:multiLevelType w:val="hybridMultilevel"/>
    <w:tmpl w:val="9678F250"/>
    <w:lvl w:ilvl="0" w:tplc="A50E9344">
      <w:start w:val="1"/>
      <w:numFmt w:val="bullet"/>
      <w:lvlText w:val="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D924C4C"/>
    <w:multiLevelType w:val="hybridMultilevel"/>
    <w:tmpl w:val="F2068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82242"/>
    <w:multiLevelType w:val="hybridMultilevel"/>
    <w:tmpl w:val="38A0DDAE"/>
    <w:lvl w:ilvl="0" w:tplc="A200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FAF"/>
    <w:multiLevelType w:val="hybridMultilevel"/>
    <w:tmpl w:val="27B0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4268"/>
    <w:multiLevelType w:val="hybridMultilevel"/>
    <w:tmpl w:val="865C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3E63"/>
    <w:multiLevelType w:val="hybridMultilevel"/>
    <w:tmpl w:val="2CECBF64"/>
    <w:lvl w:ilvl="0" w:tplc="10CE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03C1"/>
    <w:multiLevelType w:val="hybridMultilevel"/>
    <w:tmpl w:val="3AE4C044"/>
    <w:lvl w:ilvl="0" w:tplc="744020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270798"/>
    <w:multiLevelType w:val="hybridMultilevel"/>
    <w:tmpl w:val="38A0DDAE"/>
    <w:lvl w:ilvl="0" w:tplc="A200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6541"/>
    <w:multiLevelType w:val="hybridMultilevel"/>
    <w:tmpl w:val="644E6290"/>
    <w:lvl w:ilvl="0" w:tplc="A50E9344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53694"/>
    <w:multiLevelType w:val="hybridMultilevel"/>
    <w:tmpl w:val="8F46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B9148B"/>
    <w:multiLevelType w:val="hybridMultilevel"/>
    <w:tmpl w:val="95F2C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02A02"/>
    <w:multiLevelType w:val="hybridMultilevel"/>
    <w:tmpl w:val="8F46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5A3287"/>
    <w:multiLevelType w:val="hybridMultilevel"/>
    <w:tmpl w:val="38A0DDAE"/>
    <w:lvl w:ilvl="0" w:tplc="A200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212F"/>
    <w:multiLevelType w:val="hybridMultilevel"/>
    <w:tmpl w:val="84F2ADFC"/>
    <w:lvl w:ilvl="0" w:tplc="A50E9344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5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8F"/>
    <w:rsid w:val="00024A2A"/>
    <w:rsid w:val="0007612A"/>
    <w:rsid w:val="000B7C55"/>
    <w:rsid w:val="000C7927"/>
    <w:rsid w:val="000F29E8"/>
    <w:rsid w:val="0010092B"/>
    <w:rsid w:val="0010770D"/>
    <w:rsid w:val="001422AD"/>
    <w:rsid w:val="00143033"/>
    <w:rsid w:val="00173FC7"/>
    <w:rsid w:val="00184D20"/>
    <w:rsid w:val="0018556F"/>
    <w:rsid w:val="00190CEA"/>
    <w:rsid w:val="00192099"/>
    <w:rsid w:val="00194C1C"/>
    <w:rsid w:val="001B0962"/>
    <w:rsid w:val="001F7CD8"/>
    <w:rsid w:val="0020297E"/>
    <w:rsid w:val="002B497A"/>
    <w:rsid w:val="002C0282"/>
    <w:rsid w:val="002C1EE3"/>
    <w:rsid w:val="002C25DE"/>
    <w:rsid w:val="002C5D0A"/>
    <w:rsid w:val="002D3F52"/>
    <w:rsid w:val="002E3572"/>
    <w:rsid w:val="002E366A"/>
    <w:rsid w:val="002E3E54"/>
    <w:rsid w:val="002E7F58"/>
    <w:rsid w:val="00330786"/>
    <w:rsid w:val="00353906"/>
    <w:rsid w:val="00356F6B"/>
    <w:rsid w:val="0038066D"/>
    <w:rsid w:val="00387855"/>
    <w:rsid w:val="00395C74"/>
    <w:rsid w:val="003D609F"/>
    <w:rsid w:val="00407837"/>
    <w:rsid w:val="00420CA0"/>
    <w:rsid w:val="00453BAF"/>
    <w:rsid w:val="00466BDD"/>
    <w:rsid w:val="0046754F"/>
    <w:rsid w:val="00467EDC"/>
    <w:rsid w:val="00477440"/>
    <w:rsid w:val="00487281"/>
    <w:rsid w:val="004A25D6"/>
    <w:rsid w:val="004C06A7"/>
    <w:rsid w:val="004D2B16"/>
    <w:rsid w:val="00581F20"/>
    <w:rsid w:val="00583742"/>
    <w:rsid w:val="0059499F"/>
    <w:rsid w:val="005A5FD9"/>
    <w:rsid w:val="006052B0"/>
    <w:rsid w:val="00622E0D"/>
    <w:rsid w:val="00652993"/>
    <w:rsid w:val="00664006"/>
    <w:rsid w:val="00685EC0"/>
    <w:rsid w:val="006A5867"/>
    <w:rsid w:val="006C29F3"/>
    <w:rsid w:val="006C7384"/>
    <w:rsid w:val="006D53BC"/>
    <w:rsid w:val="006F0DAE"/>
    <w:rsid w:val="00741F53"/>
    <w:rsid w:val="007600AD"/>
    <w:rsid w:val="00773491"/>
    <w:rsid w:val="007E1293"/>
    <w:rsid w:val="007E4FAD"/>
    <w:rsid w:val="00800B02"/>
    <w:rsid w:val="008044A5"/>
    <w:rsid w:val="0081042D"/>
    <w:rsid w:val="0082648C"/>
    <w:rsid w:val="00872E9E"/>
    <w:rsid w:val="00887F20"/>
    <w:rsid w:val="008A1541"/>
    <w:rsid w:val="00924D8C"/>
    <w:rsid w:val="00933DCF"/>
    <w:rsid w:val="00934EFB"/>
    <w:rsid w:val="00935CF5"/>
    <w:rsid w:val="00973419"/>
    <w:rsid w:val="0097512A"/>
    <w:rsid w:val="009808B2"/>
    <w:rsid w:val="009D6020"/>
    <w:rsid w:val="00A04ABE"/>
    <w:rsid w:val="00A23584"/>
    <w:rsid w:val="00A241DE"/>
    <w:rsid w:val="00A3766C"/>
    <w:rsid w:val="00A42321"/>
    <w:rsid w:val="00AA6F8A"/>
    <w:rsid w:val="00AC35CF"/>
    <w:rsid w:val="00AD6031"/>
    <w:rsid w:val="00AE6A9B"/>
    <w:rsid w:val="00B037A9"/>
    <w:rsid w:val="00B432B5"/>
    <w:rsid w:val="00B51132"/>
    <w:rsid w:val="00B611CB"/>
    <w:rsid w:val="00B65423"/>
    <w:rsid w:val="00B9374B"/>
    <w:rsid w:val="00B9636D"/>
    <w:rsid w:val="00BC66D1"/>
    <w:rsid w:val="00BF2836"/>
    <w:rsid w:val="00C04F9C"/>
    <w:rsid w:val="00C1776A"/>
    <w:rsid w:val="00C547AB"/>
    <w:rsid w:val="00CA1AD7"/>
    <w:rsid w:val="00CC0ACE"/>
    <w:rsid w:val="00CE184C"/>
    <w:rsid w:val="00CF5BA7"/>
    <w:rsid w:val="00D01C3E"/>
    <w:rsid w:val="00D50F2A"/>
    <w:rsid w:val="00D54105"/>
    <w:rsid w:val="00D772D1"/>
    <w:rsid w:val="00D835BC"/>
    <w:rsid w:val="00D92A8F"/>
    <w:rsid w:val="00DA5A4E"/>
    <w:rsid w:val="00DC0030"/>
    <w:rsid w:val="00DC2907"/>
    <w:rsid w:val="00DF6D95"/>
    <w:rsid w:val="00E15D14"/>
    <w:rsid w:val="00E5554F"/>
    <w:rsid w:val="00E82F60"/>
    <w:rsid w:val="00E837D3"/>
    <w:rsid w:val="00EA6B5F"/>
    <w:rsid w:val="00EB4633"/>
    <w:rsid w:val="00EC2FC0"/>
    <w:rsid w:val="00ED0338"/>
    <w:rsid w:val="00F15780"/>
    <w:rsid w:val="00F16F1C"/>
    <w:rsid w:val="00F25E45"/>
    <w:rsid w:val="00F45E5F"/>
    <w:rsid w:val="00F67477"/>
    <w:rsid w:val="00F70F98"/>
    <w:rsid w:val="00F84386"/>
    <w:rsid w:val="00FD32FE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029F"/>
  <w15:chartTrackingRefBased/>
  <w15:docId w15:val="{6DDEF8B3-9DCD-4EA6-8360-5155029D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2E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2A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2A8F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D92A8F"/>
    <w:rPr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D92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D92A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2E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872E9E"/>
    <w:pPr>
      <w:widowControl/>
      <w:spacing w:before="100" w:beforeAutospacing="1" w:after="100" w:afterAutospacing="1"/>
      <w:ind w:left="720"/>
      <w:contextualSpacing/>
    </w:pPr>
    <w:rPr>
      <w:rFonts w:eastAsia="Calibri"/>
      <w:sz w:val="24"/>
    </w:rPr>
  </w:style>
  <w:style w:type="paragraph" w:customStyle="1" w:styleId="cel1">
    <w:name w:val="cel 1"/>
    <w:basedOn w:val="Normalny"/>
    <w:uiPriority w:val="99"/>
    <w:rsid w:val="00872E9E"/>
    <w:pPr>
      <w:tabs>
        <w:tab w:val="left" w:pos="1134"/>
      </w:tabs>
      <w:suppressAutoHyphens/>
      <w:spacing w:before="120" w:after="120"/>
      <w:ind w:left="1134" w:hanging="1134"/>
      <w:jc w:val="both"/>
    </w:pPr>
    <w:rPr>
      <w:b/>
      <w:smallCaps/>
      <w:szCs w:val="20"/>
      <w:u w:val="single"/>
    </w:rPr>
  </w:style>
  <w:style w:type="paragraph" w:customStyle="1" w:styleId="NormalnyWyjustowany">
    <w:name w:val="Normalny + Wyjustowany"/>
    <w:basedOn w:val="Normalny"/>
    <w:uiPriority w:val="99"/>
    <w:rsid w:val="00872E9E"/>
    <w:pPr>
      <w:widowControl/>
      <w:jc w:val="both"/>
    </w:pPr>
    <w:rPr>
      <w:bCs/>
      <w:szCs w:val="20"/>
    </w:rPr>
  </w:style>
  <w:style w:type="paragraph" w:customStyle="1" w:styleId="Default">
    <w:name w:val="Default"/>
    <w:uiPriority w:val="99"/>
    <w:rsid w:val="00ED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Numerowanie Znak,Kolorowa lista — akcent 11 Znak,Akapit z listą BS Znak"/>
    <w:basedOn w:val="Domylnaczcionkaakapitu"/>
    <w:link w:val="Akapitzlist"/>
    <w:uiPriority w:val="34"/>
    <w:qFormat/>
    <w:locked/>
    <w:rsid w:val="00973419"/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A7"/>
    <w:pPr>
      <w:widowControl/>
      <w:spacing w:before="100" w:after="200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A7"/>
    <w:rPr>
      <w:rFonts w:eastAsiaTheme="minorEastAsia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A7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Poprawka">
    <w:name w:val="Revision"/>
    <w:hidden/>
    <w:uiPriority w:val="99"/>
    <w:semiHidden/>
    <w:rsid w:val="005837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906"/>
    <w:pPr>
      <w:widowControl w:val="0"/>
      <w:spacing w:before="0"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90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F8A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F8A"/>
    <w:rPr>
      <w:rFonts w:ascii="Times New Roman" w:eastAsia="Times New Roman" w:hAnsi="Times New Roman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58EE-AAA3-4705-B67D-A8A457B5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Rodziewicz</dc:creator>
  <cp:keywords/>
  <dc:description/>
  <cp:lastModifiedBy>Aleksandra Rogalewicz-Odorowska</cp:lastModifiedBy>
  <cp:revision>2</cp:revision>
  <dcterms:created xsi:type="dcterms:W3CDTF">2023-05-04T12:13:00Z</dcterms:created>
  <dcterms:modified xsi:type="dcterms:W3CDTF">2023-05-04T12:13:00Z</dcterms:modified>
</cp:coreProperties>
</file>