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ednialista1akcent6"/>
        <w:tblpPr w:leftFromText="141" w:rightFromText="141" w:horzAnchor="margin" w:tblpY="1014"/>
        <w:tblW w:w="0" w:type="auto"/>
        <w:tblLook w:val="04A0" w:firstRow="1" w:lastRow="0" w:firstColumn="1" w:lastColumn="0" w:noHBand="0" w:noVBand="1"/>
      </w:tblPr>
      <w:tblGrid>
        <w:gridCol w:w="8882"/>
      </w:tblGrid>
      <w:tr w:rsidR="002D48F8" w:rsidRPr="006A6E61" w14:paraId="11F6F757" w14:textId="77777777" w:rsidTr="00EF41F3">
        <w:trPr>
          <w:cnfStyle w:val="100000000000" w:firstRow="1" w:lastRow="0" w:firstColumn="0" w:lastColumn="0" w:oddVBand="0" w:evenVBand="0" w:oddHBand="0"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8882" w:type="dxa"/>
          </w:tcPr>
          <w:p w14:paraId="62A299D3" w14:textId="6C28F3B2" w:rsidR="002D48F8" w:rsidRPr="006A6E61" w:rsidRDefault="002D48F8" w:rsidP="00EF41F3">
            <w:pPr>
              <w:jc w:val="center"/>
              <w:rPr>
                <w:rFonts w:ascii="Nunito Sans" w:hAnsi="Nunito Sans"/>
                <w:sz w:val="24"/>
                <w:szCs w:val="24"/>
              </w:rPr>
            </w:pPr>
            <w:bookmarkStart w:id="0" w:name="_Hlk491274567"/>
            <w:r w:rsidRPr="006A6E61">
              <w:rPr>
                <w:rFonts w:ascii="Nunito Sans" w:hAnsi="Nunito Sans"/>
                <w:sz w:val="24"/>
                <w:szCs w:val="24"/>
              </w:rPr>
              <w:t>Wstępne warunki</w:t>
            </w:r>
            <w:r w:rsidR="00D465FF" w:rsidRPr="006A6E61">
              <w:rPr>
                <w:rFonts w:ascii="Nunito Sans" w:hAnsi="Nunito Sans"/>
                <w:sz w:val="24"/>
                <w:szCs w:val="24"/>
              </w:rPr>
              <w:t xml:space="preserve"> </w:t>
            </w:r>
            <w:r w:rsidR="00E633F1" w:rsidRPr="006A6E61">
              <w:rPr>
                <w:rFonts w:ascii="Nunito Sans" w:hAnsi="Nunito Sans"/>
                <w:sz w:val="24"/>
                <w:szCs w:val="24"/>
              </w:rPr>
              <w:t xml:space="preserve">postępowania </w:t>
            </w:r>
            <w:r w:rsidR="00EA217E" w:rsidRPr="006A6E61">
              <w:rPr>
                <w:rFonts w:ascii="Nunito Sans" w:hAnsi="Nunito Sans"/>
                <w:sz w:val="24"/>
                <w:szCs w:val="24"/>
              </w:rPr>
              <w:t xml:space="preserve">w zakresie wyboru projektów </w:t>
            </w:r>
          </w:p>
          <w:p w14:paraId="12F418F5" w14:textId="77777777" w:rsidR="00B35FC1" w:rsidRPr="006A6E61" w:rsidRDefault="00B35FC1" w:rsidP="00EF41F3">
            <w:pPr>
              <w:jc w:val="center"/>
              <w:rPr>
                <w:rFonts w:ascii="Nunito Sans" w:hAnsi="Nunito Sans"/>
                <w:sz w:val="24"/>
                <w:szCs w:val="24"/>
              </w:rPr>
            </w:pPr>
          </w:p>
          <w:p w14:paraId="396E38A9" w14:textId="77777777" w:rsidR="00E452F8" w:rsidRPr="006A6E61" w:rsidRDefault="00E452F8" w:rsidP="00E452F8">
            <w:pPr>
              <w:spacing w:after="120"/>
              <w:jc w:val="center"/>
              <w:rPr>
                <w:rFonts w:ascii="Nunito Sans" w:hAnsi="Nunito Sans"/>
                <w:b w:val="0"/>
                <w:sz w:val="24"/>
                <w:szCs w:val="24"/>
              </w:rPr>
            </w:pPr>
            <w:r w:rsidRPr="006A6E61">
              <w:rPr>
                <w:rFonts w:ascii="Nunito Sans" w:hAnsi="Nunito Sans"/>
                <w:b w:val="0"/>
                <w:sz w:val="24"/>
                <w:szCs w:val="24"/>
              </w:rPr>
              <w:t xml:space="preserve">Program Fundusze Europejskie na Infrastrukturę, Klimat, Środowisko 2021-2027 </w:t>
            </w:r>
          </w:p>
          <w:p w14:paraId="54807413" w14:textId="77777777" w:rsidR="00E452F8" w:rsidRPr="006A6E61" w:rsidRDefault="00E452F8" w:rsidP="00E452F8">
            <w:pPr>
              <w:spacing w:after="120"/>
              <w:jc w:val="center"/>
              <w:rPr>
                <w:rFonts w:ascii="Nunito Sans" w:hAnsi="Nunito Sans"/>
                <w:b w:val="0"/>
                <w:sz w:val="24"/>
                <w:szCs w:val="24"/>
              </w:rPr>
            </w:pPr>
            <w:r w:rsidRPr="006A6E61">
              <w:rPr>
                <w:rFonts w:ascii="Nunito Sans" w:hAnsi="Nunito Sans"/>
                <w:b w:val="0"/>
                <w:sz w:val="24"/>
                <w:szCs w:val="24"/>
              </w:rPr>
              <w:t>Priorytet FENX.04 Wsparcie sektora transportu z Funduszu Spójności</w:t>
            </w:r>
          </w:p>
          <w:p w14:paraId="5EF1DE15" w14:textId="77777777" w:rsidR="00E452F8" w:rsidRPr="006A6E61" w:rsidRDefault="00E452F8" w:rsidP="00E452F8">
            <w:pPr>
              <w:pStyle w:val="Legenda"/>
              <w:keepNext/>
              <w:spacing w:after="120" w:line="276" w:lineRule="auto"/>
              <w:jc w:val="center"/>
              <w:rPr>
                <w:rFonts w:ascii="Nunito Sans" w:hAnsi="Nunito Sans"/>
                <w:b w:val="0"/>
                <w:i w:val="0"/>
                <w:iCs w:val="0"/>
                <w:color w:val="auto"/>
                <w:sz w:val="24"/>
                <w:szCs w:val="24"/>
              </w:rPr>
            </w:pPr>
            <w:r w:rsidRPr="006A6E61">
              <w:rPr>
                <w:rFonts w:ascii="Nunito Sans" w:hAnsi="Nunito Sans"/>
                <w:b w:val="0"/>
                <w:i w:val="0"/>
                <w:iCs w:val="0"/>
                <w:color w:val="auto"/>
                <w:sz w:val="24"/>
                <w:szCs w:val="24"/>
              </w:rPr>
              <w:t>Działanie FENX.04.03 Infrastruktura lotnicza w TEN-T</w:t>
            </w:r>
          </w:p>
          <w:p w14:paraId="7FE1BC05" w14:textId="77777777" w:rsidR="002D48F8" w:rsidRPr="006A6E61" w:rsidRDefault="002D48F8" w:rsidP="00EF41F3">
            <w:pPr>
              <w:jc w:val="center"/>
              <w:rPr>
                <w:rFonts w:ascii="Nunito Sans" w:hAnsi="Nunito Sans"/>
                <w:sz w:val="24"/>
                <w:szCs w:val="24"/>
              </w:rPr>
            </w:pPr>
          </w:p>
        </w:tc>
      </w:tr>
    </w:tbl>
    <w:p w14:paraId="018063DA" w14:textId="5773F13F" w:rsidR="00304A90" w:rsidRPr="006A6E61" w:rsidRDefault="00E452F8" w:rsidP="003373FF">
      <w:pPr>
        <w:spacing w:after="120" w:line="240" w:lineRule="auto"/>
        <w:jc w:val="both"/>
        <w:rPr>
          <w:rFonts w:ascii="Nunito Sans" w:hAnsi="Nunito Sans" w:cstheme="minorHAnsi"/>
          <w:sz w:val="24"/>
          <w:szCs w:val="24"/>
          <w:lang w:eastAsia="ja-JP"/>
        </w:rPr>
      </w:pPr>
      <w:bookmarkStart w:id="1" w:name="_GoBack"/>
      <w:r w:rsidRPr="006A6E61">
        <w:rPr>
          <w:rFonts w:ascii="Nunito Sans" w:hAnsi="Nunito Sans" w:cstheme="minorHAnsi"/>
          <w:sz w:val="24"/>
          <w:szCs w:val="24"/>
        </w:rPr>
        <w:t xml:space="preserve">Załącznik nr </w:t>
      </w:r>
      <w:r w:rsidR="000309C5" w:rsidRPr="006A6E61">
        <w:rPr>
          <w:rFonts w:ascii="Nunito Sans" w:hAnsi="Nunito Sans" w:cstheme="minorHAnsi"/>
          <w:sz w:val="24"/>
          <w:szCs w:val="24"/>
        </w:rPr>
        <w:t xml:space="preserve">6 </w:t>
      </w:r>
      <w:r w:rsidRPr="006A6E61">
        <w:rPr>
          <w:rFonts w:ascii="Nunito Sans" w:hAnsi="Nunito Sans" w:cstheme="minorHAnsi"/>
          <w:sz w:val="24"/>
          <w:szCs w:val="24"/>
        </w:rPr>
        <w:t>do Regulaminu</w:t>
      </w:r>
      <w:r w:rsidR="00012236" w:rsidRPr="006A6E61">
        <w:rPr>
          <w:rFonts w:ascii="Nunito Sans" w:hAnsi="Nunito Sans" w:cstheme="minorHAnsi"/>
          <w:sz w:val="24"/>
          <w:szCs w:val="24"/>
        </w:rPr>
        <w:t xml:space="preserve"> wyboru projekt</w:t>
      </w:r>
      <w:r w:rsidR="00D56B70">
        <w:rPr>
          <w:rFonts w:ascii="Nunito Sans" w:hAnsi="Nunito Sans" w:cstheme="minorHAnsi"/>
          <w:sz w:val="24"/>
          <w:szCs w:val="24"/>
        </w:rPr>
        <w:t>ów</w:t>
      </w:r>
    </w:p>
    <w:bookmarkEnd w:id="1"/>
    <w:p w14:paraId="358351A0" w14:textId="77777777" w:rsidR="00FA46DA" w:rsidRPr="006A6E61" w:rsidRDefault="00FA46DA" w:rsidP="003373FF">
      <w:pPr>
        <w:spacing w:after="120" w:line="240" w:lineRule="auto"/>
        <w:ind w:left="360"/>
        <w:jc w:val="both"/>
        <w:rPr>
          <w:rFonts w:ascii="Nunito Sans" w:hAnsi="Nunito Sans"/>
          <w:sz w:val="24"/>
          <w:szCs w:val="24"/>
        </w:rPr>
      </w:pPr>
    </w:p>
    <w:sdt>
      <w:sdtPr>
        <w:rPr>
          <w:rFonts w:ascii="Nunito Sans" w:eastAsiaTheme="minorHAnsi" w:hAnsi="Nunito Sans" w:cstheme="minorBidi"/>
          <w:b w:val="0"/>
          <w:bCs w:val="0"/>
          <w:color w:val="auto"/>
          <w:sz w:val="24"/>
          <w:szCs w:val="24"/>
          <w:lang w:eastAsia="en-US"/>
        </w:rPr>
        <w:id w:val="1946802475"/>
        <w:docPartObj>
          <w:docPartGallery w:val="Table of Contents"/>
          <w:docPartUnique/>
        </w:docPartObj>
      </w:sdtPr>
      <w:sdtEndPr/>
      <w:sdtContent>
        <w:p w14:paraId="09DF4025" w14:textId="77777777" w:rsidR="00FA46DA" w:rsidRPr="006A6E61" w:rsidRDefault="00FA46DA" w:rsidP="003373FF">
          <w:pPr>
            <w:pStyle w:val="Nagwekspisutreci"/>
            <w:spacing w:before="0" w:after="120" w:line="240" w:lineRule="auto"/>
            <w:jc w:val="both"/>
            <w:rPr>
              <w:rFonts w:ascii="Nunito Sans" w:hAnsi="Nunito Sans"/>
              <w:sz w:val="24"/>
              <w:szCs w:val="24"/>
            </w:rPr>
          </w:pPr>
          <w:r w:rsidRPr="006A6E61">
            <w:rPr>
              <w:rFonts w:ascii="Nunito Sans" w:hAnsi="Nunito Sans"/>
              <w:sz w:val="24"/>
              <w:szCs w:val="24"/>
            </w:rPr>
            <w:t>Spis treści</w:t>
          </w:r>
        </w:p>
        <w:p w14:paraId="08E25E68" w14:textId="3C47DA9C" w:rsidR="00455DB4" w:rsidRDefault="00B36095">
          <w:pPr>
            <w:pStyle w:val="Spistreci1"/>
            <w:rPr>
              <w:rFonts w:eastAsiaTheme="minorEastAsia"/>
              <w:noProof/>
              <w:lang w:eastAsia="pl-PL"/>
            </w:rPr>
          </w:pPr>
          <w:r w:rsidRPr="006A6E61">
            <w:rPr>
              <w:rFonts w:ascii="Nunito Sans" w:hAnsi="Nunito Sans"/>
              <w:sz w:val="24"/>
              <w:szCs w:val="24"/>
            </w:rPr>
            <w:fldChar w:fldCharType="begin"/>
          </w:r>
          <w:r w:rsidR="00FA46DA" w:rsidRPr="006A6E61">
            <w:rPr>
              <w:rFonts w:ascii="Nunito Sans" w:hAnsi="Nunito Sans"/>
              <w:sz w:val="24"/>
              <w:szCs w:val="24"/>
            </w:rPr>
            <w:instrText xml:space="preserve"> TOC \o "1-3" \h \z \u </w:instrText>
          </w:r>
          <w:r w:rsidRPr="006A6E61">
            <w:rPr>
              <w:rFonts w:ascii="Nunito Sans" w:hAnsi="Nunito Sans"/>
              <w:sz w:val="24"/>
              <w:szCs w:val="24"/>
            </w:rPr>
            <w:fldChar w:fldCharType="separate"/>
          </w:r>
          <w:hyperlink w:anchor="_Toc151451236" w:history="1">
            <w:r w:rsidR="00455DB4" w:rsidRPr="001B697B">
              <w:rPr>
                <w:rStyle w:val="Hipercze"/>
                <w:rFonts w:ascii="Nunito Sans" w:hAnsi="Nunito Sans"/>
                <w:smallCaps/>
                <w:noProof/>
              </w:rPr>
              <w:t>Warunki wstępne</w:t>
            </w:r>
            <w:r w:rsidR="00455DB4">
              <w:rPr>
                <w:noProof/>
                <w:webHidden/>
              </w:rPr>
              <w:tab/>
            </w:r>
            <w:r w:rsidR="00455DB4">
              <w:rPr>
                <w:noProof/>
                <w:webHidden/>
              </w:rPr>
              <w:fldChar w:fldCharType="begin"/>
            </w:r>
            <w:r w:rsidR="00455DB4">
              <w:rPr>
                <w:noProof/>
                <w:webHidden/>
              </w:rPr>
              <w:instrText xml:space="preserve"> PAGEREF _Toc151451236 \h </w:instrText>
            </w:r>
            <w:r w:rsidR="00455DB4">
              <w:rPr>
                <w:noProof/>
                <w:webHidden/>
              </w:rPr>
            </w:r>
            <w:r w:rsidR="00455DB4">
              <w:rPr>
                <w:noProof/>
                <w:webHidden/>
              </w:rPr>
              <w:fldChar w:fldCharType="separate"/>
            </w:r>
            <w:r w:rsidR="00455DB4">
              <w:rPr>
                <w:noProof/>
                <w:webHidden/>
              </w:rPr>
              <w:t>2</w:t>
            </w:r>
            <w:r w:rsidR="00455DB4">
              <w:rPr>
                <w:noProof/>
                <w:webHidden/>
              </w:rPr>
              <w:fldChar w:fldCharType="end"/>
            </w:r>
          </w:hyperlink>
        </w:p>
        <w:p w14:paraId="6F4C6750" w14:textId="01C07DFD" w:rsidR="00455DB4" w:rsidRDefault="00455DB4">
          <w:pPr>
            <w:pStyle w:val="Spistreci2"/>
            <w:tabs>
              <w:tab w:val="left" w:pos="660"/>
              <w:tab w:val="right" w:leader="dot" w:pos="9016"/>
            </w:tabs>
            <w:rPr>
              <w:rFonts w:eastAsiaTheme="minorEastAsia"/>
              <w:noProof/>
              <w:lang w:eastAsia="pl-PL"/>
            </w:rPr>
          </w:pPr>
          <w:hyperlink w:anchor="_Toc151451237" w:history="1">
            <w:r w:rsidRPr="001B697B">
              <w:rPr>
                <w:rStyle w:val="Hipercze"/>
                <w:noProof/>
              </w:rPr>
              <w:t>1.</w:t>
            </w:r>
            <w:r>
              <w:rPr>
                <w:rFonts w:eastAsiaTheme="minorEastAsia"/>
                <w:noProof/>
                <w:lang w:eastAsia="pl-PL"/>
              </w:rPr>
              <w:tab/>
            </w:r>
            <w:r w:rsidRPr="001B697B">
              <w:rPr>
                <w:rStyle w:val="Hipercze"/>
                <w:rFonts w:ascii="Nunito Sans" w:hAnsi="Nunito Sans"/>
                <w:noProof/>
              </w:rPr>
              <w:t>Przedmiot projektów oraz koszty kwalifikowalne</w:t>
            </w:r>
            <w:r>
              <w:rPr>
                <w:noProof/>
                <w:webHidden/>
              </w:rPr>
              <w:tab/>
            </w:r>
            <w:r>
              <w:rPr>
                <w:noProof/>
                <w:webHidden/>
              </w:rPr>
              <w:fldChar w:fldCharType="begin"/>
            </w:r>
            <w:r>
              <w:rPr>
                <w:noProof/>
                <w:webHidden/>
              </w:rPr>
              <w:instrText xml:space="preserve"> PAGEREF _Toc151451237 \h </w:instrText>
            </w:r>
            <w:r>
              <w:rPr>
                <w:noProof/>
                <w:webHidden/>
              </w:rPr>
            </w:r>
            <w:r>
              <w:rPr>
                <w:noProof/>
                <w:webHidden/>
              </w:rPr>
              <w:fldChar w:fldCharType="separate"/>
            </w:r>
            <w:r>
              <w:rPr>
                <w:noProof/>
                <w:webHidden/>
              </w:rPr>
              <w:t>2</w:t>
            </w:r>
            <w:r>
              <w:rPr>
                <w:noProof/>
                <w:webHidden/>
              </w:rPr>
              <w:fldChar w:fldCharType="end"/>
            </w:r>
          </w:hyperlink>
        </w:p>
        <w:p w14:paraId="6124565B" w14:textId="46305A74" w:rsidR="00455DB4" w:rsidRDefault="00455DB4">
          <w:pPr>
            <w:pStyle w:val="Spistreci2"/>
            <w:tabs>
              <w:tab w:val="left" w:pos="660"/>
              <w:tab w:val="right" w:leader="dot" w:pos="9016"/>
            </w:tabs>
            <w:rPr>
              <w:rFonts w:eastAsiaTheme="minorEastAsia"/>
              <w:noProof/>
              <w:lang w:eastAsia="pl-PL"/>
            </w:rPr>
          </w:pPr>
          <w:hyperlink w:anchor="_Toc151451238" w:history="1">
            <w:r w:rsidRPr="001B697B">
              <w:rPr>
                <w:rStyle w:val="Hipercze"/>
                <w:noProof/>
              </w:rPr>
              <w:t>2.</w:t>
            </w:r>
            <w:r>
              <w:rPr>
                <w:rFonts w:eastAsiaTheme="minorEastAsia"/>
                <w:noProof/>
                <w:lang w:eastAsia="pl-PL"/>
              </w:rPr>
              <w:tab/>
            </w:r>
            <w:r w:rsidRPr="001B697B">
              <w:rPr>
                <w:rStyle w:val="Hipercze"/>
                <w:rFonts w:ascii="Nunito Sans" w:hAnsi="Nunito Sans"/>
                <w:noProof/>
              </w:rPr>
              <w:t>Uproszczone Studium Wykonalności</w:t>
            </w:r>
            <w:r>
              <w:rPr>
                <w:noProof/>
                <w:webHidden/>
              </w:rPr>
              <w:tab/>
            </w:r>
            <w:r>
              <w:rPr>
                <w:noProof/>
                <w:webHidden/>
              </w:rPr>
              <w:fldChar w:fldCharType="begin"/>
            </w:r>
            <w:r>
              <w:rPr>
                <w:noProof/>
                <w:webHidden/>
              </w:rPr>
              <w:instrText xml:space="preserve"> PAGEREF _Toc151451238 \h </w:instrText>
            </w:r>
            <w:r>
              <w:rPr>
                <w:noProof/>
                <w:webHidden/>
              </w:rPr>
            </w:r>
            <w:r>
              <w:rPr>
                <w:noProof/>
                <w:webHidden/>
              </w:rPr>
              <w:fldChar w:fldCharType="separate"/>
            </w:r>
            <w:r>
              <w:rPr>
                <w:noProof/>
                <w:webHidden/>
              </w:rPr>
              <w:t>3</w:t>
            </w:r>
            <w:r>
              <w:rPr>
                <w:noProof/>
                <w:webHidden/>
              </w:rPr>
              <w:fldChar w:fldCharType="end"/>
            </w:r>
          </w:hyperlink>
        </w:p>
        <w:p w14:paraId="4A11C949" w14:textId="3D51A0FE" w:rsidR="00455DB4" w:rsidRDefault="00455DB4">
          <w:pPr>
            <w:pStyle w:val="Spistreci2"/>
            <w:tabs>
              <w:tab w:val="left" w:pos="660"/>
              <w:tab w:val="right" w:leader="dot" w:pos="9016"/>
            </w:tabs>
            <w:rPr>
              <w:rFonts w:eastAsiaTheme="minorEastAsia"/>
              <w:noProof/>
              <w:lang w:eastAsia="pl-PL"/>
            </w:rPr>
          </w:pPr>
          <w:hyperlink w:anchor="_Toc151451239" w:history="1">
            <w:r w:rsidRPr="001B697B">
              <w:rPr>
                <w:rStyle w:val="Hipercze"/>
                <w:rFonts w:ascii="Nunito Sans" w:hAnsi="Nunito Sans"/>
                <w:noProof/>
              </w:rPr>
              <w:t>a.</w:t>
            </w:r>
            <w:r>
              <w:rPr>
                <w:rFonts w:eastAsiaTheme="minorEastAsia"/>
                <w:noProof/>
                <w:lang w:eastAsia="pl-PL"/>
              </w:rPr>
              <w:tab/>
            </w:r>
            <w:r w:rsidRPr="001B697B">
              <w:rPr>
                <w:rStyle w:val="Hipercze"/>
                <w:rFonts w:ascii="Nunito Sans" w:hAnsi="Nunito Sans"/>
                <w:noProof/>
              </w:rPr>
              <w:t>Podstawowe informacje o projekcie</w:t>
            </w:r>
            <w:r>
              <w:rPr>
                <w:noProof/>
                <w:webHidden/>
              </w:rPr>
              <w:tab/>
            </w:r>
            <w:r>
              <w:rPr>
                <w:noProof/>
                <w:webHidden/>
              </w:rPr>
              <w:fldChar w:fldCharType="begin"/>
            </w:r>
            <w:r>
              <w:rPr>
                <w:noProof/>
                <w:webHidden/>
              </w:rPr>
              <w:instrText xml:space="preserve"> PAGEREF _Toc151451239 \h </w:instrText>
            </w:r>
            <w:r>
              <w:rPr>
                <w:noProof/>
                <w:webHidden/>
              </w:rPr>
            </w:r>
            <w:r>
              <w:rPr>
                <w:noProof/>
                <w:webHidden/>
              </w:rPr>
              <w:fldChar w:fldCharType="separate"/>
            </w:r>
            <w:r>
              <w:rPr>
                <w:noProof/>
                <w:webHidden/>
              </w:rPr>
              <w:t>3</w:t>
            </w:r>
            <w:r>
              <w:rPr>
                <w:noProof/>
                <w:webHidden/>
              </w:rPr>
              <w:fldChar w:fldCharType="end"/>
            </w:r>
          </w:hyperlink>
        </w:p>
        <w:p w14:paraId="2763C266" w14:textId="7BA702FC" w:rsidR="00455DB4" w:rsidRDefault="00455DB4">
          <w:pPr>
            <w:pStyle w:val="Spistreci2"/>
            <w:tabs>
              <w:tab w:val="left" w:pos="660"/>
              <w:tab w:val="right" w:leader="dot" w:pos="9016"/>
            </w:tabs>
            <w:rPr>
              <w:rFonts w:eastAsiaTheme="minorEastAsia"/>
              <w:noProof/>
              <w:lang w:eastAsia="pl-PL"/>
            </w:rPr>
          </w:pPr>
          <w:hyperlink w:anchor="_Toc151451240" w:history="1">
            <w:r w:rsidRPr="001B697B">
              <w:rPr>
                <w:rStyle w:val="Hipercze"/>
                <w:rFonts w:ascii="Nunito Sans" w:hAnsi="Nunito Sans"/>
                <w:noProof/>
              </w:rPr>
              <w:t>b.</w:t>
            </w:r>
            <w:r>
              <w:rPr>
                <w:rFonts w:eastAsiaTheme="minorEastAsia"/>
                <w:noProof/>
                <w:lang w:eastAsia="pl-PL"/>
              </w:rPr>
              <w:tab/>
            </w:r>
            <w:r w:rsidRPr="001B697B">
              <w:rPr>
                <w:rStyle w:val="Hipercze"/>
                <w:rFonts w:ascii="Nunito Sans" w:hAnsi="Nunito Sans"/>
                <w:noProof/>
              </w:rPr>
              <w:t>Stan istniejący</w:t>
            </w:r>
            <w:r>
              <w:rPr>
                <w:noProof/>
                <w:webHidden/>
              </w:rPr>
              <w:tab/>
            </w:r>
            <w:r>
              <w:rPr>
                <w:noProof/>
                <w:webHidden/>
              </w:rPr>
              <w:fldChar w:fldCharType="begin"/>
            </w:r>
            <w:r>
              <w:rPr>
                <w:noProof/>
                <w:webHidden/>
              </w:rPr>
              <w:instrText xml:space="preserve"> PAGEREF _Toc151451240 \h </w:instrText>
            </w:r>
            <w:r>
              <w:rPr>
                <w:noProof/>
                <w:webHidden/>
              </w:rPr>
            </w:r>
            <w:r>
              <w:rPr>
                <w:noProof/>
                <w:webHidden/>
              </w:rPr>
              <w:fldChar w:fldCharType="separate"/>
            </w:r>
            <w:r>
              <w:rPr>
                <w:noProof/>
                <w:webHidden/>
              </w:rPr>
              <w:t>3</w:t>
            </w:r>
            <w:r>
              <w:rPr>
                <w:noProof/>
                <w:webHidden/>
              </w:rPr>
              <w:fldChar w:fldCharType="end"/>
            </w:r>
          </w:hyperlink>
        </w:p>
        <w:p w14:paraId="39258478" w14:textId="20844E18" w:rsidR="00455DB4" w:rsidRDefault="00455DB4">
          <w:pPr>
            <w:pStyle w:val="Spistreci2"/>
            <w:tabs>
              <w:tab w:val="left" w:pos="660"/>
              <w:tab w:val="right" w:leader="dot" w:pos="9016"/>
            </w:tabs>
            <w:rPr>
              <w:rFonts w:eastAsiaTheme="minorEastAsia"/>
              <w:noProof/>
              <w:lang w:eastAsia="pl-PL"/>
            </w:rPr>
          </w:pPr>
          <w:hyperlink w:anchor="_Toc151451241" w:history="1">
            <w:r w:rsidRPr="001B697B">
              <w:rPr>
                <w:rStyle w:val="Hipercze"/>
                <w:rFonts w:ascii="Nunito Sans" w:hAnsi="Nunito Sans"/>
                <w:noProof/>
              </w:rPr>
              <w:t>c.</w:t>
            </w:r>
            <w:r>
              <w:rPr>
                <w:rFonts w:eastAsiaTheme="minorEastAsia"/>
                <w:noProof/>
                <w:lang w:eastAsia="pl-PL"/>
              </w:rPr>
              <w:tab/>
            </w:r>
            <w:r w:rsidRPr="001B697B">
              <w:rPr>
                <w:rStyle w:val="Hipercze"/>
                <w:rFonts w:ascii="Nunito Sans" w:hAnsi="Nunito Sans"/>
                <w:noProof/>
              </w:rPr>
              <w:t>Cel projektu i uzasadnienie interwencji</w:t>
            </w:r>
            <w:r>
              <w:rPr>
                <w:noProof/>
                <w:webHidden/>
              </w:rPr>
              <w:tab/>
            </w:r>
            <w:r>
              <w:rPr>
                <w:noProof/>
                <w:webHidden/>
              </w:rPr>
              <w:fldChar w:fldCharType="begin"/>
            </w:r>
            <w:r>
              <w:rPr>
                <w:noProof/>
                <w:webHidden/>
              </w:rPr>
              <w:instrText xml:space="preserve"> PAGEREF _Toc151451241 \h </w:instrText>
            </w:r>
            <w:r>
              <w:rPr>
                <w:noProof/>
                <w:webHidden/>
              </w:rPr>
            </w:r>
            <w:r>
              <w:rPr>
                <w:noProof/>
                <w:webHidden/>
              </w:rPr>
              <w:fldChar w:fldCharType="separate"/>
            </w:r>
            <w:r>
              <w:rPr>
                <w:noProof/>
                <w:webHidden/>
              </w:rPr>
              <w:t>4</w:t>
            </w:r>
            <w:r>
              <w:rPr>
                <w:noProof/>
                <w:webHidden/>
              </w:rPr>
              <w:fldChar w:fldCharType="end"/>
            </w:r>
          </w:hyperlink>
        </w:p>
        <w:p w14:paraId="6F57B905" w14:textId="3F5E9BC2" w:rsidR="00455DB4" w:rsidRDefault="00455DB4">
          <w:pPr>
            <w:pStyle w:val="Spistreci2"/>
            <w:tabs>
              <w:tab w:val="left" w:pos="660"/>
              <w:tab w:val="right" w:leader="dot" w:pos="9016"/>
            </w:tabs>
            <w:rPr>
              <w:rFonts w:eastAsiaTheme="minorEastAsia"/>
              <w:noProof/>
              <w:lang w:eastAsia="pl-PL"/>
            </w:rPr>
          </w:pPr>
          <w:hyperlink w:anchor="_Toc151451242" w:history="1">
            <w:r w:rsidRPr="001B697B">
              <w:rPr>
                <w:rStyle w:val="Hipercze"/>
                <w:rFonts w:ascii="Nunito Sans" w:hAnsi="Nunito Sans"/>
                <w:noProof/>
              </w:rPr>
              <w:t>d.</w:t>
            </w:r>
            <w:r>
              <w:rPr>
                <w:rFonts w:eastAsiaTheme="minorEastAsia"/>
                <w:noProof/>
                <w:lang w:eastAsia="pl-PL"/>
              </w:rPr>
              <w:tab/>
            </w:r>
            <w:r w:rsidRPr="001B697B">
              <w:rPr>
                <w:rStyle w:val="Hipercze"/>
                <w:rFonts w:ascii="Nunito Sans" w:hAnsi="Nunito Sans"/>
                <w:noProof/>
              </w:rPr>
              <w:t>Wybór zakresu projektu do realizacji</w:t>
            </w:r>
            <w:r>
              <w:rPr>
                <w:noProof/>
                <w:webHidden/>
              </w:rPr>
              <w:tab/>
            </w:r>
            <w:r>
              <w:rPr>
                <w:noProof/>
                <w:webHidden/>
              </w:rPr>
              <w:fldChar w:fldCharType="begin"/>
            </w:r>
            <w:r>
              <w:rPr>
                <w:noProof/>
                <w:webHidden/>
              </w:rPr>
              <w:instrText xml:space="preserve"> PAGEREF _Toc151451242 \h </w:instrText>
            </w:r>
            <w:r>
              <w:rPr>
                <w:noProof/>
                <w:webHidden/>
              </w:rPr>
            </w:r>
            <w:r>
              <w:rPr>
                <w:noProof/>
                <w:webHidden/>
              </w:rPr>
              <w:fldChar w:fldCharType="separate"/>
            </w:r>
            <w:r>
              <w:rPr>
                <w:noProof/>
                <w:webHidden/>
              </w:rPr>
              <w:t>4</w:t>
            </w:r>
            <w:r>
              <w:rPr>
                <w:noProof/>
                <w:webHidden/>
              </w:rPr>
              <w:fldChar w:fldCharType="end"/>
            </w:r>
          </w:hyperlink>
        </w:p>
        <w:p w14:paraId="1361F552" w14:textId="1701D4BB" w:rsidR="00455DB4" w:rsidRDefault="00455DB4">
          <w:pPr>
            <w:pStyle w:val="Spistreci2"/>
            <w:tabs>
              <w:tab w:val="left" w:pos="660"/>
              <w:tab w:val="right" w:leader="dot" w:pos="9016"/>
            </w:tabs>
            <w:rPr>
              <w:rFonts w:eastAsiaTheme="minorEastAsia"/>
              <w:noProof/>
              <w:lang w:eastAsia="pl-PL"/>
            </w:rPr>
          </w:pPr>
          <w:hyperlink w:anchor="_Toc151451243" w:history="1">
            <w:r w:rsidRPr="001B697B">
              <w:rPr>
                <w:rStyle w:val="Hipercze"/>
                <w:rFonts w:ascii="Nunito Sans" w:hAnsi="Nunito Sans"/>
                <w:noProof/>
              </w:rPr>
              <w:t>e.</w:t>
            </w:r>
            <w:r>
              <w:rPr>
                <w:rFonts w:eastAsiaTheme="minorEastAsia"/>
                <w:noProof/>
                <w:lang w:eastAsia="pl-PL"/>
              </w:rPr>
              <w:tab/>
            </w:r>
            <w:r w:rsidRPr="001B697B">
              <w:rPr>
                <w:rStyle w:val="Hipercze"/>
                <w:rFonts w:ascii="Nunito Sans" w:hAnsi="Nunito Sans"/>
                <w:noProof/>
              </w:rPr>
              <w:t>Analiza popytu</w:t>
            </w:r>
            <w:r>
              <w:rPr>
                <w:noProof/>
                <w:webHidden/>
              </w:rPr>
              <w:tab/>
            </w:r>
            <w:r>
              <w:rPr>
                <w:noProof/>
                <w:webHidden/>
              </w:rPr>
              <w:fldChar w:fldCharType="begin"/>
            </w:r>
            <w:r>
              <w:rPr>
                <w:noProof/>
                <w:webHidden/>
              </w:rPr>
              <w:instrText xml:space="preserve"> PAGEREF _Toc151451243 \h </w:instrText>
            </w:r>
            <w:r>
              <w:rPr>
                <w:noProof/>
                <w:webHidden/>
              </w:rPr>
            </w:r>
            <w:r>
              <w:rPr>
                <w:noProof/>
                <w:webHidden/>
              </w:rPr>
              <w:fldChar w:fldCharType="separate"/>
            </w:r>
            <w:r>
              <w:rPr>
                <w:noProof/>
                <w:webHidden/>
              </w:rPr>
              <w:t>5</w:t>
            </w:r>
            <w:r>
              <w:rPr>
                <w:noProof/>
                <w:webHidden/>
              </w:rPr>
              <w:fldChar w:fldCharType="end"/>
            </w:r>
          </w:hyperlink>
        </w:p>
        <w:p w14:paraId="300D120C" w14:textId="5B874D94" w:rsidR="00455DB4" w:rsidRDefault="00455DB4">
          <w:pPr>
            <w:pStyle w:val="Spistreci2"/>
            <w:tabs>
              <w:tab w:val="left" w:pos="660"/>
              <w:tab w:val="right" w:leader="dot" w:pos="9016"/>
            </w:tabs>
            <w:rPr>
              <w:rFonts w:eastAsiaTheme="minorEastAsia"/>
              <w:noProof/>
              <w:lang w:eastAsia="pl-PL"/>
            </w:rPr>
          </w:pPr>
          <w:hyperlink w:anchor="_Toc151451244" w:history="1">
            <w:r w:rsidRPr="001B697B">
              <w:rPr>
                <w:rStyle w:val="Hipercze"/>
                <w:rFonts w:ascii="Nunito Sans" w:hAnsi="Nunito Sans"/>
                <w:noProof/>
              </w:rPr>
              <w:t>f.</w:t>
            </w:r>
            <w:r>
              <w:rPr>
                <w:rFonts w:eastAsiaTheme="minorEastAsia"/>
                <w:noProof/>
                <w:lang w:eastAsia="pl-PL"/>
              </w:rPr>
              <w:tab/>
            </w:r>
            <w:r w:rsidRPr="001B697B">
              <w:rPr>
                <w:rStyle w:val="Hipercze"/>
                <w:rFonts w:ascii="Nunito Sans" w:hAnsi="Nunito Sans"/>
                <w:noProof/>
              </w:rPr>
              <w:t>Analiza ekonomiczna</w:t>
            </w:r>
            <w:r>
              <w:rPr>
                <w:noProof/>
                <w:webHidden/>
              </w:rPr>
              <w:tab/>
            </w:r>
            <w:r>
              <w:rPr>
                <w:noProof/>
                <w:webHidden/>
              </w:rPr>
              <w:fldChar w:fldCharType="begin"/>
            </w:r>
            <w:r>
              <w:rPr>
                <w:noProof/>
                <w:webHidden/>
              </w:rPr>
              <w:instrText xml:space="preserve"> PAGEREF _Toc151451244 \h </w:instrText>
            </w:r>
            <w:r>
              <w:rPr>
                <w:noProof/>
                <w:webHidden/>
              </w:rPr>
            </w:r>
            <w:r>
              <w:rPr>
                <w:noProof/>
                <w:webHidden/>
              </w:rPr>
              <w:fldChar w:fldCharType="separate"/>
            </w:r>
            <w:r>
              <w:rPr>
                <w:noProof/>
                <w:webHidden/>
              </w:rPr>
              <w:t>6</w:t>
            </w:r>
            <w:r>
              <w:rPr>
                <w:noProof/>
                <w:webHidden/>
              </w:rPr>
              <w:fldChar w:fldCharType="end"/>
            </w:r>
          </w:hyperlink>
        </w:p>
        <w:p w14:paraId="007A263D" w14:textId="7EDFF15B" w:rsidR="00455DB4" w:rsidRDefault="00455DB4">
          <w:pPr>
            <w:pStyle w:val="Spistreci2"/>
            <w:tabs>
              <w:tab w:val="left" w:pos="660"/>
              <w:tab w:val="right" w:leader="dot" w:pos="9016"/>
            </w:tabs>
            <w:rPr>
              <w:rFonts w:eastAsiaTheme="minorEastAsia"/>
              <w:noProof/>
              <w:lang w:eastAsia="pl-PL"/>
            </w:rPr>
          </w:pPr>
          <w:hyperlink w:anchor="_Toc151451245" w:history="1">
            <w:r w:rsidRPr="001B697B">
              <w:rPr>
                <w:rStyle w:val="Hipercze"/>
                <w:rFonts w:ascii="Nunito Sans" w:hAnsi="Nunito Sans"/>
                <w:noProof/>
              </w:rPr>
              <w:t>g.</w:t>
            </w:r>
            <w:r>
              <w:rPr>
                <w:rFonts w:eastAsiaTheme="minorEastAsia"/>
                <w:noProof/>
                <w:lang w:eastAsia="pl-PL"/>
              </w:rPr>
              <w:tab/>
            </w:r>
            <w:r w:rsidRPr="001B697B">
              <w:rPr>
                <w:rStyle w:val="Hipercze"/>
                <w:rFonts w:ascii="Nunito Sans" w:hAnsi="Nunito Sans"/>
                <w:noProof/>
              </w:rPr>
              <w:t>Analiza finansowa</w:t>
            </w:r>
            <w:r>
              <w:rPr>
                <w:noProof/>
                <w:webHidden/>
              </w:rPr>
              <w:tab/>
            </w:r>
            <w:r>
              <w:rPr>
                <w:noProof/>
                <w:webHidden/>
              </w:rPr>
              <w:fldChar w:fldCharType="begin"/>
            </w:r>
            <w:r>
              <w:rPr>
                <w:noProof/>
                <w:webHidden/>
              </w:rPr>
              <w:instrText xml:space="preserve"> PAGEREF _Toc151451245 \h </w:instrText>
            </w:r>
            <w:r>
              <w:rPr>
                <w:noProof/>
                <w:webHidden/>
              </w:rPr>
            </w:r>
            <w:r>
              <w:rPr>
                <w:noProof/>
                <w:webHidden/>
              </w:rPr>
              <w:fldChar w:fldCharType="separate"/>
            </w:r>
            <w:r>
              <w:rPr>
                <w:noProof/>
                <w:webHidden/>
              </w:rPr>
              <w:t>6</w:t>
            </w:r>
            <w:r>
              <w:rPr>
                <w:noProof/>
                <w:webHidden/>
              </w:rPr>
              <w:fldChar w:fldCharType="end"/>
            </w:r>
          </w:hyperlink>
        </w:p>
        <w:p w14:paraId="69199766" w14:textId="6BE99F45" w:rsidR="00455DB4" w:rsidRDefault="00455DB4">
          <w:pPr>
            <w:pStyle w:val="Spistreci2"/>
            <w:tabs>
              <w:tab w:val="left" w:pos="660"/>
              <w:tab w:val="right" w:leader="dot" w:pos="9016"/>
            </w:tabs>
            <w:rPr>
              <w:rFonts w:eastAsiaTheme="minorEastAsia"/>
              <w:noProof/>
              <w:lang w:eastAsia="pl-PL"/>
            </w:rPr>
          </w:pPr>
          <w:hyperlink w:anchor="_Toc151451246" w:history="1">
            <w:r w:rsidRPr="001B697B">
              <w:rPr>
                <w:rStyle w:val="Hipercze"/>
                <w:rFonts w:ascii="Nunito Sans" w:hAnsi="Nunito Sans"/>
                <w:noProof/>
              </w:rPr>
              <w:t>h.</w:t>
            </w:r>
            <w:r>
              <w:rPr>
                <w:rFonts w:eastAsiaTheme="minorEastAsia"/>
                <w:noProof/>
                <w:lang w:eastAsia="pl-PL"/>
              </w:rPr>
              <w:tab/>
            </w:r>
            <w:r w:rsidRPr="001B697B">
              <w:rPr>
                <w:rStyle w:val="Hipercze"/>
                <w:rFonts w:ascii="Nunito Sans" w:hAnsi="Nunito Sans"/>
                <w:noProof/>
              </w:rPr>
              <w:t>Wysokość wnioskowanego dofinansowania</w:t>
            </w:r>
            <w:r>
              <w:rPr>
                <w:noProof/>
                <w:webHidden/>
              </w:rPr>
              <w:tab/>
            </w:r>
            <w:r>
              <w:rPr>
                <w:noProof/>
                <w:webHidden/>
              </w:rPr>
              <w:fldChar w:fldCharType="begin"/>
            </w:r>
            <w:r>
              <w:rPr>
                <w:noProof/>
                <w:webHidden/>
              </w:rPr>
              <w:instrText xml:space="preserve"> PAGEREF _Toc151451246 \h </w:instrText>
            </w:r>
            <w:r>
              <w:rPr>
                <w:noProof/>
                <w:webHidden/>
              </w:rPr>
            </w:r>
            <w:r>
              <w:rPr>
                <w:noProof/>
                <w:webHidden/>
              </w:rPr>
              <w:fldChar w:fldCharType="separate"/>
            </w:r>
            <w:r>
              <w:rPr>
                <w:noProof/>
                <w:webHidden/>
              </w:rPr>
              <w:t>7</w:t>
            </w:r>
            <w:r>
              <w:rPr>
                <w:noProof/>
                <w:webHidden/>
              </w:rPr>
              <w:fldChar w:fldCharType="end"/>
            </w:r>
          </w:hyperlink>
        </w:p>
        <w:p w14:paraId="15D20876" w14:textId="5F669FD5" w:rsidR="00455DB4" w:rsidRDefault="00455DB4">
          <w:pPr>
            <w:pStyle w:val="Spistreci2"/>
            <w:tabs>
              <w:tab w:val="left" w:pos="660"/>
              <w:tab w:val="right" w:leader="dot" w:pos="9016"/>
            </w:tabs>
            <w:rPr>
              <w:rFonts w:eastAsiaTheme="minorEastAsia"/>
              <w:noProof/>
              <w:lang w:eastAsia="pl-PL"/>
            </w:rPr>
          </w:pPr>
          <w:hyperlink w:anchor="_Toc151451247" w:history="1">
            <w:r w:rsidRPr="001B697B">
              <w:rPr>
                <w:rStyle w:val="Hipercze"/>
                <w:rFonts w:ascii="Nunito Sans" w:hAnsi="Nunito Sans"/>
                <w:noProof/>
              </w:rPr>
              <w:t>i.</w:t>
            </w:r>
            <w:r>
              <w:rPr>
                <w:rFonts w:eastAsiaTheme="minorEastAsia"/>
                <w:noProof/>
                <w:lang w:eastAsia="pl-PL"/>
              </w:rPr>
              <w:tab/>
            </w:r>
            <w:r w:rsidRPr="001B697B">
              <w:rPr>
                <w:rStyle w:val="Hipercze"/>
                <w:rFonts w:ascii="Nunito Sans" w:hAnsi="Nunito Sans"/>
                <w:noProof/>
              </w:rPr>
              <w:t>Trwałość finansowa i instytucjonalna</w:t>
            </w:r>
            <w:r>
              <w:rPr>
                <w:noProof/>
                <w:webHidden/>
              </w:rPr>
              <w:tab/>
            </w:r>
            <w:r>
              <w:rPr>
                <w:noProof/>
                <w:webHidden/>
              </w:rPr>
              <w:fldChar w:fldCharType="begin"/>
            </w:r>
            <w:r>
              <w:rPr>
                <w:noProof/>
                <w:webHidden/>
              </w:rPr>
              <w:instrText xml:space="preserve"> PAGEREF _Toc151451247 \h </w:instrText>
            </w:r>
            <w:r>
              <w:rPr>
                <w:noProof/>
                <w:webHidden/>
              </w:rPr>
            </w:r>
            <w:r>
              <w:rPr>
                <w:noProof/>
                <w:webHidden/>
              </w:rPr>
              <w:fldChar w:fldCharType="separate"/>
            </w:r>
            <w:r>
              <w:rPr>
                <w:noProof/>
                <w:webHidden/>
              </w:rPr>
              <w:t>8</w:t>
            </w:r>
            <w:r>
              <w:rPr>
                <w:noProof/>
                <w:webHidden/>
              </w:rPr>
              <w:fldChar w:fldCharType="end"/>
            </w:r>
          </w:hyperlink>
        </w:p>
        <w:p w14:paraId="359B6518" w14:textId="4CB753AB" w:rsidR="00455DB4" w:rsidRDefault="00455DB4">
          <w:pPr>
            <w:pStyle w:val="Spistreci2"/>
            <w:tabs>
              <w:tab w:val="left" w:pos="660"/>
              <w:tab w:val="right" w:leader="dot" w:pos="9016"/>
            </w:tabs>
            <w:rPr>
              <w:rFonts w:eastAsiaTheme="minorEastAsia"/>
              <w:noProof/>
              <w:lang w:eastAsia="pl-PL"/>
            </w:rPr>
          </w:pPr>
          <w:hyperlink w:anchor="_Toc151451248" w:history="1">
            <w:r w:rsidRPr="001B697B">
              <w:rPr>
                <w:rStyle w:val="Hipercze"/>
                <w:rFonts w:ascii="Nunito Sans" w:hAnsi="Nunito Sans"/>
                <w:noProof/>
              </w:rPr>
              <w:t>j.</w:t>
            </w:r>
            <w:r>
              <w:rPr>
                <w:rFonts w:eastAsiaTheme="minorEastAsia"/>
                <w:noProof/>
                <w:lang w:eastAsia="pl-PL"/>
              </w:rPr>
              <w:tab/>
            </w:r>
            <w:r w:rsidRPr="001B697B">
              <w:rPr>
                <w:rStyle w:val="Hipercze"/>
                <w:rFonts w:ascii="Nunito Sans" w:hAnsi="Nunito Sans"/>
                <w:noProof/>
              </w:rPr>
              <w:t>Plan wdrożenia projektu</w:t>
            </w:r>
            <w:r>
              <w:rPr>
                <w:noProof/>
                <w:webHidden/>
              </w:rPr>
              <w:tab/>
            </w:r>
            <w:r>
              <w:rPr>
                <w:noProof/>
                <w:webHidden/>
              </w:rPr>
              <w:fldChar w:fldCharType="begin"/>
            </w:r>
            <w:r>
              <w:rPr>
                <w:noProof/>
                <w:webHidden/>
              </w:rPr>
              <w:instrText xml:space="preserve"> PAGEREF _Toc151451248 \h </w:instrText>
            </w:r>
            <w:r>
              <w:rPr>
                <w:noProof/>
                <w:webHidden/>
              </w:rPr>
            </w:r>
            <w:r>
              <w:rPr>
                <w:noProof/>
                <w:webHidden/>
              </w:rPr>
              <w:fldChar w:fldCharType="separate"/>
            </w:r>
            <w:r>
              <w:rPr>
                <w:noProof/>
                <w:webHidden/>
              </w:rPr>
              <w:t>9</w:t>
            </w:r>
            <w:r>
              <w:rPr>
                <w:noProof/>
                <w:webHidden/>
              </w:rPr>
              <w:fldChar w:fldCharType="end"/>
            </w:r>
          </w:hyperlink>
        </w:p>
        <w:p w14:paraId="25821579" w14:textId="37809DD6" w:rsidR="00455DB4" w:rsidRDefault="00455DB4">
          <w:pPr>
            <w:pStyle w:val="Spistreci2"/>
            <w:tabs>
              <w:tab w:val="left" w:pos="660"/>
              <w:tab w:val="right" w:leader="dot" w:pos="9016"/>
            </w:tabs>
            <w:rPr>
              <w:rFonts w:eastAsiaTheme="minorEastAsia"/>
              <w:noProof/>
              <w:lang w:eastAsia="pl-PL"/>
            </w:rPr>
          </w:pPr>
          <w:hyperlink w:anchor="_Toc151451249" w:history="1">
            <w:r w:rsidRPr="001B697B">
              <w:rPr>
                <w:rStyle w:val="Hipercze"/>
                <w:rFonts w:ascii="Nunito Sans" w:hAnsi="Nunito Sans"/>
                <w:noProof/>
              </w:rPr>
              <w:t>k.</w:t>
            </w:r>
            <w:r>
              <w:rPr>
                <w:rFonts w:eastAsiaTheme="minorEastAsia"/>
                <w:noProof/>
                <w:lang w:eastAsia="pl-PL"/>
              </w:rPr>
              <w:tab/>
            </w:r>
            <w:r w:rsidRPr="001B697B">
              <w:rPr>
                <w:rStyle w:val="Hipercze"/>
                <w:rFonts w:ascii="Nunito Sans" w:hAnsi="Nunito Sans"/>
                <w:noProof/>
              </w:rPr>
              <w:t>Analiza ryzyka</w:t>
            </w:r>
            <w:r>
              <w:rPr>
                <w:noProof/>
                <w:webHidden/>
              </w:rPr>
              <w:tab/>
            </w:r>
            <w:r>
              <w:rPr>
                <w:noProof/>
                <w:webHidden/>
              </w:rPr>
              <w:fldChar w:fldCharType="begin"/>
            </w:r>
            <w:r>
              <w:rPr>
                <w:noProof/>
                <w:webHidden/>
              </w:rPr>
              <w:instrText xml:space="preserve"> PAGEREF _Toc151451249 \h </w:instrText>
            </w:r>
            <w:r>
              <w:rPr>
                <w:noProof/>
                <w:webHidden/>
              </w:rPr>
            </w:r>
            <w:r>
              <w:rPr>
                <w:noProof/>
                <w:webHidden/>
              </w:rPr>
              <w:fldChar w:fldCharType="separate"/>
            </w:r>
            <w:r>
              <w:rPr>
                <w:noProof/>
                <w:webHidden/>
              </w:rPr>
              <w:t>9</w:t>
            </w:r>
            <w:r>
              <w:rPr>
                <w:noProof/>
                <w:webHidden/>
              </w:rPr>
              <w:fldChar w:fldCharType="end"/>
            </w:r>
          </w:hyperlink>
        </w:p>
        <w:p w14:paraId="0A7E8EF0" w14:textId="29062FFC" w:rsidR="00455DB4" w:rsidRDefault="00455DB4">
          <w:pPr>
            <w:pStyle w:val="Spistreci2"/>
            <w:tabs>
              <w:tab w:val="left" w:pos="660"/>
              <w:tab w:val="right" w:leader="dot" w:pos="9016"/>
            </w:tabs>
            <w:rPr>
              <w:rFonts w:eastAsiaTheme="minorEastAsia"/>
              <w:noProof/>
              <w:lang w:eastAsia="pl-PL"/>
            </w:rPr>
          </w:pPr>
          <w:hyperlink w:anchor="_Toc151451250" w:history="1">
            <w:r w:rsidRPr="001B697B">
              <w:rPr>
                <w:rStyle w:val="Hipercze"/>
                <w:rFonts w:ascii="Nunito Sans" w:hAnsi="Nunito Sans"/>
                <w:noProof/>
              </w:rPr>
              <w:t>l.</w:t>
            </w:r>
            <w:r>
              <w:rPr>
                <w:rFonts w:eastAsiaTheme="minorEastAsia"/>
                <w:noProof/>
                <w:lang w:eastAsia="pl-PL"/>
              </w:rPr>
              <w:tab/>
            </w:r>
            <w:r w:rsidRPr="001B697B">
              <w:rPr>
                <w:rStyle w:val="Hipercze"/>
                <w:rFonts w:ascii="Nunito Sans" w:hAnsi="Nunito Sans"/>
                <w:noProof/>
              </w:rPr>
              <w:t>Analiza wrażliwości</w:t>
            </w:r>
            <w:r>
              <w:rPr>
                <w:noProof/>
                <w:webHidden/>
              </w:rPr>
              <w:tab/>
            </w:r>
            <w:r>
              <w:rPr>
                <w:noProof/>
                <w:webHidden/>
              </w:rPr>
              <w:fldChar w:fldCharType="begin"/>
            </w:r>
            <w:r>
              <w:rPr>
                <w:noProof/>
                <w:webHidden/>
              </w:rPr>
              <w:instrText xml:space="preserve"> PAGEREF _Toc151451250 \h </w:instrText>
            </w:r>
            <w:r>
              <w:rPr>
                <w:noProof/>
                <w:webHidden/>
              </w:rPr>
            </w:r>
            <w:r>
              <w:rPr>
                <w:noProof/>
                <w:webHidden/>
              </w:rPr>
              <w:fldChar w:fldCharType="separate"/>
            </w:r>
            <w:r>
              <w:rPr>
                <w:noProof/>
                <w:webHidden/>
              </w:rPr>
              <w:t>10</w:t>
            </w:r>
            <w:r>
              <w:rPr>
                <w:noProof/>
                <w:webHidden/>
              </w:rPr>
              <w:fldChar w:fldCharType="end"/>
            </w:r>
          </w:hyperlink>
        </w:p>
        <w:p w14:paraId="343E47B5" w14:textId="46CC0B8E" w:rsidR="00455DB4" w:rsidRDefault="00455DB4">
          <w:pPr>
            <w:pStyle w:val="Spistreci2"/>
            <w:tabs>
              <w:tab w:val="left" w:pos="660"/>
              <w:tab w:val="right" w:leader="dot" w:pos="9016"/>
            </w:tabs>
            <w:rPr>
              <w:rFonts w:eastAsiaTheme="minorEastAsia"/>
              <w:noProof/>
              <w:lang w:eastAsia="pl-PL"/>
            </w:rPr>
          </w:pPr>
          <w:hyperlink w:anchor="_Toc151451251" w:history="1">
            <w:r w:rsidRPr="001B697B">
              <w:rPr>
                <w:rStyle w:val="Hipercze"/>
                <w:noProof/>
              </w:rPr>
              <w:t>3.</w:t>
            </w:r>
            <w:r>
              <w:rPr>
                <w:rFonts w:eastAsiaTheme="minorEastAsia"/>
                <w:noProof/>
                <w:lang w:eastAsia="pl-PL"/>
              </w:rPr>
              <w:tab/>
            </w:r>
            <w:r w:rsidRPr="001B697B">
              <w:rPr>
                <w:rStyle w:val="Hipercze"/>
                <w:rFonts w:ascii="Nunito Sans" w:hAnsi="Nunito Sans"/>
                <w:noProof/>
              </w:rPr>
              <w:t>Załącznik: arkusz kalkulacyjny</w:t>
            </w:r>
            <w:r>
              <w:rPr>
                <w:noProof/>
                <w:webHidden/>
              </w:rPr>
              <w:tab/>
            </w:r>
            <w:r>
              <w:rPr>
                <w:noProof/>
                <w:webHidden/>
              </w:rPr>
              <w:fldChar w:fldCharType="begin"/>
            </w:r>
            <w:r>
              <w:rPr>
                <w:noProof/>
                <w:webHidden/>
              </w:rPr>
              <w:instrText xml:space="preserve"> PAGEREF _Toc151451251 \h </w:instrText>
            </w:r>
            <w:r>
              <w:rPr>
                <w:noProof/>
                <w:webHidden/>
              </w:rPr>
            </w:r>
            <w:r>
              <w:rPr>
                <w:noProof/>
                <w:webHidden/>
              </w:rPr>
              <w:fldChar w:fldCharType="separate"/>
            </w:r>
            <w:r>
              <w:rPr>
                <w:noProof/>
                <w:webHidden/>
              </w:rPr>
              <w:t>10</w:t>
            </w:r>
            <w:r>
              <w:rPr>
                <w:noProof/>
                <w:webHidden/>
              </w:rPr>
              <w:fldChar w:fldCharType="end"/>
            </w:r>
          </w:hyperlink>
        </w:p>
        <w:p w14:paraId="4A3CCD97" w14:textId="618A1206" w:rsidR="00FA46DA" w:rsidRPr="006A6E61" w:rsidRDefault="00B36095" w:rsidP="003373FF">
          <w:pPr>
            <w:spacing w:after="120" w:line="240" w:lineRule="auto"/>
            <w:jc w:val="both"/>
            <w:rPr>
              <w:rFonts w:ascii="Nunito Sans" w:hAnsi="Nunito Sans"/>
              <w:sz w:val="24"/>
              <w:szCs w:val="24"/>
            </w:rPr>
          </w:pPr>
          <w:r w:rsidRPr="006A6E61">
            <w:rPr>
              <w:rFonts w:ascii="Nunito Sans" w:hAnsi="Nunito Sans"/>
              <w:b/>
              <w:bCs/>
              <w:sz w:val="24"/>
              <w:szCs w:val="24"/>
            </w:rPr>
            <w:fldChar w:fldCharType="end"/>
          </w:r>
        </w:p>
      </w:sdtContent>
    </w:sdt>
    <w:p w14:paraId="19A80694" w14:textId="77777777" w:rsidR="00FA46DA" w:rsidRPr="006A6E61" w:rsidRDefault="00FA46DA" w:rsidP="003373FF">
      <w:pPr>
        <w:spacing w:after="120" w:line="240" w:lineRule="auto"/>
        <w:jc w:val="both"/>
        <w:rPr>
          <w:rFonts w:ascii="Nunito Sans" w:hAnsi="Nunito Sans"/>
          <w:sz w:val="24"/>
          <w:szCs w:val="24"/>
        </w:rPr>
      </w:pPr>
    </w:p>
    <w:p w14:paraId="5E1124BF" w14:textId="77777777" w:rsidR="00FA46DA" w:rsidRPr="006A6E61" w:rsidRDefault="00FA46DA" w:rsidP="003373FF">
      <w:pPr>
        <w:spacing w:after="120" w:line="240" w:lineRule="auto"/>
        <w:jc w:val="both"/>
        <w:rPr>
          <w:rFonts w:ascii="Nunito Sans" w:hAnsi="Nunito Sans"/>
          <w:sz w:val="24"/>
          <w:szCs w:val="24"/>
        </w:rPr>
      </w:pPr>
      <w:r w:rsidRPr="006A6E61">
        <w:rPr>
          <w:rFonts w:ascii="Nunito Sans" w:hAnsi="Nunito Sans"/>
          <w:sz w:val="24"/>
          <w:szCs w:val="24"/>
        </w:rPr>
        <w:br w:type="page"/>
      </w:r>
    </w:p>
    <w:p w14:paraId="52BB8A14" w14:textId="77777777" w:rsidR="002262F5" w:rsidRPr="006A6E61" w:rsidRDefault="008C1C02" w:rsidP="003373FF">
      <w:pPr>
        <w:pStyle w:val="Nagwek1"/>
        <w:spacing w:before="0" w:after="120" w:line="240" w:lineRule="auto"/>
        <w:jc w:val="both"/>
        <w:rPr>
          <w:rFonts w:ascii="Nunito Sans" w:hAnsi="Nunito Sans"/>
          <w:smallCaps/>
          <w:sz w:val="24"/>
          <w:szCs w:val="24"/>
        </w:rPr>
      </w:pPr>
      <w:bookmarkStart w:id="2" w:name="_Toc151451236"/>
      <w:r w:rsidRPr="006A6E61">
        <w:rPr>
          <w:rFonts w:ascii="Nunito Sans" w:hAnsi="Nunito Sans"/>
          <w:smallCaps/>
          <w:sz w:val="24"/>
          <w:szCs w:val="24"/>
        </w:rPr>
        <w:lastRenderedPageBreak/>
        <w:t>Warunki wstępne</w:t>
      </w:r>
      <w:bookmarkEnd w:id="2"/>
    </w:p>
    <w:p w14:paraId="0C27C074" w14:textId="77777777" w:rsidR="00B91CCE" w:rsidRPr="006A6E61" w:rsidRDefault="00B91CCE" w:rsidP="003373FF">
      <w:pPr>
        <w:pStyle w:val="Nagwek2"/>
        <w:spacing w:before="0" w:after="120" w:line="240" w:lineRule="auto"/>
        <w:jc w:val="both"/>
        <w:rPr>
          <w:rFonts w:ascii="Nunito Sans" w:hAnsi="Nunito Sans"/>
          <w:sz w:val="24"/>
          <w:szCs w:val="24"/>
        </w:rPr>
      </w:pPr>
      <w:bookmarkStart w:id="3" w:name="_Toc151451237"/>
      <w:r w:rsidRPr="006A6E61">
        <w:rPr>
          <w:rFonts w:ascii="Nunito Sans" w:hAnsi="Nunito Sans"/>
          <w:sz w:val="24"/>
          <w:szCs w:val="24"/>
        </w:rPr>
        <w:t>Przedmiot projektów oraz koszty kwalifikowalne</w:t>
      </w:r>
      <w:bookmarkEnd w:id="3"/>
    </w:p>
    <w:p w14:paraId="6C0EE772" w14:textId="742D1572" w:rsidR="00B91CCE" w:rsidRPr="006A6E61" w:rsidRDefault="00B91CCE" w:rsidP="00455DB4">
      <w:pPr>
        <w:spacing w:after="120" w:line="240" w:lineRule="auto"/>
        <w:jc w:val="both"/>
        <w:rPr>
          <w:rFonts w:ascii="Nunito Sans" w:hAnsi="Nunito Sans" w:cstheme="minorHAnsi"/>
          <w:sz w:val="24"/>
          <w:szCs w:val="24"/>
          <w:u w:val="single"/>
        </w:rPr>
      </w:pPr>
      <w:r w:rsidRPr="006A6E61">
        <w:rPr>
          <w:rFonts w:ascii="Nunito Sans" w:hAnsi="Nunito Sans" w:cstheme="minorHAnsi"/>
          <w:sz w:val="24"/>
          <w:szCs w:val="24"/>
          <w:u w:val="single"/>
        </w:rPr>
        <w:t xml:space="preserve">Przedmiotem projektów objętych </w:t>
      </w:r>
      <w:r w:rsidR="00E633F1" w:rsidRPr="006A6E61">
        <w:rPr>
          <w:rFonts w:ascii="Nunito Sans" w:hAnsi="Nunito Sans" w:cstheme="minorHAnsi"/>
          <w:sz w:val="24"/>
          <w:szCs w:val="24"/>
          <w:u w:val="single"/>
        </w:rPr>
        <w:t>postępowaniem</w:t>
      </w:r>
      <w:r w:rsidRPr="006A6E61">
        <w:rPr>
          <w:rFonts w:ascii="Nunito Sans" w:hAnsi="Nunito Sans" w:cstheme="minorHAnsi"/>
          <w:sz w:val="24"/>
          <w:szCs w:val="24"/>
          <w:u w:val="single"/>
        </w:rPr>
        <w:t xml:space="preserve"> są inwestycje w infrastrukturę portu lotniczego związane z:</w:t>
      </w:r>
    </w:p>
    <w:p w14:paraId="12D2014B" w14:textId="77777777" w:rsidR="00B91CCE" w:rsidRPr="006A6E61" w:rsidRDefault="00B91CCE" w:rsidP="003373FF">
      <w:pPr>
        <w:pStyle w:val="Akapitzlist"/>
        <w:numPr>
          <w:ilvl w:val="0"/>
          <w:numId w:val="9"/>
        </w:numPr>
        <w:spacing w:after="120" w:line="240" w:lineRule="auto"/>
        <w:jc w:val="both"/>
        <w:rPr>
          <w:rFonts w:ascii="Nunito Sans" w:hAnsi="Nunito Sans" w:cstheme="minorHAnsi"/>
          <w:sz w:val="24"/>
          <w:szCs w:val="24"/>
        </w:rPr>
      </w:pPr>
      <w:r w:rsidRPr="006A6E61">
        <w:rPr>
          <w:rFonts w:ascii="Nunito Sans" w:hAnsi="Nunito Sans" w:cstheme="minorHAnsi"/>
          <w:sz w:val="24"/>
          <w:szCs w:val="24"/>
        </w:rPr>
        <w:t>zakupem urządzeń i systemów do kontroli, osób, bagażu, ładunków i poczty;</w:t>
      </w:r>
    </w:p>
    <w:p w14:paraId="1D885DE9" w14:textId="009CB6EC" w:rsidR="00B91CCE" w:rsidRPr="006A6E61" w:rsidRDefault="00B91CCE" w:rsidP="003373FF">
      <w:pPr>
        <w:numPr>
          <w:ilvl w:val="0"/>
          <w:numId w:val="9"/>
        </w:numPr>
        <w:spacing w:after="120" w:line="240" w:lineRule="auto"/>
        <w:jc w:val="both"/>
        <w:rPr>
          <w:rFonts w:ascii="Nunito Sans" w:hAnsi="Nunito Sans" w:cstheme="minorHAnsi"/>
          <w:sz w:val="24"/>
          <w:szCs w:val="24"/>
        </w:rPr>
      </w:pPr>
      <w:r w:rsidRPr="006A6E61">
        <w:rPr>
          <w:rFonts w:ascii="Nunito Sans" w:hAnsi="Nunito Sans" w:cstheme="minorHAnsi"/>
          <w:sz w:val="24"/>
          <w:szCs w:val="24"/>
        </w:rPr>
        <w:t>budową obiektów oraz zakup</w:t>
      </w:r>
      <w:r w:rsidR="00CB7FD6" w:rsidRPr="006A6E61">
        <w:rPr>
          <w:rFonts w:ascii="Nunito Sans" w:hAnsi="Nunito Sans" w:cstheme="minorHAnsi"/>
          <w:sz w:val="24"/>
          <w:szCs w:val="24"/>
        </w:rPr>
        <w:t>em</w:t>
      </w:r>
      <w:r w:rsidRPr="006A6E61">
        <w:rPr>
          <w:rFonts w:ascii="Nunito Sans" w:hAnsi="Nunito Sans" w:cstheme="minorHAnsi"/>
          <w:sz w:val="24"/>
          <w:szCs w:val="24"/>
        </w:rPr>
        <w:t xml:space="preserve"> sprzętu bezpośrednio służących do poprawy bezpieczeństwa wykonywania operacji lotniczych w strefie operacyjnej lotniska;</w:t>
      </w:r>
    </w:p>
    <w:p w14:paraId="138767F3" w14:textId="17221CA1" w:rsidR="00B91CCE" w:rsidRPr="006A6E61" w:rsidRDefault="00B91CCE" w:rsidP="003373FF">
      <w:pPr>
        <w:numPr>
          <w:ilvl w:val="0"/>
          <w:numId w:val="9"/>
        </w:numPr>
        <w:spacing w:after="120" w:line="240" w:lineRule="auto"/>
        <w:jc w:val="both"/>
        <w:rPr>
          <w:rFonts w:ascii="Nunito Sans" w:hAnsi="Nunito Sans" w:cstheme="minorHAnsi"/>
          <w:sz w:val="24"/>
          <w:szCs w:val="24"/>
        </w:rPr>
      </w:pPr>
      <w:r w:rsidRPr="006A6E61">
        <w:rPr>
          <w:rFonts w:ascii="Nunito Sans" w:hAnsi="Nunito Sans" w:cstheme="minorHAnsi"/>
          <w:sz w:val="24"/>
          <w:szCs w:val="24"/>
        </w:rPr>
        <w:t>dostosowaniem i modernizacją infrastruktury oraz zakup</w:t>
      </w:r>
      <w:r w:rsidR="00CB7FD6" w:rsidRPr="006A6E61">
        <w:rPr>
          <w:rFonts w:ascii="Nunito Sans" w:hAnsi="Nunito Sans" w:cstheme="minorHAnsi"/>
          <w:sz w:val="24"/>
          <w:szCs w:val="24"/>
        </w:rPr>
        <w:t>em</w:t>
      </w:r>
      <w:r w:rsidRPr="006A6E61">
        <w:rPr>
          <w:rFonts w:ascii="Nunito Sans" w:hAnsi="Nunito Sans" w:cstheme="minorHAnsi"/>
          <w:sz w:val="24"/>
          <w:szCs w:val="24"/>
        </w:rPr>
        <w:t xml:space="preserve"> sprzętu dla zapewnienia ochrony w obszarze obsługi ruchu pasażerskiego i towarowego;</w:t>
      </w:r>
    </w:p>
    <w:p w14:paraId="4CAB8083" w14:textId="77777777" w:rsidR="00B91CCE" w:rsidRPr="006A6E61" w:rsidRDefault="00B91CCE" w:rsidP="003373FF">
      <w:pPr>
        <w:numPr>
          <w:ilvl w:val="0"/>
          <w:numId w:val="9"/>
        </w:numPr>
        <w:spacing w:after="120" w:line="240" w:lineRule="auto"/>
        <w:jc w:val="both"/>
        <w:rPr>
          <w:rFonts w:ascii="Nunito Sans" w:hAnsi="Nunito Sans" w:cstheme="minorHAnsi"/>
          <w:sz w:val="24"/>
          <w:szCs w:val="24"/>
        </w:rPr>
      </w:pPr>
      <w:r w:rsidRPr="006A6E61">
        <w:rPr>
          <w:rFonts w:ascii="Nunito Sans" w:hAnsi="Nunito Sans" w:cstheme="minorHAnsi"/>
          <w:sz w:val="24"/>
          <w:szCs w:val="24"/>
        </w:rPr>
        <w:t>rozbudową i modernizacją systemów służących zapewnieniu bezpieczeństwa pożarowego;</w:t>
      </w:r>
    </w:p>
    <w:p w14:paraId="6A6DF402" w14:textId="77777777" w:rsidR="00B91CCE" w:rsidRPr="006A6E61" w:rsidRDefault="00B91CCE" w:rsidP="003373FF">
      <w:pPr>
        <w:numPr>
          <w:ilvl w:val="0"/>
          <w:numId w:val="9"/>
        </w:numPr>
        <w:spacing w:after="120" w:line="240" w:lineRule="auto"/>
        <w:jc w:val="both"/>
        <w:rPr>
          <w:rFonts w:ascii="Nunito Sans" w:hAnsi="Nunito Sans" w:cstheme="minorHAnsi"/>
          <w:sz w:val="24"/>
          <w:szCs w:val="24"/>
        </w:rPr>
      </w:pPr>
      <w:r w:rsidRPr="006A6E61">
        <w:rPr>
          <w:rFonts w:ascii="Nunito Sans" w:hAnsi="Nunito Sans" w:cstheme="minorHAnsi"/>
          <w:sz w:val="24"/>
          <w:szCs w:val="24"/>
        </w:rPr>
        <w:t>ochroną środowiska lub ograniczeniem negatywnego oddziaływania portów lotniczych na środowisko naturalne;</w:t>
      </w:r>
    </w:p>
    <w:p w14:paraId="1736E970" w14:textId="77777777" w:rsidR="00B91CCE" w:rsidRPr="006A6E61" w:rsidRDefault="00B91CCE" w:rsidP="003373FF">
      <w:pPr>
        <w:numPr>
          <w:ilvl w:val="0"/>
          <w:numId w:val="9"/>
        </w:numPr>
        <w:spacing w:after="120" w:line="240" w:lineRule="auto"/>
        <w:jc w:val="both"/>
        <w:rPr>
          <w:rFonts w:ascii="Nunito Sans" w:hAnsi="Nunito Sans" w:cstheme="minorHAnsi"/>
          <w:sz w:val="24"/>
          <w:szCs w:val="24"/>
        </w:rPr>
      </w:pPr>
      <w:r w:rsidRPr="006A6E61">
        <w:rPr>
          <w:rFonts w:ascii="Nunito Sans" w:hAnsi="Nunito Sans" w:cstheme="minorHAnsi"/>
          <w:sz w:val="24"/>
          <w:szCs w:val="24"/>
        </w:rPr>
        <w:t>budową obiektów infrastruktury komunikacji, nawigacji i dozorowania, rozbudową i modernizacją systemów zarządzania ruchem lotniczym (wynikających z SESAR).</w:t>
      </w:r>
    </w:p>
    <w:p w14:paraId="30A63911" w14:textId="612ABF68" w:rsidR="00B91CCE" w:rsidRPr="006A6E61" w:rsidRDefault="00B91CCE" w:rsidP="00455DB4">
      <w:pPr>
        <w:spacing w:after="120" w:line="240" w:lineRule="auto"/>
        <w:jc w:val="both"/>
        <w:rPr>
          <w:rFonts w:ascii="Nunito Sans" w:hAnsi="Nunito Sans" w:cstheme="minorHAnsi"/>
          <w:bCs/>
          <w:sz w:val="24"/>
          <w:szCs w:val="24"/>
        </w:rPr>
      </w:pPr>
      <w:r w:rsidRPr="006A6E61">
        <w:rPr>
          <w:rFonts w:ascii="Nunito Sans" w:hAnsi="Nunito Sans" w:cstheme="minorHAnsi"/>
          <w:sz w:val="24"/>
          <w:szCs w:val="24"/>
        </w:rPr>
        <w:t>Kosztami kwalifikowalnymi projektów są koszty związane z inwestycjami w infrastrukturę portu lotniczego, w rozumieniu art. 2 pkt 144 rozporządzenia nr 651/2014</w:t>
      </w:r>
      <w:r w:rsidR="004911FB" w:rsidRPr="006A6E61">
        <w:rPr>
          <w:rFonts w:ascii="Nunito Sans" w:hAnsi="Nunito Sans" w:cstheme="minorHAnsi"/>
          <w:sz w:val="24"/>
          <w:szCs w:val="24"/>
        </w:rPr>
        <w:t xml:space="preserve"> o których mowa powyżej</w:t>
      </w:r>
      <w:r w:rsidRPr="006A6E61">
        <w:rPr>
          <w:rFonts w:ascii="Nunito Sans" w:hAnsi="Nunito Sans" w:cstheme="minorHAnsi"/>
          <w:sz w:val="24"/>
          <w:szCs w:val="24"/>
        </w:rPr>
        <w:t>, w tym koszty planowania.</w:t>
      </w:r>
    </w:p>
    <w:p w14:paraId="1D7A154D" w14:textId="4723863B" w:rsidR="00876F96" w:rsidRPr="006A6E61" w:rsidRDefault="00FB5F6C" w:rsidP="00455DB4">
      <w:pPr>
        <w:spacing w:after="120" w:line="240" w:lineRule="auto"/>
        <w:jc w:val="both"/>
        <w:rPr>
          <w:rFonts w:ascii="Nunito Sans" w:hAnsi="Nunito Sans"/>
          <w:sz w:val="24"/>
          <w:szCs w:val="24"/>
          <w:u w:val="single"/>
        </w:rPr>
      </w:pPr>
      <w:r w:rsidRPr="006A6E61">
        <w:rPr>
          <w:rFonts w:ascii="Nunito Sans" w:hAnsi="Nunito Sans"/>
          <w:sz w:val="24"/>
          <w:szCs w:val="24"/>
          <w:u w:val="single"/>
        </w:rPr>
        <w:t>Kosztem niekwalifikowalnym w projektach są:</w:t>
      </w:r>
    </w:p>
    <w:p w14:paraId="6F8FEE2E" w14:textId="6DA81B07" w:rsidR="00FB5F6C" w:rsidRPr="006A6E61" w:rsidRDefault="00F91377" w:rsidP="003373FF">
      <w:pPr>
        <w:pStyle w:val="Akapitzlist"/>
        <w:numPr>
          <w:ilvl w:val="0"/>
          <w:numId w:val="2"/>
        </w:numPr>
        <w:spacing w:after="120" w:line="240" w:lineRule="auto"/>
        <w:jc w:val="both"/>
        <w:rPr>
          <w:rFonts w:ascii="Nunito Sans" w:hAnsi="Nunito Sans"/>
          <w:sz w:val="24"/>
          <w:szCs w:val="24"/>
        </w:rPr>
      </w:pPr>
      <w:r w:rsidRPr="006A6E61">
        <w:rPr>
          <w:rFonts w:ascii="Nunito Sans" w:hAnsi="Nunito Sans"/>
          <w:sz w:val="24"/>
          <w:szCs w:val="24"/>
        </w:rPr>
        <w:t>koszty pośrednie</w:t>
      </w:r>
    </w:p>
    <w:p w14:paraId="09FC4590" w14:textId="7784A9C8" w:rsidR="00A959FD" w:rsidRPr="006A6E61" w:rsidRDefault="00F91377" w:rsidP="00B73675">
      <w:pPr>
        <w:pStyle w:val="Akapitzlist"/>
        <w:numPr>
          <w:ilvl w:val="0"/>
          <w:numId w:val="2"/>
        </w:numPr>
        <w:jc w:val="both"/>
        <w:rPr>
          <w:rFonts w:ascii="Nunito Sans" w:hAnsi="Nunito Sans"/>
          <w:sz w:val="24"/>
          <w:szCs w:val="24"/>
        </w:rPr>
      </w:pPr>
      <w:r w:rsidRPr="006A6E61">
        <w:rPr>
          <w:rFonts w:ascii="Nunito Sans" w:hAnsi="Nunito Sans"/>
          <w:sz w:val="24"/>
          <w:szCs w:val="24"/>
        </w:rPr>
        <w:t>koszty działań informacyjno-promocyjnych</w:t>
      </w:r>
      <w:bookmarkEnd w:id="0"/>
    </w:p>
    <w:p w14:paraId="5B293680" w14:textId="479DC0DA" w:rsidR="00B35FC1" w:rsidRPr="006A6E61" w:rsidRDefault="00B35FC1" w:rsidP="003373FF">
      <w:pPr>
        <w:spacing w:after="120" w:line="240" w:lineRule="auto"/>
        <w:jc w:val="both"/>
        <w:rPr>
          <w:rFonts w:ascii="Nunito Sans" w:hAnsi="Nunito Sans"/>
          <w:sz w:val="24"/>
          <w:szCs w:val="24"/>
          <w:highlight w:val="yellow"/>
        </w:rPr>
      </w:pPr>
      <w:r w:rsidRPr="006A6E61">
        <w:rPr>
          <w:rFonts w:ascii="Nunito Sans" w:hAnsi="Nunito Sans"/>
          <w:sz w:val="24"/>
          <w:szCs w:val="24"/>
        </w:rPr>
        <w:t>Projekty złożone do dofinansowania muszą spełnić kryterium horyzontalne „Poprawność analizy finansowej i ekonomicznej” (kryterium zerojedynkowe). Analiza finansowa powinna być przeprowadzona zgodnie z „Wytycznymi w zakresie zagadnień związanych z przygotowaniem projektów inwestycyjnych na lata 2021-2027”. Ze względu na typy projektów dotyczące głównie poprawy bezpieczeństwa pasażerów i operacji w ruchu lotniczym oraz ochrony środowiska, analiza ekonomiczna powinna być wykonana wyłącznie w ujęciu jakościowym, tzn. opisowym. Informacje dotyczące AKK powinny być ograniczone do minimum niezbędnego do rzetelnej oceny, że dany projekt rzeczywiście jest wykonalny a jego realizacja stanowi zasadny sposób wykorzystania funduszy publicznych, w tym dofinansowania unijnego.</w:t>
      </w:r>
    </w:p>
    <w:p w14:paraId="571CBAF1" w14:textId="77777777" w:rsidR="00B35FC1" w:rsidRPr="006A6E61" w:rsidRDefault="00B35FC1" w:rsidP="003373FF">
      <w:pPr>
        <w:spacing w:after="120" w:line="240" w:lineRule="auto"/>
        <w:jc w:val="both"/>
        <w:rPr>
          <w:rFonts w:ascii="Nunito Sans" w:hAnsi="Nunito Sans"/>
          <w:sz w:val="24"/>
          <w:szCs w:val="24"/>
        </w:rPr>
      </w:pPr>
      <w:r w:rsidRPr="006A6E61">
        <w:rPr>
          <w:rFonts w:ascii="Nunito Sans" w:hAnsi="Nunito Sans"/>
          <w:sz w:val="24"/>
          <w:szCs w:val="24"/>
        </w:rPr>
        <w:t xml:space="preserve">W ramach dokumentacji aplikacyjnej wymagane jest załączenie dokumentu pt. „Uproszczone studium wykonalności dla projektu X” (dalej: USW), wraz z </w:t>
      </w:r>
      <w:r w:rsidRPr="006A6E61">
        <w:rPr>
          <w:rFonts w:ascii="Nunito Sans" w:hAnsi="Nunito Sans"/>
          <w:sz w:val="24"/>
          <w:szCs w:val="24"/>
        </w:rPr>
        <w:lastRenderedPageBreak/>
        <w:t>załącznikiem obliczeniowym – arkusz kalkulacyjny z aktywnymi formułami. W niniejszym dokumencie opisano proponowany spis treści takiego uproszczonego studium wykonalności oraz niezbędną zawartość każdego z rozdziałów, a także informacje jakie informacje powinny się znaleźć w załączniku obliczeniowym.</w:t>
      </w:r>
    </w:p>
    <w:p w14:paraId="043CA5B7" w14:textId="635F67D9" w:rsidR="00B35FC1" w:rsidRPr="006A6E61" w:rsidRDefault="00B35FC1" w:rsidP="003373FF">
      <w:pPr>
        <w:spacing w:after="120" w:line="240" w:lineRule="auto"/>
        <w:jc w:val="both"/>
        <w:rPr>
          <w:rFonts w:ascii="Nunito Sans" w:hAnsi="Nunito Sans"/>
          <w:sz w:val="24"/>
          <w:szCs w:val="24"/>
        </w:rPr>
      </w:pPr>
      <w:r w:rsidRPr="006A6E61">
        <w:rPr>
          <w:rFonts w:ascii="Nunito Sans" w:hAnsi="Nunito Sans"/>
          <w:sz w:val="24"/>
          <w:szCs w:val="24"/>
        </w:rPr>
        <w:t>Wszystkie informacje w USW należy prezentować w sposób zrozumiały dla osób nieznających specyfiki projektu, np. szczegóły techniczne i/lub operacyjne związane z funkcjonowaniem infrastruktury lotniskowej, przy czym należy zadbać o syntetyczny charakter tych informacji. Należy także unikać przedstawiania dużej ilości szczegółów i tabel. W dokumentach aplikacyjnych powinny być umieszczone tylko informacje niezbędne do oceny zasadności i wykonalności projektu. Nie zalecamy w szczególności dublowania informacji pomiędzy załącznikiem kalkulacyjnym (wyliczenia liczbowe) i USW – w USW powinny być przedstawione tylko najważniejsze wyniki analiz, a założenia opisane ogólnie.</w:t>
      </w:r>
    </w:p>
    <w:p w14:paraId="5E1FE83E" w14:textId="34DA753F" w:rsidR="00BC1081" w:rsidRPr="006A6E61" w:rsidRDefault="00BC1081" w:rsidP="003373FF">
      <w:pPr>
        <w:pStyle w:val="Default"/>
        <w:spacing w:after="120"/>
        <w:jc w:val="both"/>
        <w:rPr>
          <w:rFonts w:ascii="Nunito Sans" w:hAnsi="Nunito Sans" w:cstheme="minorHAnsi"/>
        </w:rPr>
      </w:pPr>
      <w:r w:rsidRPr="006A6E61">
        <w:rPr>
          <w:rFonts w:ascii="Nunito Sans" w:hAnsi="Nunito Sans" w:cstheme="minorHAnsi"/>
        </w:rPr>
        <w:t>Projekty złożone do dofinansowania muszą spełnić również kryterium horyzontalne „Zgodność projektu z przepisami o pomocy publicznej” oraz kryterium obligatoryjne „</w:t>
      </w:r>
      <w:r w:rsidRPr="006A6E61">
        <w:rPr>
          <w:rFonts w:ascii="Nunito Sans" w:hAnsi="Nunito Sans" w:cstheme="minorHAnsi"/>
          <w:lang w:eastAsia="ja-JP"/>
        </w:rPr>
        <w:t xml:space="preserve">Zgodność z programem pomocowym”. USW oraz arkusz kalkulacyjny </w:t>
      </w:r>
      <w:r w:rsidR="00C9263C" w:rsidRPr="006A6E61">
        <w:rPr>
          <w:rFonts w:ascii="Nunito Sans" w:hAnsi="Nunito Sans" w:cstheme="minorHAnsi"/>
          <w:lang w:eastAsia="ja-JP"/>
        </w:rPr>
        <w:t xml:space="preserve">powinny </w:t>
      </w:r>
      <w:r w:rsidR="00660F86" w:rsidRPr="006A6E61">
        <w:rPr>
          <w:rFonts w:ascii="Nunito Sans" w:hAnsi="Nunito Sans" w:cstheme="minorHAnsi"/>
          <w:lang w:eastAsia="ja-JP"/>
        </w:rPr>
        <w:t xml:space="preserve">w związku z tym </w:t>
      </w:r>
      <w:r w:rsidR="00C9263C" w:rsidRPr="006A6E61">
        <w:rPr>
          <w:rFonts w:ascii="Nunito Sans" w:hAnsi="Nunito Sans" w:cstheme="minorHAnsi"/>
          <w:lang w:eastAsia="ja-JP"/>
        </w:rPr>
        <w:t xml:space="preserve">uwzględniać wszystkie wymogi i warunki wynikające z </w:t>
      </w:r>
      <w:r w:rsidR="00C9263C" w:rsidRPr="006A6E61">
        <w:rPr>
          <w:rFonts w:ascii="Nunito Sans" w:hAnsi="Nunito Sans" w:cstheme="minorHAnsi"/>
        </w:rPr>
        <w:t xml:space="preserve">Rozporządzenia Ministra Funduszy i Polityki Regionalnej z dnia </w:t>
      </w:r>
      <w:r w:rsidR="00A42C02" w:rsidRPr="006A6E61">
        <w:rPr>
          <w:rFonts w:ascii="Nunito Sans" w:hAnsi="Nunito Sans" w:cstheme="minorHAnsi"/>
        </w:rPr>
        <w:t>24 sierpnia 2023 r.</w:t>
      </w:r>
      <w:r w:rsidR="00C9263C" w:rsidRPr="006A6E61">
        <w:rPr>
          <w:rFonts w:ascii="Nunito Sans" w:hAnsi="Nunito Sans" w:cstheme="minorHAnsi"/>
        </w:rPr>
        <w:t xml:space="preserve"> w sprawie udzielania pomocy publicznej na realizację projektów w zakresie transportu lotniczego w ramach programu Fundusze Europejskie na Infrastrukturę, Klimat, Środowisko 2021–2027</w:t>
      </w:r>
      <w:r w:rsidR="00894159" w:rsidRPr="006A6E61">
        <w:rPr>
          <w:rFonts w:ascii="Nunito Sans" w:hAnsi="Nunito Sans" w:cstheme="minorHAnsi"/>
        </w:rPr>
        <w:t xml:space="preserve"> (dalej: program pomocowy).</w:t>
      </w:r>
      <w:r w:rsidRPr="006A6E61">
        <w:rPr>
          <w:rFonts w:ascii="Nunito Sans" w:hAnsi="Nunito Sans" w:cstheme="minorHAnsi"/>
          <w:lang w:eastAsia="ja-JP"/>
        </w:rPr>
        <w:t xml:space="preserve"> </w:t>
      </w:r>
    </w:p>
    <w:p w14:paraId="27D3A41F" w14:textId="77777777" w:rsidR="00BC1081" w:rsidRPr="006A6E61" w:rsidRDefault="00BC1081" w:rsidP="003373FF">
      <w:pPr>
        <w:spacing w:after="120" w:line="240" w:lineRule="auto"/>
        <w:jc w:val="both"/>
        <w:rPr>
          <w:rFonts w:ascii="Nunito Sans" w:hAnsi="Nunito Sans"/>
          <w:sz w:val="24"/>
          <w:szCs w:val="24"/>
        </w:rPr>
      </w:pPr>
    </w:p>
    <w:p w14:paraId="25AE221E" w14:textId="77777777" w:rsidR="00B35FC1" w:rsidRPr="006A6E61" w:rsidRDefault="00B35FC1" w:rsidP="003373FF">
      <w:pPr>
        <w:pStyle w:val="Nagwek2"/>
        <w:spacing w:before="0" w:after="120" w:line="240" w:lineRule="auto"/>
        <w:jc w:val="both"/>
        <w:rPr>
          <w:rFonts w:ascii="Nunito Sans" w:hAnsi="Nunito Sans"/>
          <w:sz w:val="24"/>
          <w:szCs w:val="24"/>
        </w:rPr>
      </w:pPr>
      <w:bookmarkStart w:id="4" w:name="_Toc151451238"/>
      <w:r w:rsidRPr="006A6E61">
        <w:rPr>
          <w:rFonts w:ascii="Nunito Sans" w:hAnsi="Nunito Sans"/>
          <w:sz w:val="24"/>
          <w:szCs w:val="24"/>
        </w:rPr>
        <w:t>Uproszczone Studium Wykonalności</w:t>
      </w:r>
      <w:bookmarkEnd w:id="4"/>
    </w:p>
    <w:p w14:paraId="245F9B10" w14:textId="77777777" w:rsidR="00B35FC1" w:rsidRPr="006A6E61" w:rsidRDefault="00B35FC1" w:rsidP="003373FF">
      <w:pPr>
        <w:pStyle w:val="Nagwek2"/>
        <w:numPr>
          <w:ilvl w:val="1"/>
          <w:numId w:val="5"/>
        </w:numPr>
        <w:spacing w:before="0" w:after="120" w:line="240" w:lineRule="auto"/>
        <w:jc w:val="both"/>
        <w:rPr>
          <w:rFonts w:ascii="Nunito Sans" w:hAnsi="Nunito Sans"/>
          <w:sz w:val="24"/>
          <w:szCs w:val="24"/>
        </w:rPr>
      </w:pPr>
      <w:bookmarkStart w:id="5" w:name="_Toc151451239"/>
      <w:r w:rsidRPr="006A6E61">
        <w:rPr>
          <w:rFonts w:ascii="Nunito Sans" w:hAnsi="Nunito Sans"/>
          <w:sz w:val="24"/>
          <w:szCs w:val="24"/>
        </w:rPr>
        <w:t>Podstawowe informacje o projekcie</w:t>
      </w:r>
      <w:bookmarkEnd w:id="5"/>
    </w:p>
    <w:p w14:paraId="02CC7734" w14:textId="77777777" w:rsidR="00B35FC1" w:rsidRPr="006A6E61" w:rsidRDefault="00B35FC1" w:rsidP="003373FF">
      <w:pPr>
        <w:spacing w:after="120" w:line="240" w:lineRule="auto"/>
        <w:jc w:val="both"/>
        <w:rPr>
          <w:rFonts w:ascii="Nunito Sans" w:hAnsi="Nunito Sans"/>
          <w:sz w:val="24"/>
          <w:szCs w:val="24"/>
        </w:rPr>
      </w:pPr>
      <w:r w:rsidRPr="006A6E61">
        <w:rPr>
          <w:rFonts w:ascii="Nunito Sans" w:hAnsi="Nunito Sans"/>
          <w:sz w:val="24"/>
          <w:szCs w:val="24"/>
        </w:rPr>
        <w:t>W tym krótkim rozdziale należy podać nazwę projektu, jego lokalizację i planowany okres realizacji. Niezbędne jest również syntetyczne przedstawienie Wnioskodawcy i zakresu jego działalności.</w:t>
      </w:r>
    </w:p>
    <w:p w14:paraId="7905B6D1" w14:textId="77777777" w:rsidR="00B35FC1" w:rsidRPr="006A6E61" w:rsidRDefault="00B35FC1" w:rsidP="003373FF">
      <w:pPr>
        <w:spacing w:after="120" w:line="240" w:lineRule="auto"/>
        <w:jc w:val="both"/>
        <w:rPr>
          <w:rFonts w:ascii="Nunito Sans" w:hAnsi="Nunito Sans"/>
          <w:sz w:val="24"/>
          <w:szCs w:val="24"/>
        </w:rPr>
      </w:pPr>
      <w:r w:rsidRPr="006A6E61">
        <w:rPr>
          <w:rFonts w:ascii="Nunito Sans" w:hAnsi="Nunito Sans"/>
          <w:sz w:val="24"/>
          <w:szCs w:val="24"/>
        </w:rPr>
        <w:t xml:space="preserve">Należy także umieścić tu mapę kraju i regionu z zaznaczeniem projektu. Na mapie kraju należy zaznaczyć najbliższe miasta wojewódzkie, a na mapie regionu – najbliższe ośrodki istotne dla projektu. </w:t>
      </w:r>
    </w:p>
    <w:p w14:paraId="6B436138" w14:textId="77777777" w:rsidR="00B35FC1" w:rsidRPr="006A6E61" w:rsidRDefault="00B35FC1" w:rsidP="003373FF">
      <w:pPr>
        <w:pStyle w:val="Nagwek2"/>
        <w:numPr>
          <w:ilvl w:val="1"/>
          <w:numId w:val="5"/>
        </w:numPr>
        <w:spacing w:before="0" w:after="120" w:line="240" w:lineRule="auto"/>
        <w:jc w:val="both"/>
        <w:rPr>
          <w:rFonts w:ascii="Nunito Sans" w:hAnsi="Nunito Sans"/>
          <w:sz w:val="24"/>
          <w:szCs w:val="24"/>
        </w:rPr>
      </w:pPr>
      <w:bookmarkStart w:id="6" w:name="_Toc151451240"/>
      <w:r w:rsidRPr="006A6E61">
        <w:rPr>
          <w:rFonts w:ascii="Nunito Sans" w:hAnsi="Nunito Sans"/>
          <w:sz w:val="24"/>
          <w:szCs w:val="24"/>
        </w:rPr>
        <w:t>Stan istniejący</w:t>
      </w:r>
      <w:bookmarkEnd w:id="6"/>
    </w:p>
    <w:p w14:paraId="12F5847A" w14:textId="5C37EAD0" w:rsidR="00B35FC1" w:rsidRPr="006A6E61" w:rsidRDefault="00B6685A" w:rsidP="003373FF">
      <w:pPr>
        <w:spacing w:after="120" w:line="240" w:lineRule="auto"/>
        <w:jc w:val="both"/>
        <w:rPr>
          <w:rFonts w:ascii="Nunito Sans" w:hAnsi="Nunito Sans"/>
          <w:sz w:val="24"/>
          <w:szCs w:val="24"/>
        </w:rPr>
      </w:pPr>
      <w:r w:rsidRPr="006A6E61">
        <w:rPr>
          <w:rFonts w:ascii="Nunito Sans" w:hAnsi="Nunito Sans"/>
          <w:sz w:val="24"/>
          <w:szCs w:val="24"/>
        </w:rPr>
        <w:t>Należy krótko opisać</w:t>
      </w:r>
      <w:r w:rsidR="00B35FC1" w:rsidRPr="006A6E61">
        <w:rPr>
          <w:rFonts w:ascii="Nunito Sans" w:hAnsi="Nunito Sans"/>
          <w:sz w:val="24"/>
          <w:szCs w:val="24"/>
        </w:rPr>
        <w:t xml:space="preserve"> obecnie eksploatowaną infrastrukturę wraz istotnymi dla realizacji obsługi pasażerów/towarów/operacji lotniczych urządzeniami i/lub systemami. Należy dokonać oceny aktualnego stanu technicznego i zaawansowania technologicznego odpowiednio infrastruktury oraz wyposażenia, w tym wskazać kiedy powstała infrastruktura/został zakupiony sprzęt, kiedy dokonano ostatniego remontu/modernizacji/przeglądu/aktualizacji</w:t>
      </w:r>
      <w:r w:rsidR="004E31ED" w:rsidRPr="006A6E61">
        <w:rPr>
          <w:rFonts w:ascii="Nunito Sans" w:hAnsi="Nunito Sans"/>
          <w:sz w:val="24"/>
          <w:szCs w:val="24"/>
        </w:rPr>
        <w:t xml:space="preserve"> </w:t>
      </w:r>
      <w:r w:rsidR="00B35FC1" w:rsidRPr="006A6E61">
        <w:rPr>
          <w:rFonts w:ascii="Nunito Sans" w:hAnsi="Nunito Sans"/>
          <w:sz w:val="24"/>
          <w:szCs w:val="24"/>
        </w:rPr>
        <w:t xml:space="preserve">(jeśli dotyczy) oraz jakie ograniczenia </w:t>
      </w:r>
      <w:r w:rsidR="00B35FC1" w:rsidRPr="006A6E61">
        <w:rPr>
          <w:rFonts w:ascii="Nunito Sans" w:hAnsi="Nunito Sans"/>
          <w:sz w:val="24"/>
          <w:szCs w:val="24"/>
        </w:rPr>
        <w:lastRenderedPageBreak/>
        <w:t>generuje jej/ich obecny stan dla szeroko rozumianego otoczenia. Celem opisu stanu istniejącego jest udokumentowanie potrzeby realizacji projektu. Opis ten powinien być zrozumiały dla osób nieznających specyfiki projek</w:t>
      </w:r>
      <w:r w:rsidRPr="006A6E61">
        <w:rPr>
          <w:rFonts w:ascii="Nunito Sans" w:hAnsi="Nunito Sans"/>
          <w:sz w:val="24"/>
          <w:szCs w:val="24"/>
        </w:rPr>
        <w:t xml:space="preserve">tu, infrastruktury lotniskowej </w:t>
      </w:r>
      <w:r w:rsidR="00B35FC1" w:rsidRPr="006A6E61">
        <w:rPr>
          <w:rFonts w:ascii="Nunito Sans" w:hAnsi="Nunito Sans"/>
          <w:sz w:val="24"/>
          <w:szCs w:val="24"/>
        </w:rPr>
        <w:t xml:space="preserve">oraz wykonywanych operacji lotniskowych po stronie </w:t>
      </w:r>
      <w:proofErr w:type="spellStart"/>
      <w:r w:rsidR="00B35FC1" w:rsidRPr="006A6E61">
        <w:rPr>
          <w:rFonts w:ascii="Nunito Sans" w:hAnsi="Nunito Sans"/>
          <w:sz w:val="24"/>
          <w:szCs w:val="24"/>
        </w:rPr>
        <w:t>airside</w:t>
      </w:r>
      <w:proofErr w:type="spellEnd"/>
      <w:r w:rsidR="00B35FC1" w:rsidRPr="006A6E61">
        <w:rPr>
          <w:rFonts w:ascii="Nunito Sans" w:hAnsi="Nunito Sans"/>
          <w:sz w:val="24"/>
          <w:szCs w:val="24"/>
        </w:rPr>
        <w:t xml:space="preserve"> i </w:t>
      </w:r>
      <w:proofErr w:type="spellStart"/>
      <w:r w:rsidR="00B35FC1" w:rsidRPr="006A6E61">
        <w:rPr>
          <w:rFonts w:ascii="Nunito Sans" w:hAnsi="Nunito Sans"/>
          <w:sz w:val="24"/>
          <w:szCs w:val="24"/>
        </w:rPr>
        <w:t>landside</w:t>
      </w:r>
      <w:proofErr w:type="spellEnd"/>
      <w:r w:rsidR="00B35FC1" w:rsidRPr="006A6E61">
        <w:rPr>
          <w:rFonts w:ascii="Nunito Sans" w:hAnsi="Nunito Sans"/>
          <w:sz w:val="24"/>
          <w:szCs w:val="24"/>
        </w:rPr>
        <w:t>.</w:t>
      </w:r>
    </w:p>
    <w:p w14:paraId="6FE7FBC8" w14:textId="166E1F9B" w:rsidR="00B35FC1" w:rsidRPr="006A6E61" w:rsidRDefault="00B35FC1" w:rsidP="003373FF">
      <w:pPr>
        <w:spacing w:after="120" w:line="240" w:lineRule="auto"/>
        <w:jc w:val="both"/>
        <w:rPr>
          <w:rFonts w:ascii="Nunito Sans" w:hAnsi="Nunito Sans"/>
          <w:sz w:val="24"/>
          <w:szCs w:val="24"/>
        </w:rPr>
      </w:pPr>
      <w:r w:rsidRPr="006A6E61">
        <w:rPr>
          <w:rFonts w:ascii="Nunito Sans" w:hAnsi="Nunito Sans"/>
          <w:sz w:val="24"/>
          <w:szCs w:val="24"/>
        </w:rPr>
        <w:t>Projekty dotyczące digitalizacji i bezpieczeństwa powinny dodatkowo zawierać opis stanu/parametrów aktualnie stosowanych urządzeń/systemów i/lub stosowane procedury, ich wpływ na zakres i poziom obsługi pasażerów,</w:t>
      </w:r>
      <w:r w:rsidR="006A6E61">
        <w:rPr>
          <w:rFonts w:ascii="Nunito Sans" w:hAnsi="Nunito Sans"/>
          <w:sz w:val="24"/>
          <w:szCs w:val="24"/>
        </w:rPr>
        <w:t xml:space="preserve"> ładunków i operacji lotniczych</w:t>
      </w:r>
      <w:r w:rsidRPr="006A6E61">
        <w:rPr>
          <w:rFonts w:ascii="Nunito Sans" w:hAnsi="Nunito Sans"/>
          <w:sz w:val="24"/>
          <w:szCs w:val="24"/>
        </w:rPr>
        <w:t xml:space="preserve">, w tym w szczególności na ich bezpieczeństwo oraz poziom generowanych kosztów operacyjnych. </w:t>
      </w:r>
    </w:p>
    <w:p w14:paraId="0D46EA1F" w14:textId="1C4F6E36" w:rsidR="007F7057" w:rsidRPr="006A6E61" w:rsidRDefault="007F7057" w:rsidP="003373FF">
      <w:pPr>
        <w:spacing w:after="120" w:line="240" w:lineRule="auto"/>
        <w:jc w:val="both"/>
        <w:rPr>
          <w:rFonts w:ascii="Nunito Sans" w:hAnsi="Nunito Sans"/>
          <w:sz w:val="24"/>
          <w:szCs w:val="24"/>
        </w:rPr>
      </w:pPr>
      <w:r w:rsidRPr="006A6E61">
        <w:rPr>
          <w:rFonts w:ascii="Nunito Sans" w:hAnsi="Nunito Sans"/>
          <w:sz w:val="24"/>
          <w:szCs w:val="24"/>
        </w:rPr>
        <w:t>Projekty z zakresu ochrony środowiska powinny zawierać opis obecnych rozwiązań, które mają zostać poddane modyfikacji w ramach realizacji projektu.</w:t>
      </w:r>
    </w:p>
    <w:p w14:paraId="31B32217" w14:textId="77777777" w:rsidR="00B35FC1" w:rsidRPr="006A6E61" w:rsidRDefault="00B35FC1" w:rsidP="003373FF">
      <w:pPr>
        <w:spacing w:after="120" w:line="240" w:lineRule="auto"/>
        <w:jc w:val="both"/>
        <w:rPr>
          <w:rFonts w:ascii="Nunito Sans" w:hAnsi="Nunito Sans"/>
          <w:sz w:val="24"/>
          <w:szCs w:val="24"/>
        </w:rPr>
      </w:pPr>
      <w:r w:rsidRPr="006A6E61">
        <w:rPr>
          <w:rFonts w:ascii="Nunito Sans" w:hAnsi="Nunito Sans"/>
          <w:sz w:val="24"/>
          <w:szCs w:val="24"/>
        </w:rPr>
        <w:t>Dla wzmocnienia dalszego uzasadnienia realizacji projektu, wskazane jest załączenie w treści i opisanie kilku adekwatnych zdjęć prezentujących obecny stan infrastruktury w obrębie planowanej inwestycji.</w:t>
      </w:r>
    </w:p>
    <w:p w14:paraId="402F9EB4" w14:textId="77777777" w:rsidR="00B35FC1" w:rsidRPr="006A6E61" w:rsidRDefault="00B35FC1" w:rsidP="003373FF">
      <w:pPr>
        <w:pStyle w:val="Nagwek2"/>
        <w:numPr>
          <w:ilvl w:val="1"/>
          <w:numId w:val="5"/>
        </w:numPr>
        <w:spacing w:before="0" w:after="120" w:line="240" w:lineRule="auto"/>
        <w:jc w:val="both"/>
        <w:rPr>
          <w:rFonts w:ascii="Nunito Sans" w:hAnsi="Nunito Sans"/>
          <w:sz w:val="24"/>
          <w:szCs w:val="24"/>
        </w:rPr>
      </w:pPr>
      <w:bookmarkStart w:id="7" w:name="_Toc151451241"/>
      <w:r w:rsidRPr="006A6E61">
        <w:rPr>
          <w:rFonts w:ascii="Nunito Sans" w:hAnsi="Nunito Sans"/>
          <w:sz w:val="24"/>
          <w:szCs w:val="24"/>
        </w:rPr>
        <w:t>Cel projektu i uzasadnienie interwencji</w:t>
      </w:r>
      <w:bookmarkEnd w:id="7"/>
    </w:p>
    <w:p w14:paraId="7DE82AC4" w14:textId="0B93799B" w:rsidR="00B35FC1" w:rsidRPr="006A6E61" w:rsidRDefault="00B35FC1" w:rsidP="003373FF">
      <w:pPr>
        <w:spacing w:after="120" w:line="240" w:lineRule="auto"/>
        <w:jc w:val="both"/>
        <w:rPr>
          <w:rFonts w:ascii="Nunito Sans" w:hAnsi="Nunito Sans"/>
          <w:sz w:val="24"/>
          <w:szCs w:val="24"/>
        </w:rPr>
      </w:pPr>
      <w:r w:rsidRPr="006A6E61">
        <w:rPr>
          <w:rFonts w:ascii="Nunito Sans" w:hAnsi="Nunito Sans"/>
          <w:sz w:val="24"/>
          <w:szCs w:val="24"/>
        </w:rPr>
        <w:t xml:space="preserve">Cel projektu powinien jasno prezentować logikę podjęcia decyzji o interwencji i opierać się na potrzebie rozwiązania konkretnego problemu transportowego </w:t>
      </w:r>
      <w:r w:rsidR="00AD48AD" w:rsidRPr="006A6E61">
        <w:rPr>
          <w:rFonts w:ascii="Nunito Sans" w:hAnsi="Nunito Sans"/>
          <w:sz w:val="24"/>
          <w:szCs w:val="24"/>
        </w:rPr>
        <w:t xml:space="preserve">lub </w:t>
      </w:r>
      <w:r w:rsidR="00AD48AD" w:rsidRPr="006A6E61">
        <w:rPr>
          <w:rFonts w:ascii="Nunito Sans" w:hAnsi="Nunito Sans"/>
          <w:bCs/>
          <w:sz w:val="24"/>
          <w:szCs w:val="24"/>
        </w:rPr>
        <w:t>związanego z ochroną środowiska lub łagodzeniem/ograniczeniem negatywnego oddziaływania portów lotniczych na środowisko naturalne</w:t>
      </w:r>
      <w:r w:rsidRPr="006A6E61">
        <w:rPr>
          <w:rFonts w:ascii="Nunito Sans" w:hAnsi="Nunito Sans"/>
          <w:sz w:val="24"/>
          <w:szCs w:val="24"/>
        </w:rPr>
        <w:t>. Należy go opisać językiem nietechnicznym tak aby był zrozumiały dla osób nie znających specjalistycznej terminologii z zakresu infrastruktury lotniskowej oraz operacji lotniczych.</w:t>
      </w:r>
    </w:p>
    <w:p w14:paraId="4EBD9711" w14:textId="77777777" w:rsidR="00B35FC1" w:rsidRPr="006A6E61" w:rsidRDefault="00B35FC1" w:rsidP="003373FF">
      <w:pPr>
        <w:spacing w:after="120" w:line="240" w:lineRule="auto"/>
        <w:jc w:val="both"/>
        <w:rPr>
          <w:rFonts w:ascii="Nunito Sans" w:hAnsi="Nunito Sans"/>
          <w:sz w:val="24"/>
          <w:szCs w:val="24"/>
        </w:rPr>
      </w:pPr>
      <w:r w:rsidRPr="006A6E61">
        <w:rPr>
          <w:rFonts w:ascii="Nunito Sans" w:hAnsi="Nunito Sans"/>
          <w:sz w:val="24"/>
          <w:szCs w:val="24"/>
        </w:rPr>
        <w:t xml:space="preserve">W tym rozdziale należy także podkreślić zgodność projektu z celami </w:t>
      </w:r>
      <w:proofErr w:type="spellStart"/>
      <w:r w:rsidRPr="006A6E61">
        <w:rPr>
          <w:rFonts w:ascii="Nunito Sans" w:hAnsi="Nunito Sans"/>
          <w:sz w:val="24"/>
          <w:szCs w:val="24"/>
        </w:rPr>
        <w:t>FEnIKS</w:t>
      </w:r>
      <w:proofErr w:type="spellEnd"/>
      <w:r w:rsidRPr="006A6E61">
        <w:rPr>
          <w:rFonts w:ascii="Nunito Sans" w:hAnsi="Nunito Sans"/>
          <w:sz w:val="24"/>
          <w:szCs w:val="24"/>
        </w:rPr>
        <w:t xml:space="preserve"> i dokładnie wskazać, w które cele i jak się on wpisuje.</w:t>
      </w:r>
    </w:p>
    <w:p w14:paraId="5A593660" w14:textId="77777777" w:rsidR="00B35FC1" w:rsidRPr="006A6E61" w:rsidRDefault="00B35FC1" w:rsidP="003373FF">
      <w:pPr>
        <w:spacing w:after="120" w:line="240" w:lineRule="auto"/>
        <w:jc w:val="both"/>
        <w:rPr>
          <w:rFonts w:ascii="Nunito Sans" w:hAnsi="Nunito Sans"/>
          <w:sz w:val="24"/>
          <w:szCs w:val="24"/>
        </w:rPr>
      </w:pPr>
      <w:r w:rsidRPr="006A6E61">
        <w:rPr>
          <w:rFonts w:ascii="Nunito Sans" w:hAnsi="Nunito Sans"/>
          <w:sz w:val="24"/>
          <w:szCs w:val="24"/>
        </w:rPr>
        <w:t xml:space="preserve">Wreszcie w tym rozdziale należy podać wskaźniki realizacji dla projektu zgodnie z zasadami przewidzianymi dla </w:t>
      </w:r>
      <w:proofErr w:type="spellStart"/>
      <w:r w:rsidRPr="006A6E61">
        <w:rPr>
          <w:rFonts w:ascii="Nunito Sans" w:hAnsi="Nunito Sans"/>
          <w:sz w:val="24"/>
          <w:szCs w:val="24"/>
        </w:rPr>
        <w:t>FEnIKS</w:t>
      </w:r>
      <w:proofErr w:type="spellEnd"/>
      <w:r w:rsidRPr="006A6E61">
        <w:rPr>
          <w:rFonts w:ascii="Nunito Sans" w:hAnsi="Nunito Sans"/>
          <w:sz w:val="24"/>
          <w:szCs w:val="24"/>
        </w:rPr>
        <w:t>.</w:t>
      </w:r>
    </w:p>
    <w:p w14:paraId="2B87DA7E" w14:textId="77777777" w:rsidR="00B35FC1" w:rsidRPr="006A6E61" w:rsidRDefault="00B35FC1" w:rsidP="003373FF">
      <w:pPr>
        <w:pStyle w:val="Nagwek2"/>
        <w:numPr>
          <w:ilvl w:val="1"/>
          <w:numId w:val="5"/>
        </w:numPr>
        <w:spacing w:before="0" w:after="120" w:line="240" w:lineRule="auto"/>
        <w:jc w:val="both"/>
        <w:rPr>
          <w:rFonts w:ascii="Nunito Sans" w:hAnsi="Nunito Sans"/>
          <w:sz w:val="24"/>
          <w:szCs w:val="24"/>
        </w:rPr>
      </w:pPr>
      <w:bookmarkStart w:id="8" w:name="_Toc151451242"/>
      <w:r w:rsidRPr="006A6E61">
        <w:rPr>
          <w:rFonts w:ascii="Nunito Sans" w:hAnsi="Nunito Sans"/>
          <w:sz w:val="24"/>
          <w:szCs w:val="24"/>
        </w:rPr>
        <w:t>Wybór zakresu projektu do realizacji</w:t>
      </w:r>
      <w:bookmarkEnd w:id="8"/>
    </w:p>
    <w:p w14:paraId="15D5D08B" w14:textId="33ACF405" w:rsidR="00B35FC1" w:rsidRPr="006A6E61" w:rsidRDefault="00B35FC1" w:rsidP="003373FF">
      <w:pPr>
        <w:spacing w:after="120" w:line="240" w:lineRule="auto"/>
        <w:jc w:val="both"/>
        <w:rPr>
          <w:rFonts w:ascii="Nunito Sans" w:hAnsi="Nunito Sans"/>
          <w:sz w:val="24"/>
          <w:szCs w:val="24"/>
        </w:rPr>
      </w:pPr>
      <w:r w:rsidRPr="006A6E61">
        <w:rPr>
          <w:rFonts w:ascii="Nunito Sans" w:hAnsi="Nunito Sans"/>
          <w:sz w:val="24"/>
          <w:szCs w:val="24"/>
        </w:rPr>
        <w:t xml:space="preserve">W przypadku każdego typu projektu punktem wyjścia do określenia jego zakresu powinno być zdefiniowanie problemu (np. brak możliwości sprawnego wykonania kontroli bezpieczeństwa w związku z wyczerpaniem się przepustowości strefy kontroli – za mało stanowisk, przestarzałe/awaryjne urządzenia itp.) lub innego adekwatnego dla specyfiki projektu (np. obecnie wykorzystywane systemy zarządzania ruchem lotniczym są niedostosowane do aktualnego poziomu ruchu co powoduje opóźnienia w wykonywaniu operacji startu/lądowania), który poprzez realizację projektu ma zostać rozwiązany. </w:t>
      </w:r>
    </w:p>
    <w:p w14:paraId="46AE23E3" w14:textId="77777777" w:rsidR="00B35FC1" w:rsidRPr="006A6E61" w:rsidRDefault="00B35FC1" w:rsidP="003373FF">
      <w:pPr>
        <w:spacing w:after="120" w:line="240" w:lineRule="auto"/>
        <w:jc w:val="both"/>
        <w:rPr>
          <w:rFonts w:ascii="Nunito Sans" w:hAnsi="Nunito Sans"/>
          <w:sz w:val="24"/>
          <w:szCs w:val="24"/>
        </w:rPr>
      </w:pPr>
      <w:r w:rsidRPr="006A6E61">
        <w:rPr>
          <w:rFonts w:ascii="Nunito Sans" w:hAnsi="Nunito Sans"/>
          <w:sz w:val="24"/>
          <w:szCs w:val="24"/>
        </w:rPr>
        <w:t xml:space="preserve">W przypadku projektów, których realizacja i/lub elementy zakresu wynikają z obowiązujących lub planowanych do wprowadzenia rozwiązań prawnych, w tym miejscu należy je koniecznie przedstawić wraz z wyjaśnieniem zakresu niezbędnego </w:t>
      </w:r>
      <w:r w:rsidRPr="006A6E61">
        <w:rPr>
          <w:rFonts w:ascii="Nunito Sans" w:hAnsi="Nunito Sans"/>
          <w:sz w:val="24"/>
          <w:szCs w:val="24"/>
        </w:rPr>
        <w:lastRenderedPageBreak/>
        <w:t xml:space="preserve">dostosowania, obowiązków nałożonych na Wnioskodawcę, harmonogramu wdrożenia (odgórnie narzucony termin) oraz uzyskanych benefitów dla interesariuszy projektu (np. podwyższenie komfortu obsługi, poprawa bezpieczeństwa).  </w:t>
      </w:r>
    </w:p>
    <w:p w14:paraId="21A38891" w14:textId="77777777" w:rsidR="00B35FC1" w:rsidRPr="006A6E61" w:rsidRDefault="00B35FC1" w:rsidP="003373FF">
      <w:pPr>
        <w:spacing w:after="120" w:line="240" w:lineRule="auto"/>
        <w:jc w:val="both"/>
        <w:rPr>
          <w:rFonts w:ascii="Nunito Sans" w:hAnsi="Nunito Sans"/>
          <w:sz w:val="24"/>
          <w:szCs w:val="24"/>
        </w:rPr>
      </w:pPr>
      <w:r w:rsidRPr="006A6E61">
        <w:rPr>
          <w:rFonts w:ascii="Nunito Sans" w:hAnsi="Nunito Sans"/>
          <w:sz w:val="24"/>
          <w:szCs w:val="24"/>
        </w:rPr>
        <w:t xml:space="preserve">W efekcie na koniec tego etapu powinien zostać zdefiniowany ogólny zakres projektu odpowiadający na wyżej wskazane potrzeby różnych podmiotów i/lub instytucji. </w:t>
      </w:r>
    </w:p>
    <w:p w14:paraId="19BAF8FF" w14:textId="7FF696BD" w:rsidR="00B35FC1" w:rsidRPr="006A6E61" w:rsidRDefault="00B35FC1" w:rsidP="003373FF">
      <w:pPr>
        <w:spacing w:after="120" w:line="240" w:lineRule="auto"/>
        <w:jc w:val="both"/>
        <w:rPr>
          <w:rFonts w:ascii="Nunito Sans" w:hAnsi="Nunito Sans"/>
          <w:sz w:val="24"/>
          <w:szCs w:val="24"/>
        </w:rPr>
      </w:pPr>
      <w:r w:rsidRPr="006A6E61">
        <w:rPr>
          <w:rFonts w:ascii="Nunito Sans" w:hAnsi="Nunito Sans"/>
          <w:sz w:val="24"/>
          <w:szCs w:val="24"/>
        </w:rPr>
        <w:t xml:space="preserve">W etapie drugim należy dokonać doszczegółowienia zakresu projektu poprzez wskazanie kluczowych elementów/parametrów docelowego rozwiązania techniczno-technologicznego. Dla każdego wybranego elementu infrastruktury bądź urządzenia/ systemu należy jasno określić, jakie były rozważane warianty danego elementu bądź urządzenia/systemu i wskazać przesłanki decyzyjne, w oparciu o które dokonano wyboru docelowego rozwiązania. Należy zaprezentować (preferowana forma tabelaryczna) porównanie rozważanych wariantów pod kątem co najmniej takich kryteriów jak nakłady (który wariant jest droższy), koszty utrzymania (jw.) oraz parametry dot. zanieczyszczenia środowiska, a także innych istotnych w opinii Wnioskodawcy kryteriów różnicujących rozważane warianty.  </w:t>
      </w:r>
    </w:p>
    <w:p w14:paraId="34EF0BB4" w14:textId="6148B4F6" w:rsidR="00B35FC1" w:rsidRPr="006A6E61" w:rsidRDefault="00B35FC1" w:rsidP="003373FF">
      <w:pPr>
        <w:spacing w:after="120" w:line="240" w:lineRule="auto"/>
        <w:jc w:val="both"/>
        <w:rPr>
          <w:rFonts w:ascii="Nunito Sans" w:hAnsi="Nunito Sans"/>
          <w:sz w:val="24"/>
          <w:szCs w:val="24"/>
        </w:rPr>
      </w:pPr>
      <w:r w:rsidRPr="006A6E61">
        <w:rPr>
          <w:rFonts w:ascii="Nunito Sans" w:hAnsi="Nunito Sans"/>
          <w:sz w:val="24"/>
          <w:szCs w:val="24"/>
        </w:rPr>
        <w:t xml:space="preserve">Zakres rzeczowy wariantu wybranego do realizacji co do zasady powinien być zgodny z zakresem projektu ujętym w analizie finansowej. Każda rozbieżność powinna być wskazana i odpowiednio uzasadniona.  Jest to szczególnie istotne dla projektów, dla których analiza opcji została wykonana na wcześniejszym etapie przygotowywania projektu. </w:t>
      </w:r>
    </w:p>
    <w:p w14:paraId="3D532B2B" w14:textId="280371B6" w:rsidR="002E7DFC" w:rsidRPr="006A6E61" w:rsidRDefault="002E7DFC" w:rsidP="003373FF">
      <w:pPr>
        <w:spacing w:after="120" w:line="240" w:lineRule="auto"/>
        <w:jc w:val="both"/>
        <w:rPr>
          <w:rFonts w:ascii="Nunito Sans" w:hAnsi="Nunito Sans"/>
          <w:sz w:val="24"/>
          <w:szCs w:val="24"/>
        </w:rPr>
      </w:pPr>
      <w:r w:rsidRPr="006A6E61">
        <w:rPr>
          <w:rFonts w:ascii="Nunito Sans" w:hAnsi="Nunito Sans"/>
          <w:sz w:val="24"/>
          <w:szCs w:val="24"/>
        </w:rPr>
        <w:t>Jednocześnie powinno być wykazane, że wariant inwestycji wybrany do realizacji nie wykracza poza to, co jest niezbędne do obsługi natężenia ruchu przewidywanego w średnim okresie na podstawie rozsądnych prognoz dotyczących ruchu opisanych w rozdziale</w:t>
      </w:r>
      <w:r w:rsidR="00425C63">
        <w:rPr>
          <w:rFonts w:ascii="Nunito Sans" w:hAnsi="Nunito Sans"/>
          <w:sz w:val="24"/>
          <w:szCs w:val="24"/>
        </w:rPr>
        <w:t xml:space="preserve"> </w:t>
      </w:r>
      <w:r w:rsidRPr="006A6E61">
        <w:rPr>
          <w:rFonts w:ascii="Nunito Sans" w:hAnsi="Nunito Sans"/>
          <w:sz w:val="24"/>
          <w:szCs w:val="24"/>
        </w:rPr>
        <w:t>e. Analiza popytu.</w:t>
      </w:r>
    </w:p>
    <w:p w14:paraId="51A0D3A7" w14:textId="77777777" w:rsidR="00B35FC1" w:rsidRPr="006A6E61" w:rsidRDefault="00B35FC1" w:rsidP="003373FF">
      <w:pPr>
        <w:pStyle w:val="Nagwek2"/>
        <w:numPr>
          <w:ilvl w:val="1"/>
          <w:numId w:val="5"/>
        </w:numPr>
        <w:spacing w:before="0" w:after="120" w:line="240" w:lineRule="auto"/>
        <w:jc w:val="both"/>
        <w:rPr>
          <w:rFonts w:ascii="Nunito Sans" w:hAnsi="Nunito Sans"/>
          <w:sz w:val="24"/>
          <w:szCs w:val="24"/>
        </w:rPr>
      </w:pPr>
      <w:bookmarkStart w:id="9" w:name="_Toc151451243"/>
      <w:r w:rsidRPr="006A6E61">
        <w:rPr>
          <w:rFonts w:ascii="Nunito Sans" w:hAnsi="Nunito Sans"/>
          <w:sz w:val="24"/>
          <w:szCs w:val="24"/>
        </w:rPr>
        <w:t>Analiza popytu</w:t>
      </w:r>
      <w:bookmarkEnd w:id="9"/>
    </w:p>
    <w:p w14:paraId="57C2F47D" w14:textId="2ABC7D3D" w:rsidR="00894159" w:rsidRPr="006A6E61" w:rsidRDefault="00894159" w:rsidP="003373FF">
      <w:pPr>
        <w:spacing w:after="120" w:line="240" w:lineRule="auto"/>
        <w:jc w:val="both"/>
        <w:rPr>
          <w:rFonts w:ascii="Nunito Sans" w:hAnsi="Nunito Sans"/>
          <w:sz w:val="24"/>
          <w:szCs w:val="24"/>
        </w:rPr>
      </w:pPr>
      <w:r w:rsidRPr="006A6E61">
        <w:rPr>
          <w:rFonts w:ascii="Nunito Sans" w:hAnsi="Nunito Sans"/>
          <w:sz w:val="24"/>
          <w:szCs w:val="24"/>
        </w:rPr>
        <w:t xml:space="preserve">Z założenia celem inwestycji </w:t>
      </w:r>
      <w:r w:rsidR="00201C9A" w:rsidRPr="006A6E61">
        <w:rPr>
          <w:rFonts w:ascii="Nunito Sans" w:hAnsi="Nunito Sans"/>
          <w:sz w:val="24"/>
          <w:szCs w:val="24"/>
        </w:rPr>
        <w:t xml:space="preserve">w infrastrukturę portów lotniczych w ramach niniejszego </w:t>
      </w:r>
      <w:r w:rsidR="00E633F1" w:rsidRPr="006A6E61">
        <w:rPr>
          <w:rFonts w:ascii="Nunito Sans" w:hAnsi="Nunito Sans"/>
          <w:sz w:val="24"/>
          <w:szCs w:val="24"/>
        </w:rPr>
        <w:t>postępowania</w:t>
      </w:r>
      <w:r w:rsidR="00185F02" w:rsidRPr="006A6E61">
        <w:rPr>
          <w:rFonts w:ascii="Nunito Sans" w:hAnsi="Nunito Sans"/>
          <w:sz w:val="24"/>
          <w:szCs w:val="24"/>
        </w:rPr>
        <w:t xml:space="preserve"> </w:t>
      </w:r>
      <w:r w:rsidRPr="006A6E61">
        <w:rPr>
          <w:rFonts w:ascii="Nunito Sans" w:hAnsi="Nunito Sans"/>
          <w:sz w:val="24"/>
          <w:szCs w:val="24"/>
        </w:rPr>
        <w:t xml:space="preserve">nie </w:t>
      </w:r>
      <w:r w:rsidR="008064B9" w:rsidRPr="006A6E61">
        <w:rPr>
          <w:rFonts w:ascii="Nunito Sans" w:hAnsi="Nunito Sans"/>
          <w:sz w:val="24"/>
          <w:szCs w:val="24"/>
        </w:rPr>
        <w:t xml:space="preserve">jest </w:t>
      </w:r>
      <w:r w:rsidRPr="006A6E61">
        <w:rPr>
          <w:rFonts w:ascii="Nunito Sans" w:hAnsi="Nunito Sans"/>
          <w:sz w:val="24"/>
          <w:szCs w:val="24"/>
        </w:rPr>
        <w:t>zwiększenie przepustowości portów lotniczych. Dlatego też z</w:t>
      </w:r>
      <w:r w:rsidR="00B35FC1" w:rsidRPr="006A6E61">
        <w:rPr>
          <w:rFonts w:ascii="Nunito Sans" w:hAnsi="Nunito Sans"/>
          <w:sz w:val="24"/>
          <w:szCs w:val="24"/>
        </w:rPr>
        <w:t xml:space="preserve">akłada się, że przewidziane do dofinansowania projekty z zakresu infrastruktury lotniskowej nie przyczynią się same z siebie do zwiększenia </w:t>
      </w:r>
      <w:r w:rsidR="00256DDA" w:rsidRPr="006A6E61">
        <w:rPr>
          <w:rFonts w:ascii="Nunito Sans" w:hAnsi="Nunito Sans"/>
          <w:sz w:val="24"/>
          <w:szCs w:val="24"/>
        </w:rPr>
        <w:t>przepływu pasażerów</w:t>
      </w:r>
      <w:r w:rsidR="00910B62" w:rsidRPr="006A6E61">
        <w:rPr>
          <w:rFonts w:ascii="Nunito Sans" w:hAnsi="Nunito Sans"/>
          <w:sz w:val="24"/>
          <w:szCs w:val="24"/>
        </w:rPr>
        <w:t xml:space="preserve"> </w:t>
      </w:r>
      <w:r w:rsidR="00B35FC1" w:rsidRPr="006A6E61">
        <w:rPr>
          <w:rFonts w:ascii="Nunito Sans" w:hAnsi="Nunito Sans"/>
          <w:sz w:val="24"/>
          <w:szCs w:val="24"/>
        </w:rPr>
        <w:t>a jedynie do zwiększenia bezpieczeństwa operacji bądź ograniczenia emisji zanieczyszczeń do środowiska</w:t>
      </w:r>
      <w:r w:rsidR="00185F02" w:rsidRPr="006A6E61">
        <w:rPr>
          <w:rFonts w:ascii="Nunito Sans" w:hAnsi="Nunito Sans"/>
          <w:sz w:val="24"/>
          <w:szCs w:val="24"/>
        </w:rPr>
        <w:t>.</w:t>
      </w:r>
      <w:r w:rsidR="00B35FC1" w:rsidRPr="006A6E61">
        <w:rPr>
          <w:rFonts w:ascii="Nunito Sans" w:hAnsi="Nunito Sans"/>
          <w:sz w:val="24"/>
          <w:szCs w:val="24"/>
        </w:rPr>
        <w:t xml:space="preserve">  </w:t>
      </w:r>
    </w:p>
    <w:p w14:paraId="21E490A7" w14:textId="53EDAF80" w:rsidR="00B35FC1" w:rsidRPr="006A6E61" w:rsidRDefault="00B35FC1" w:rsidP="003373FF">
      <w:pPr>
        <w:spacing w:after="120" w:line="240" w:lineRule="auto"/>
        <w:jc w:val="both"/>
        <w:rPr>
          <w:rFonts w:ascii="Nunito Sans" w:hAnsi="Nunito Sans"/>
          <w:sz w:val="24"/>
          <w:szCs w:val="24"/>
        </w:rPr>
      </w:pPr>
      <w:r w:rsidRPr="006A6E61">
        <w:rPr>
          <w:rFonts w:ascii="Nunito Sans" w:hAnsi="Nunito Sans"/>
          <w:sz w:val="24"/>
          <w:szCs w:val="24"/>
        </w:rPr>
        <w:t>W ramach USW należy zaprezentować</w:t>
      </w:r>
      <w:r w:rsidR="00C9263C" w:rsidRPr="006A6E61">
        <w:rPr>
          <w:rFonts w:ascii="Nunito Sans" w:hAnsi="Nunito Sans"/>
          <w:sz w:val="24"/>
          <w:szCs w:val="24"/>
        </w:rPr>
        <w:t xml:space="preserve"> historyczn</w:t>
      </w:r>
      <w:r w:rsidR="00256DDA" w:rsidRPr="006A6E61">
        <w:rPr>
          <w:rFonts w:ascii="Nunito Sans" w:hAnsi="Nunito Sans"/>
          <w:sz w:val="24"/>
          <w:szCs w:val="24"/>
        </w:rPr>
        <w:t>e</w:t>
      </w:r>
      <w:r w:rsidR="00C9263C" w:rsidRPr="006A6E61">
        <w:rPr>
          <w:rStyle w:val="Odwoanieprzypisudolnego"/>
          <w:rFonts w:ascii="Nunito Sans" w:hAnsi="Nunito Sans"/>
          <w:sz w:val="24"/>
          <w:szCs w:val="24"/>
        </w:rPr>
        <w:footnoteReference w:id="2"/>
      </w:r>
      <w:r w:rsidR="00C9263C" w:rsidRPr="006A6E61">
        <w:rPr>
          <w:rFonts w:ascii="Nunito Sans" w:hAnsi="Nunito Sans"/>
          <w:sz w:val="24"/>
          <w:szCs w:val="24"/>
        </w:rPr>
        <w:t xml:space="preserve"> i</w:t>
      </w:r>
      <w:r w:rsidRPr="006A6E61">
        <w:rPr>
          <w:rFonts w:ascii="Nunito Sans" w:hAnsi="Nunito Sans"/>
          <w:sz w:val="24"/>
          <w:szCs w:val="24"/>
        </w:rPr>
        <w:t xml:space="preserve"> prognozowan</w:t>
      </w:r>
      <w:r w:rsidR="00256DDA" w:rsidRPr="006A6E61">
        <w:rPr>
          <w:rFonts w:ascii="Nunito Sans" w:hAnsi="Nunito Sans"/>
          <w:sz w:val="24"/>
          <w:szCs w:val="24"/>
        </w:rPr>
        <w:t xml:space="preserve">e dane dotyczące przepływu pasażerów </w:t>
      </w:r>
      <w:r w:rsidR="00DD6A8C" w:rsidRPr="006A6E61">
        <w:rPr>
          <w:rFonts w:ascii="Nunito Sans" w:hAnsi="Nunito Sans"/>
          <w:sz w:val="24"/>
          <w:szCs w:val="24"/>
        </w:rPr>
        <w:t>i ruchu lotniczego</w:t>
      </w:r>
      <w:r w:rsidR="00A35EA7" w:rsidRPr="006A6E61">
        <w:rPr>
          <w:rFonts w:ascii="Nunito Sans" w:hAnsi="Nunito Sans"/>
          <w:sz w:val="24"/>
          <w:szCs w:val="24"/>
        </w:rPr>
        <w:t xml:space="preserve"> </w:t>
      </w:r>
      <w:r w:rsidR="00256DDA" w:rsidRPr="006A6E61">
        <w:rPr>
          <w:rFonts w:ascii="Nunito Sans" w:hAnsi="Nunito Sans"/>
          <w:sz w:val="24"/>
          <w:szCs w:val="24"/>
        </w:rPr>
        <w:t xml:space="preserve">w ramach </w:t>
      </w:r>
      <w:r w:rsidRPr="006A6E61">
        <w:rPr>
          <w:rFonts w:ascii="Nunito Sans" w:hAnsi="Nunito Sans"/>
          <w:sz w:val="24"/>
          <w:szCs w:val="24"/>
        </w:rPr>
        <w:t>dane</w:t>
      </w:r>
      <w:r w:rsidR="00256DDA" w:rsidRPr="006A6E61">
        <w:rPr>
          <w:rFonts w:ascii="Nunito Sans" w:hAnsi="Nunito Sans"/>
          <w:sz w:val="24"/>
          <w:szCs w:val="24"/>
        </w:rPr>
        <w:t>go</w:t>
      </w:r>
      <w:r w:rsidRPr="006A6E61">
        <w:rPr>
          <w:rFonts w:ascii="Nunito Sans" w:hAnsi="Nunito Sans"/>
          <w:sz w:val="24"/>
          <w:szCs w:val="24"/>
        </w:rPr>
        <w:t xml:space="preserve"> lotnisk</w:t>
      </w:r>
      <w:r w:rsidR="00256DDA" w:rsidRPr="006A6E61">
        <w:rPr>
          <w:rFonts w:ascii="Nunito Sans" w:hAnsi="Nunito Sans"/>
          <w:sz w:val="24"/>
          <w:szCs w:val="24"/>
        </w:rPr>
        <w:t>a</w:t>
      </w:r>
      <w:r w:rsidRPr="006A6E61">
        <w:rPr>
          <w:rFonts w:ascii="Nunito Sans" w:hAnsi="Nunito Sans"/>
          <w:sz w:val="24"/>
          <w:szCs w:val="24"/>
        </w:rPr>
        <w:t xml:space="preserve">. Dodatkowo </w:t>
      </w:r>
      <w:r w:rsidRPr="006A6E61">
        <w:rPr>
          <w:rFonts w:ascii="Nunito Sans" w:hAnsi="Nunito Sans"/>
          <w:sz w:val="24"/>
          <w:szCs w:val="24"/>
        </w:rPr>
        <w:lastRenderedPageBreak/>
        <w:t>należy zaprezentować adekwatne dla zakresu danego</w:t>
      </w:r>
      <w:r w:rsidRPr="006A6E61" w:rsidDel="003A7D61">
        <w:rPr>
          <w:rFonts w:ascii="Nunito Sans" w:hAnsi="Nunito Sans"/>
          <w:sz w:val="24"/>
          <w:szCs w:val="24"/>
        </w:rPr>
        <w:t xml:space="preserve"> </w:t>
      </w:r>
      <w:r w:rsidRPr="006A6E61">
        <w:rPr>
          <w:rFonts w:ascii="Nunito Sans" w:hAnsi="Nunito Sans"/>
          <w:sz w:val="24"/>
          <w:szCs w:val="24"/>
        </w:rPr>
        <w:t>projektu planowane wykorzystanie infrastruktury wybudowanej/ zakupionej w jego w ramach np. liczba wykonywanych w ciągu godziny operacji kontroli bagażu.</w:t>
      </w:r>
      <w:r w:rsidR="00256DDA" w:rsidRPr="006A6E61">
        <w:rPr>
          <w:rFonts w:ascii="Nunito Sans" w:hAnsi="Nunito Sans"/>
          <w:sz w:val="24"/>
          <w:szCs w:val="24"/>
        </w:rPr>
        <w:t xml:space="preserve"> </w:t>
      </w:r>
    </w:p>
    <w:p w14:paraId="6BF2A165" w14:textId="46DB0150" w:rsidR="00AD48AD" w:rsidRPr="006A6E61" w:rsidRDefault="00AD48AD" w:rsidP="003373FF">
      <w:pPr>
        <w:spacing w:after="120" w:line="240" w:lineRule="auto"/>
        <w:jc w:val="both"/>
        <w:rPr>
          <w:rFonts w:ascii="Nunito Sans" w:hAnsi="Nunito Sans"/>
          <w:sz w:val="24"/>
          <w:szCs w:val="24"/>
        </w:rPr>
      </w:pPr>
      <w:r w:rsidRPr="006A6E61">
        <w:rPr>
          <w:rFonts w:ascii="Nunito Sans" w:hAnsi="Nunito Sans"/>
          <w:sz w:val="24"/>
          <w:szCs w:val="24"/>
        </w:rPr>
        <w:t xml:space="preserve">Dla projektów </w:t>
      </w:r>
      <w:r w:rsidRPr="006A6E61">
        <w:rPr>
          <w:rFonts w:ascii="Nunito Sans" w:hAnsi="Nunito Sans"/>
          <w:bCs/>
          <w:sz w:val="24"/>
          <w:szCs w:val="24"/>
        </w:rPr>
        <w:t>związanych z ochroną środowiska lub łagodzeniem/ograniczeniem negatywnego oddziaływania portów lotniczych na środowisko naturalne, można pominąć prezentację prognozy pasażerskiej.</w:t>
      </w:r>
    </w:p>
    <w:p w14:paraId="5BDA629B" w14:textId="77777777" w:rsidR="00B35FC1" w:rsidRPr="006A6E61" w:rsidRDefault="00B35FC1" w:rsidP="003373FF">
      <w:pPr>
        <w:pStyle w:val="Nagwek2"/>
        <w:numPr>
          <w:ilvl w:val="1"/>
          <w:numId w:val="5"/>
        </w:numPr>
        <w:spacing w:before="0" w:after="120" w:line="240" w:lineRule="auto"/>
        <w:jc w:val="both"/>
        <w:rPr>
          <w:rFonts w:ascii="Nunito Sans" w:hAnsi="Nunito Sans"/>
          <w:sz w:val="24"/>
          <w:szCs w:val="24"/>
        </w:rPr>
      </w:pPr>
      <w:bookmarkStart w:id="10" w:name="_Toc151451244"/>
      <w:r w:rsidRPr="006A6E61">
        <w:rPr>
          <w:rFonts w:ascii="Nunito Sans" w:hAnsi="Nunito Sans"/>
          <w:sz w:val="24"/>
          <w:szCs w:val="24"/>
        </w:rPr>
        <w:t>Analiza ekonomiczna</w:t>
      </w:r>
      <w:bookmarkEnd w:id="10"/>
    </w:p>
    <w:p w14:paraId="6405A9E0" w14:textId="77777777" w:rsidR="00B35FC1" w:rsidRPr="006A6E61" w:rsidRDefault="00B35FC1" w:rsidP="003373FF">
      <w:pPr>
        <w:spacing w:after="120" w:line="240" w:lineRule="auto"/>
        <w:jc w:val="both"/>
        <w:rPr>
          <w:rFonts w:ascii="Nunito Sans" w:hAnsi="Nunito Sans"/>
          <w:sz w:val="24"/>
          <w:szCs w:val="24"/>
        </w:rPr>
      </w:pPr>
      <w:r w:rsidRPr="006A6E61">
        <w:rPr>
          <w:rFonts w:ascii="Nunito Sans" w:hAnsi="Nunito Sans"/>
          <w:sz w:val="24"/>
          <w:szCs w:val="24"/>
        </w:rPr>
        <w:t xml:space="preserve">Analiza ekonomiczna zajmuje się oceną wpływu projektu na społeczeństwo i gospodarkę. Ze względu na określony typ projektów tj. z obszaru bezpieczeństwa i ochrony środowiska, zalecane jest wykonanie jakościowej analizy ekonomicznej, która polega na opisie przewidywanych korzyści społeczno-ekonomicznych, bez ich kwantyfikacji i </w:t>
      </w:r>
      <w:proofErr w:type="spellStart"/>
      <w:r w:rsidRPr="006A6E61">
        <w:rPr>
          <w:rFonts w:ascii="Nunito Sans" w:hAnsi="Nunito Sans"/>
          <w:sz w:val="24"/>
          <w:szCs w:val="24"/>
        </w:rPr>
        <w:t>monetyzacji</w:t>
      </w:r>
      <w:proofErr w:type="spellEnd"/>
      <w:r w:rsidRPr="006A6E61">
        <w:rPr>
          <w:rFonts w:ascii="Nunito Sans" w:hAnsi="Nunito Sans"/>
          <w:sz w:val="24"/>
          <w:szCs w:val="24"/>
        </w:rPr>
        <w:t xml:space="preserve">. </w:t>
      </w:r>
    </w:p>
    <w:p w14:paraId="4852E0D9" w14:textId="77777777" w:rsidR="00B35FC1" w:rsidRPr="006A6E61" w:rsidRDefault="00B35FC1" w:rsidP="003373FF">
      <w:pPr>
        <w:pStyle w:val="Nagwek2"/>
        <w:numPr>
          <w:ilvl w:val="1"/>
          <w:numId w:val="5"/>
        </w:numPr>
        <w:spacing w:before="0" w:after="120" w:line="240" w:lineRule="auto"/>
        <w:jc w:val="both"/>
        <w:rPr>
          <w:rFonts w:ascii="Nunito Sans" w:hAnsi="Nunito Sans"/>
          <w:sz w:val="24"/>
          <w:szCs w:val="24"/>
        </w:rPr>
      </w:pPr>
      <w:bookmarkStart w:id="11" w:name="_Toc151451245"/>
      <w:r w:rsidRPr="006A6E61">
        <w:rPr>
          <w:rFonts w:ascii="Nunito Sans" w:hAnsi="Nunito Sans"/>
          <w:sz w:val="24"/>
          <w:szCs w:val="24"/>
        </w:rPr>
        <w:t>Analiza finansowa</w:t>
      </w:r>
      <w:bookmarkEnd w:id="11"/>
    </w:p>
    <w:p w14:paraId="2E88C2F1" w14:textId="77777777" w:rsidR="00B35FC1" w:rsidRPr="006A6E61" w:rsidRDefault="00B35FC1" w:rsidP="003373FF">
      <w:pPr>
        <w:pStyle w:val="Akapitzlist"/>
        <w:spacing w:after="120" w:line="240" w:lineRule="auto"/>
        <w:ind w:left="0"/>
        <w:jc w:val="both"/>
        <w:rPr>
          <w:rFonts w:ascii="Nunito Sans" w:hAnsi="Nunito Sans"/>
          <w:sz w:val="24"/>
          <w:szCs w:val="24"/>
        </w:rPr>
      </w:pPr>
      <w:r w:rsidRPr="006A6E61">
        <w:rPr>
          <w:rFonts w:ascii="Nunito Sans" w:hAnsi="Nunito Sans"/>
          <w:sz w:val="24"/>
          <w:szCs w:val="24"/>
        </w:rPr>
        <w:t>W celu przeprowadzenia analizy finansowej projektu ubiegającego się o dofinansowanie unijne należy na wstępie określić wariant bezinwestycyjny (WB) oraz wariant inwestycyjny (WI). Jeśli projekt polega np. na rozbudowie infrastruktury, dodaniu nowych funkcjonalności/elementów do eksploatowanych już urządzeń, to wówczas stan obecny należy przyjąć za wariant bezinwestycyjny projektu (wariant odniesienia), a stan projektowany za jego wariant inwestycyjny i następnie porównać oba warianty za pomocą metody różnicowej. Jeśli natomiast przedsięwzięcie obejmuje, np. zakup nowego system informatycznego, nowego urządzenia, budowy nowego elementu infrastruktury to wystarczy wówczas policzyć składowe analizy finansowej jedynie dla wariantu inwestycyjnego. Dla oceny projektu unijnego wymagane wskaźniki finansowe to wartość bieżącą netto i wewnętrzną stopę zwrotu na dwóch poziomach:</w:t>
      </w:r>
    </w:p>
    <w:p w14:paraId="4FAB76C9" w14:textId="77777777" w:rsidR="00B35FC1" w:rsidRPr="006A6E61" w:rsidRDefault="00B35FC1" w:rsidP="003373FF">
      <w:pPr>
        <w:pStyle w:val="Akapitzlist"/>
        <w:numPr>
          <w:ilvl w:val="0"/>
          <w:numId w:val="6"/>
        </w:numPr>
        <w:spacing w:after="120" w:line="240" w:lineRule="auto"/>
        <w:jc w:val="both"/>
        <w:rPr>
          <w:rFonts w:ascii="Nunito Sans" w:hAnsi="Nunito Sans"/>
          <w:sz w:val="24"/>
          <w:szCs w:val="24"/>
        </w:rPr>
      </w:pPr>
      <w:r w:rsidRPr="006A6E61">
        <w:rPr>
          <w:rFonts w:ascii="Nunito Sans" w:hAnsi="Nunito Sans"/>
          <w:sz w:val="24"/>
          <w:szCs w:val="24"/>
        </w:rPr>
        <w:t>projektu – wskaźniki FNPV/c i FRR/c</w:t>
      </w:r>
    </w:p>
    <w:p w14:paraId="7FF8D1AF" w14:textId="77777777" w:rsidR="00B35FC1" w:rsidRPr="006A6E61" w:rsidRDefault="00B35FC1" w:rsidP="003373FF">
      <w:pPr>
        <w:pStyle w:val="Akapitzlist"/>
        <w:numPr>
          <w:ilvl w:val="0"/>
          <w:numId w:val="6"/>
        </w:numPr>
        <w:spacing w:after="120" w:line="240" w:lineRule="auto"/>
        <w:jc w:val="both"/>
        <w:rPr>
          <w:rFonts w:ascii="Nunito Sans" w:hAnsi="Nunito Sans"/>
          <w:sz w:val="24"/>
          <w:szCs w:val="24"/>
        </w:rPr>
      </w:pPr>
      <w:r w:rsidRPr="006A6E61">
        <w:rPr>
          <w:rFonts w:ascii="Nunito Sans" w:hAnsi="Nunito Sans"/>
          <w:sz w:val="24"/>
          <w:szCs w:val="24"/>
        </w:rPr>
        <w:t>kapitału krajowego zaangażowanego w projekt – wskaźniki FNPV/k i FRR/k.</w:t>
      </w:r>
    </w:p>
    <w:p w14:paraId="07913085" w14:textId="77777777" w:rsidR="00B35FC1" w:rsidRPr="006A6E61" w:rsidRDefault="00B35FC1" w:rsidP="003373FF">
      <w:pPr>
        <w:pStyle w:val="Akapitzlist"/>
        <w:spacing w:after="120" w:line="240" w:lineRule="auto"/>
        <w:ind w:left="0"/>
        <w:jc w:val="both"/>
        <w:rPr>
          <w:rFonts w:ascii="Nunito Sans" w:hAnsi="Nunito Sans"/>
          <w:sz w:val="24"/>
          <w:szCs w:val="24"/>
        </w:rPr>
      </w:pPr>
    </w:p>
    <w:p w14:paraId="67FF213A" w14:textId="77777777" w:rsidR="00B35FC1" w:rsidRPr="006A6E61" w:rsidRDefault="00B35FC1" w:rsidP="003373FF">
      <w:pPr>
        <w:pStyle w:val="Akapitzlist"/>
        <w:spacing w:after="120" w:line="240" w:lineRule="auto"/>
        <w:ind w:left="0"/>
        <w:jc w:val="both"/>
        <w:rPr>
          <w:rFonts w:ascii="Nunito Sans" w:hAnsi="Nunito Sans"/>
          <w:sz w:val="24"/>
          <w:szCs w:val="24"/>
        </w:rPr>
      </w:pPr>
      <w:r w:rsidRPr="006A6E61">
        <w:rPr>
          <w:rFonts w:ascii="Nunito Sans" w:hAnsi="Nunito Sans"/>
          <w:sz w:val="24"/>
          <w:szCs w:val="24"/>
        </w:rPr>
        <w:t>W celu obliczenia w/w wskaźników finansowych należy podać okres analizy – na potrzeby analizy projektów dotyczących ww. zakresu, długość okresu analizy należy przyjąć indywidualnie w zależności od zakładanego okresu życia aktywów w projekcie. Generalnie wartość rezydualna na koniec tak przyjętego okresu analizy powinna wynosić zero (wartość liczona metodą amortyzacyjną).</w:t>
      </w:r>
    </w:p>
    <w:p w14:paraId="41AA8FC7" w14:textId="77777777" w:rsidR="00B35FC1" w:rsidRPr="006A6E61" w:rsidRDefault="00B35FC1" w:rsidP="003373FF">
      <w:pPr>
        <w:pStyle w:val="Akapitzlist"/>
        <w:spacing w:after="120" w:line="240" w:lineRule="auto"/>
        <w:ind w:left="0"/>
        <w:jc w:val="both"/>
        <w:rPr>
          <w:rFonts w:ascii="Nunito Sans" w:hAnsi="Nunito Sans"/>
          <w:sz w:val="24"/>
          <w:szCs w:val="24"/>
        </w:rPr>
      </w:pPr>
      <w:r w:rsidRPr="006A6E61">
        <w:rPr>
          <w:rFonts w:ascii="Nunito Sans" w:hAnsi="Nunito Sans"/>
          <w:sz w:val="24"/>
          <w:szCs w:val="24"/>
        </w:rPr>
        <w:t xml:space="preserve">Należy krótko opisać przyjęte założenia w USW, a w arkuszu kalkulacyjnym dla poszczególnych lat wyliczyć poniżej wymienione przepływy finansowe:  </w:t>
      </w:r>
    </w:p>
    <w:p w14:paraId="475A99BD" w14:textId="2E384EF5" w:rsidR="00B35FC1" w:rsidRPr="006A6E61" w:rsidRDefault="00B35FC1" w:rsidP="003373FF">
      <w:pPr>
        <w:pStyle w:val="Akapitzlist"/>
        <w:numPr>
          <w:ilvl w:val="0"/>
          <w:numId w:val="3"/>
        </w:numPr>
        <w:spacing w:after="120" w:line="240" w:lineRule="auto"/>
        <w:ind w:left="360"/>
        <w:jc w:val="both"/>
        <w:rPr>
          <w:rFonts w:ascii="Nunito Sans" w:hAnsi="Nunito Sans"/>
          <w:sz w:val="24"/>
          <w:szCs w:val="24"/>
        </w:rPr>
      </w:pPr>
      <w:r w:rsidRPr="006A6E61">
        <w:rPr>
          <w:rFonts w:ascii="Nunito Sans" w:hAnsi="Nunito Sans"/>
          <w:sz w:val="24"/>
          <w:szCs w:val="24"/>
        </w:rPr>
        <w:t>Nakłady inwestycyjne w podziale na koszty kwalifikowa</w:t>
      </w:r>
      <w:r w:rsidR="00D52EF3">
        <w:rPr>
          <w:rFonts w:ascii="Nunito Sans" w:hAnsi="Nunito Sans"/>
          <w:sz w:val="24"/>
          <w:szCs w:val="24"/>
        </w:rPr>
        <w:t>l</w:t>
      </w:r>
      <w:r w:rsidRPr="006A6E61">
        <w:rPr>
          <w:rFonts w:ascii="Nunito Sans" w:hAnsi="Nunito Sans"/>
          <w:sz w:val="24"/>
          <w:szCs w:val="24"/>
        </w:rPr>
        <w:t>ne i niekwalifikowa</w:t>
      </w:r>
      <w:r w:rsidR="00D52EF3">
        <w:rPr>
          <w:rFonts w:ascii="Nunito Sans" w:hAnsi="Nunito Sans"/>
          <w:sz w:val="24"/>
          <w:szCs w:val="24"/>
        </w:rPr>
        <w:t>l</w:t>
      </w:r>
      <w:r w:rsidRPr="006A6E61">
        <w:rPr>
          <w:rFonts w:ascii="Nunito Sans" w:hAnsi="Nunito Sans"/>
          <w:sz w:val="24"/>
          <w:szCs w:val="24"/>
        </w:rPr>
        <w:t>ne, bez nieprzewidzianych wydatków;</w:t>
      </w:r>
    </w:p>
    <w:p w14:paraId="79C8B655" w14:textId="77777777" w:rsidR="00B35FC1" w:rsidRPr="006A6E61" w:rsidRDefault="00B35FC1" w:rsidP="003373FF">
      <w:pPr>
        <w:pStyle w:val="Akapitzlist"/>
        <w:numPr>
          <w:ilvl w:val="0"/>
          <w:numId w:val="3"/>
        </w:numPr>
        <w:spacing w:after="120" w:line="240" w:lineRule="auto"/>
        <w:ind w:left="360"/>
        <w:jc w:val="both"/>
        <w:rPr>
          <w:rFonts w:ascii="Nunito Sans" w:hAnsi="Nunito Sans"/>
          <w:sz w:val="24"/>
          <w:szCs w:val="24"/>
        </w:rPr>
      </w:pPr>
      <w:r w:rsidRPr="006A6E61">
        <w:rPr>
          <w:rFonts w:ascii="Nunito Sans" w:hAnsi="Nunito Sans"/>
          <w:sz w:val="24"/>
          <w:szCs w:val="24"/>
        </w:rPr>
        <w:t>Koszty operacyjne;</w:t>
      </w:r>
    </w:p>
    <w:p w14:paraId="2407D072" w14:textId="77777777" w:rsidR="00B35FC1" w:rsidRPr="006A6E61" w:rsidRDefault="00B35FC1" w:rsidP="003373FF">
      <w:pPr>
        <w:pStyle w:val="Akapitzlist"/>
        <w:numPr>
          <w:ilvl w:val="0"/>
          <w:numId w:val="3"/>
        </w:numPr>
        <w:spacing w:after="120" w:line="240" w:lineRule="auto"/>
        <w:ind w:left="360"/>
        <w:jc w:val="both"/>
        <w:rPr>
          <w:rFonts w:ascii="Nunito Sans" w:hAnsi="Nunito Sans"/>
          <w:sz w:val="24"/>
          <w:szCs w:val="24"/>
        </w:rPr>
      </w:pPr>
      <w:r w:rsidRPr="006A6E61">
        <w:rPr>
          <w:rFonts w:ascii="Nunito Sans" w:hAnsi="Nunito Sans"/>
          <w:sz w:val="24"/>
          <w:szCs w:val="24"/>
        </w:rPr>
        <w:lastRenderedPageBreak/>
        <w:t>Przychody, rozumiane jako przychody generowane w ramach zakresu objętego projektem (jeśli dotyczy);</w:t>
      </w:r>
    </w:p>
    <w:p w14:paraId="5AD458BD" w14:textId="77777777" w:rsidR="00B35FC1" w:rsidRPr="006A6E61" w:rsidRDefault="00B35FC1" w:rsidP="003373FF">
      <w:pPr>
        <w:pStyle w:val="Akapitzlist"/>
        <w:numPr>
          <w:ilvl w:val="0"/>
          <w:numId w:val="3"/>
        </w:numPr>
        <w:spacing w:after="120" w:line="240" w:lineRule="auto"/>
        <w:ind w:left="360"/>
        <w:jc w:val="both"/>
        <w:rPr>
          <w:rFonts w:ascii="Nunito Sans" w:hAnsi="Nunito Sans"/>
          <w:sz w:val="24"/>
          <w:szCs w:val="24"/>
        </w:rPr>
      </w:pPr>
      <w:r w:rsidRPr="006A6E61">
        <w:rPr>
          <w:rFonts w:ascii="Nunito Sans" w:hAnsi="Nunito Sans"/>
          <w:sz w:val="24"/>
          <w:szCs w:val="24"/>
        </w:rPr>
        <w:t xml:space="preserve">Dofinansowanie w formie dotacji bezzwrotnej z </w:t>
      </w:r>
      <w:proofErr w:type="spellStart"/>
      <w:r w:rsidRPr="006A6E61">
        <w:rPr>
          <w:rFonts w:ascii="Nunito Sans" w:hAnsi="Nunito Sans"/>
          <w:sz w:val="24"/>
          <w:szCs w:val="24"/>
        </w:rPr>
        <w:t>FEnIKS</w:t>
      </w:r>
      <w:proofErr w:type="spellEnd"/>
      <w:r w:rsidRPr="006A6E61">
        <w:rPr>
          <w:rFonts w:ascii="Nunito Sans" w:hAnsi="Nunito Sans"/>
          <w:sz w:val="24"/>
          <w:szCs w:val="24"/>
        </w:rPr>
        <w:t xml:space="preserve"> (tylko do FNPV/k i FRR/k);</w:t>
      </w:r>
    </w:p>
    <w:p w14:paraId="1F5D34C3" w14:textId="77777777" w:rsidR="00B35FC1" w:rsidRPr="006A6E61" w:rsidRDefault="00B35FC1" w:rsidP="003373FF">
      <w:pPr>
        <w:pStyle w:val="Akapitzlist"/>
        <w:numPr>
          <w:ilvl w:val="0"/>
          <w:numId w:val="3"/>
        </w:numPr>
        <w:spacing w:after="120" w:line="240" w:lineRule="auto"/>
        <w:ind w:left="360"/>
        <w:jc w:val="both"/>
        <w:rPr>
          <w:rFonts w:ascii="Nunito Sans" w:hAnsi="Nunito Sans"/>
          <w:sz w:val="24"/>
          <w:szCs w:val="24"/>
        </w:rPr>
      </w:pPr>
      <w:r w:rsidRPr="006A6E61">
        <w:rPr>
          <w:rFonts w:ascii="Nunito Sans" w:hAnsi="Nunito Sans"/>
          <w:sz w:val="24"/>
          <w:szCs w:val="24"/>
        </w:rPr>
        <w:t>Ewentualne kredyty i pożyczki wraz z kosztami finansowania (tylko do FNPV/k i FRR/k).</w:t>
      </w:r>
    </w:p>
    <w:p w14:paraId="55BDD81B" w14:textId="77777777" w:rsidR="00B35FC1" w:rsidRPr="006A6E61" w:rsidRDefault="00B35FC1" w:rsidP="003373FF">
      <w:pPr>
        <w:spacing w:after="120" w:line="240" w:lineRule="auto"/>
        <w:jc w:val="both"/>
        <w:rPr>
          <w:rFonts w:ascii="Nunito Sans" w:hAnsi="Nunito Sans"/>
          <w:sz w:val="24"/>
          <w:szCs w:val="24"/>
        </w:rPr>
      </w:pPr>
      <w:r w:rsidRPr="006A6E61">
        <w:rPr>
          <w:rFonts w:ascii="Nunito Sans" w:hAnsi="Nunito Sans"/>
          <w:sz w:val="24"/>
          <w:szCs w:val="24"/>
        </w:rPr>
        <w:t>Na potrzeby kalkulacji FNPV/c i FNPV/k należy przyjąć stopę dyskontową na poziomie 4%. O dofinansowanie unijne mogą ubiegać się co do zasady projekty, które są nieopłacalne finansowo, i w warunkach rynkowych nie pozyskałyby finansowania ze środków prywatnych (FNPV/c &lt;0, a FRR/c &lt;4%).</w:t>
      </w:r>
    </w:p>
    <w:p w14:paraId="6F1877A5" w14:textId="647F6ACA" w:rsidR="00B35FC1" w:rsidRPr="006A6E61" w:rsidRDefault="00B35FC1" w:rsidP="003373FF">
      <w:pPr>
        <w:spacing w:after="120" w:line="240" w:lineRule="auto"/>
        <w:jc w:val="both"/>
        <w:rPr>
          <w:rFonts w:ascii="Nunito Sans" w:hAnsi="Nunito Sans"/>
          <w:sz w:val="24"/>
          <w:szCs w:val="24"/>
        </w:rPr>
      </w:pPr>
      <w:r w:rsidRPr="006A6E61">
        <w:rPr>
          <w:rFonts w:ascii="Nunito Sans" w:hAnsi="Nunito Sans"/>
          <w:sz w:val="24"/>
          <w:szCs w:val="24"/>
        </w:rPr>
        <w:t xml:space="preserve">Jeżeli projekt nie przyczyni się do wzrostu ruchu, na potrzeby wyliczenia przychodów i kosztów operacyjnych należy przyjąć prognozę ruchu taką samą dla wariantu bezinwestycyjnego i inwestycyjnego tj. W0=WI, opcjonalnie w całym okresie analizy można przyjąć ją constans na poziomie aktualnego ruchu. </w:t>
      </w:r>
    </w:p>
    <w:p w14:paraId="18B2EE1A" w14:textId="77777777" w:rsidR="00B35FC1" w:rsidRPr="006A6E61" w:rsidRDefault="00B35FC1" w:rsidP="003373FF">
      <w:pPr>
        <w:spacing w:after="120" w:line="240" w:lineRule="auto"/>
        <w:jc w:val="both"/>
        <w:rPr>
          <w:rFonts w:ascii="Nunito Sans" w:hAnsi="Nunito Sans"/>
          <w:sz w:val="24"/>
          <w:szCs w:val="24"/>
        </w:rPr>
      </w:pPr>
      <w:r w:rsidRPr="006A6E61">
        <w:rPr>
          <w:rFonts w:ascii="Nunito Sans" w:hAnsi="Nunito Sans"/>
          <w:sz w:val="24"/>
          <w:szCs w:val="24"/>
        </w:rPr>
        <w:t xml:space="preserve">W analizach dla projektów </w:t>
      </w:r>
      <w:proofErr w:type="spellStart"/>
      <w:r w:rsidRPr="006A6E61">
        <w:rPr>
          <w:rFonts w:ascii="Nunito Sans" w:hAnsi="Nunito Sans"/>
          <w:sz w:val="24"/>
          <w:szCs w:val="24"/>
        </w:rPr>
        <w:t>FEnIKS</w:t>
      </w:r>
      <w:proofErr w:type="spellEnd"/>
      <w:r w:rsidRPr="006A6E61">
        <w:rPr>
          <w:rFonts w:ascii="Nunito Sans" w:hAnsi="Nunito Sans"/>
          <w:sz w:val="24"/>
          <w:szCs w:val="24"/>
        </w:rPr>
        <w:t xml:space="preserve"> stosowana jest zasada kasowa, czyli przepływ wykazywany jest w roku, w którym następuje transfer środków pieniężnych, niezależnie od sposobu jego księgowania zgodnie z regułami rachunkowości lub przepisami podatkowymi (z wyjątkiem nakładów poniesionych przed rokiem bazowym, które wykazujemy w roku bazowym w wartościach nominalnych). Nie są uwzględniane pozycje niepieniężne, w tym amortyzacja i rozliczenia międzyokresowe, a także rezerwa na nieprzewidziane wydatki (o ile założono). </w:t>
      </w:r>
    </w:p>
    <w:p w14:paraId="23652A59" w14:textId="77777777" w:rsidR="00B35FC1" w:rsidRPr="006A6E61" w:rsidRDefault="00B35FC1" w:rsidP="003373FF">
      <w:pPr>
        <w:spacing w:after="120" w:line="240" w:lineRule="auto"/>
        <w:jc w:val="both"/>
        <w:rPr>
          <w:rFonts w:ascii="Nunito Sans" w:hAnsi="Nunito Sans"/>
          <w:sz w:val="24"/>
          <w:szCs w:val="24"/>
        </w:rPr>
      </w:pPr>
      <w:r w:rsidRPr="006A6E61">
        <w:rPr>
          <w:rFonts w:ascii="Nunito Sans" w:hAnsi="Nunito Sans"/>
          <w:sz w:val="24"/>
          <w:szCs w:val="24"/>
        </w:rPr>
        <w:t xml:space="preserve">Należy przyjąć ceny stałe z roku bazowego, czyli od roku bazowego włącznie nie uwzględniać wpływu inflacji na poziom cen. Na potrzeby wyliczenia wskaźników finansowych nie należy wykazywać VAT </w:t>
      </w:r>
      <w:proofErr w:type="spellStart"/>
      <w:r w:rsidRPr="006A6E61">
        <w:rPr>
          <w:rFonts w:ascii="Nunito Sans" w:hAnsi="Nunito Sans"/>
          <w:sz w:val="24"/>
          <w:szCs w:val="24"/>
        </w:rPr>
        <w:t>odliczalnego</w:t>
      </w:r>
      <w:proofErr w:type="spellEnd"/>
      <w:r w:rsidRPr="006A6E61">
        <w:rPr>
          <w:rFonts w:ascii="Nunito Sans" w:hAnsi="Nunito Sans"/>
          <w:sz w:val="24"/>
          <w:szCs w:val="24"/>
        </w:rPr>
        <w:t xml:space="preserve"> / </w:t>
      </w:r>
      <w:proofErr w:type="spellStart"/>
      <w:r w:rsidRPr="006A6E61">
        <w:rPr>
          <w:rFonts w:ascii="Nunito Sans" w:hAnsi="Nunito Sans"/>
          <w:sz w:val="24"/>
          <w:szCs w:val="24"/>
        </w:rPr>
        <w:t>odzyskiwalnego</w:t>
      </w:r>
      <w:proofErr w:type="spellEnd"/>
      <w:r w:rsidRPr="006A6E61">
        <w:rPr>
          <w:rFonts w:ascii="Nunito Sans" w:hAnsi="Nunito Sans"/>
          <w:sz w:val="24"/>
          <w:szCs w:val="24"/>
        </w:rPr>
        <w:t xml:space="preserve"> (ceny netto). Założenia odnośnie kosztów i przychodów należy przyjąć na podstawie najlepszej wiedzy Wnioskodawcy i w USW opisać źródła przyjętych założeń tak aby uwiarygodnić ich poprawność.</w:t>
      </w:r>
    </w:p>
    <w:p w14:paraId="7B165612" w14:textId="77777777" w:rsidR="00B35FC1" w:rsidRPr="006A6E61" w:rsidRDefault="00B35FC1" w:rsidP="003373FF">
      <w:pPr>
        <w:spacing w:after="120" w:line="240" w:lineRule="auto"/>
        <w:jc w:val="both"/>
        <w:rPr>
          <w:rFonts w:ascii="Nunito Sans" w:hAnsi="Nunito Sans"/>
          <w:sz w:val="24"/>
          <w:szCs w:val="24"/>
        </w:rPr>
      </w:pPr>
      <w:r w:rsidRPr="006A6E61">
        <w:rPr>
          <w:rFonts w:ascii="Nunito Sans" w:hAnsi="Nunito Sans"/>
          <w:sz w:val="24"/>
          <w:szCs w:val="24"/>
        </w:rPr>
        <w:t>Wartość rezydualną przy założeniu okresu analizy równemu okresowi żywotności infrastrukturalnych składników projektu można pominąć. W USW należy opisać przyjęte podejście w tym zakresie.</w:t>
      </w:r>
    </w:p>
    <w:p w14:paraId="49228AF7" w14:textId="3C6E58FA" w:rsidR="00894159" w:rsidRPr="006A6E61" w:rsidRDefault="00894159" w:rsidP="003373FF">
      <w:pPr>
        <w:pStyle w:val="Nagwek2"/>
        <w:numPr>
          <w:ilvl w:val="1"/>
          <w:numId w:val="5"/>
        </w:numPr>
        <w:spacing w:before="0" w:after="120" w:line="240" w:lineRule="auto"/>
        <w:jc w:val="both"/>
        <w:rPr>
          <w:rFonts w:ascii="Nunito Sans" w:hAnsi="Nunito Sans"/>
          <w:sz w:val="24"/>
          <w:szCs w:val="24"/>
        </w:rPr>
      </w:pPr>
      <w:bookmarkStart w:id="12" w:name="_Toc151451246"/>
      <w:r w:rsidRPr="006A6E61">
        <w:rPr>
          <w:rFonts w:ascii="Nunito Sans" w:hAnsi="Nunito Sans"/>
          <w:sz w:val="24"/>
          <w:szCs w:val="24"/>
        </w:rPr>
        <w:t>Wysokość wnioskowanego dofinansowania</w:t>
      </w:r>
      <w:bookmarkEnd w:id="12"/>
    </w:p>
    <w:p w14:paraId="70584B81" w14:textId="435A6B29" w:rsidR="00C54C45" w:rsidRPr="006A6E61" w:rsidRDefault="00C54C45" w:rsidP="003373FF">
      <w:pPr>
        <w:spacing w:after="120" w:line="240" w:lineRule="auto"/>
        <w:jc w:val="both"/>
        <w:rPr>
          <w:rFonts w:ascii="Nunito Sans" w:hAnsi="Nunito Sans"/>
          <w:sz w:val="24"/>
          <w:szCs w:val="24"/>
        </w:rPr>
      </w:pPr>
      <w:r w:rsidRPr="006A6E61">
        <w:rPr>
          <w:rFonts w:ascii="Nunito Sans" w:hAnsi="Nunito Sans"/>
          <w:sz w:val="24"/>
          <w:szCs w:val="24"/>
        </w:rPr>
        <w:t xml:space="preserve">Zgodnie z programem pomocowym kwota pomocy inwestycyjnej </w:t>
      </w:r>
      <w:r w:rsidR="00ED3A6E" w:rsidRPr="006A6E61">
        <w:rPr>
          <w:rFonts w:ascii="Nunito Sans" w:hAnsi="Nunito Sans"/>
          <w:sz w:val="24"/>
          <w:szCs w:val="24"/>
        </w:rPr>
        <w:t xml:space="preserve">dla istniejących regionalnych portów lotniczych </w:t>
      </w:r>
      <w:r w:rsidRPr="006A6E61">
        <w:rPr>
          <w:rFonts w:ascii="Nunito Sans" w:hAnsi="Nunito Sans"/>
          <w:sz w:val="24"/>
          <w:szCs w:val="24"/>
        </w:rPr>
        <w:t xml:space="preserve">nie może przekraczać różnicy między kosztami kwalifikowalnymi a zyskiem operacyjnym z inwestycji. Zysk operacyjny odlicza się od kosztów kwalifikowalnych </w:t>
      </w:r>
      <w:r w:rsidRPr="006A6E61">
        <w:rPr>
          <w:rFonts w:ascii="Nunito Sans" w:hAnsi="Nunito Sans"/>
          <w:i/>
          <w:sz w:val="24"/>
          <w:szCs w:val="24"/>
        </w:rPr>
        <w:t xml:space="preserve">ex </w:t>
      </w:r>
      <w:proofErr w:type="spellStart"/>
      <w:r w:rsidRPr="006A6E61">
        <w:rPr>
          <w:rFonts w:ascii="Nunito Sans" w:hAnsi="Nunito Sans"/>
          <w:i/>
          <w:sz w:val="24"/>
          <w:szCs w:val="24"/>
        </w:rPr>
        <w:t>ante</w:t>
      </w:r>
      <w:proofErr w:type="spellEnd"/>
      <w:r w:rsidRPr="006A6E61">
        <w:rPr>
          <w:rFonts w:ascii="Nunito Sans" w:hAnsi="Nunito Sans"/>
          <w:sz w:val="24"/>
          <w:szCs w:val="24"/>
        </w:rPr>
        <w:t>, na podstawie rozsądnych prognoz, albo przy użyciu mechanizmu wycofania. Rekomendowanym</w:t>
      </w:r>
      <w:r w:rsidR="00943C28" w:rsidRPr="006A6E61">
        <w:rPr>
          <w:rFonts w:ascii="Nunito Sans" w:hAnsi="Nunito Sans"/>
          <w:sz w:val="24"/>
          <w:szCs w:val="24"/>
        </w:rPr>
        <w:t xml:space="preserve"> przez CUPT </w:t>
      </w:r>
      <w:r w:rsidRPr="006A6E61">
        <w:rPr>
          <w:rFonts w:ascii="Nunito Sans" w:hAnsi="Nunito Sans"/>
          <w:sz w:val="24"/>
          <w:szCs w:val="24"/>
        </w:rPr>
        <w:t xml:space="preserve">podejściem jest </w:t>
      </w:r>
      <w:r w:rsidR="00943C28" w:rsidRPr="006A6E61">
        <w:rPr>
          <w:rFonts w:ascii="Nunito Sans" w:hAnsi="Nunito Sans"/>
          <w:sz w:val="24"/>
          <w:szCs w:val="24"/>
        </w:rPr>
        <w:t xml:space="preserve">wyliczenie zysku operacyjnego </w:t>
      </w:r>
      <w:r w:rsidR="00943C28" w:rsidRPr="006A6E61">
        <w:rPr>
          <w:rFonts w:ascii="Nunito Sans" w:hAnsi="Nunito Sans"/>
          <w:i/>
          <w:sz w:val="24"/>
          <w:szCs w:val="24"/>
        </w:rPr>
        <w:t xml:space="preserve">ex </w:t>
      </w:r>
      <w:proofErr w:type="spellStart"/>
      <w:r w:rsidR="00943C28" w:rsidRPr="006A6E61">
        <w:rPr>
          <w:rFonts w:ascii="Nunito Sans" w:hAnsi="Nunito Sans"/>
          <w:i/>
          <w:sz w:val="24"/>
          <w:szCs w:val="24"/>
        </w:rPr>
        <w:t>ante</w:t>
      </w:r>
      <w:proofErr w:type="spellEnd"/>
      <w:r w:rsidR="00943C28" w:rsidRPr="006A6E61">
        <w:rPr>
          <w:rFonts w:ascii="Nunito Sans" w:hAnsi="Nunito Sans"/>
          <w:i/>
          <w:sz w:val="24"/>
          <w:szCs w:val="24"/>
        </w:rPr>
        <w:t>.</w:t>
      </w:r>
    </w:p>
    <w:p w14:paraId="08F00F9D" w14:textId="3FD599B2" w:rsidR="00C54C45" w:rsidRPr="00F7607C" w:rsidRDefault="00C54C45" w:rsidP="003373FF">
      <w:pPr>
        <w:spacing w:after="120" w:line="240" w:lineRule="auto"/>
        <w:jc w:val="both"/>
        <w:rPr>
          <w:rFonts w:ascii="Nunito Sans" w:hAnsi="Nunito Sans"/>
          <w:sz w:val="24"/>
          <w:szCs w:val="24"/>
        </w:rPr>
      </w:pPr>
      <w:r w:rsidRPr="00F7607C">
        <w:rPr>
          <w:rFonts w:ascii="Nunito Sans" w:hAnsi="Nunito Sans"/>
          <w:sz w:val="24"/>
          <w:szCs w:val="24"/>
        </w:rPr>
        <w:t xml:space="preserve">Jednocześnie </w:t>
      </w:r>
      <w:r w:rsidR="007C4DF8" w:rsidRPr="00F7607C">
        <w:rPr>
          <w:rFonts w:ascii="Nunito Sans" w:hAnsi="Nunito Sans"/>
          <w:sz w:val="24"/>
          <w:szCs w:val="24"/>
        </w:rPr>
        <w:t xml:space="preserve">kwota pomocy nie może przekroczyć: </w:t>
      </w:r>
    </w:p>
    <w:p w14:paraId="7C93BC0B" w14:textId="5AAFD028" w:rsidR="00C54C45" w:rsidRPr="006A6E61" w:rsidRDefault="00C54C45" w:rsidP="003373FF">
      <w:pPr>
        <w:spacing w:after="120" w:line="240" w:lineRule="auto"/>
        <w:jc w:val="both"/>
        <w:rPr>
          <w:rFonts w:ascii="Nunito Sans" w:hAnsi="Nunito Sans"/>
          <w:sz w:val="24"/>
          <w:szCs w:val="24"/>
        </w:rPr>
      </w:pPr>
      <w:r w:rsidRPr="006A6E61">
        <w:rPr>
          <w:rFonts w:ascii="Nunito Sans" w:hAnsi="Nunito Sans"/>
          <w:sz w:val="24"/>
          <w:szCs w:val="24"/>
        </w:rPr>
        <w:lastRenderedPageBreak/>
        <w:t>-  50</w:t>
      </w:r>
      <w:r w:rsidR="00FA6625" w:rsidRPr="006A6E61">
        <w:rPr>
          <w:rFonts w:ascii="Nunito Sans" w:hAnsi="Nunito Sans"/>
          <w:sz w:val="24"/>
          <w:szCs w:val="24"/>
        </w:rPr>
        <w:t> </w:t>
      </w:r>
      <w:r w:rsidRPr="006A6E61">
        <w:rPr>
          <w:rFonts w:ascii="Nunito Sans" w:hAnsi="Nunito Sans"/>
          <w:sz w:val="24"/>
          <w:szCs w:val="24"/>
        </w:rPr>
        <w:t xml:space="preserve">% kosztów kwalifikowalnych w przypadku portów lotniczych o średnim rocznym przepływie pasażerów wynoszącym od jednego do trzech milionów osób w ciągu dwóch lat obrotowych poprzedzających rok, w którym faktycznie przyznano pomoc; </w:t>
      </w:r>
    </w:p>
    <w:p w14:paraId="0F7A941C" w14:textId="0315CADE" w:rsidR="00C54C45" w:rsidRPr="006A6E61" w:rsidRDefault="00FA6625" w:rsidP="003373FF">
      <w:pPr>
        <w:spacing w:after="120" w:line="240" w:lineRule="auto"/>
        <w:jc w:val="both"/>
        <w:rPr>
          <w:rFonts w:ascii="Nunito Sans" w:hAnsi="Nunito Sans"/>
          <w:sz w:val="24"/>
          <w:szCs w:val="24"/>
        </w:rPr>
      </w:pPr>
      <w:r w:rsidRPr="006A6E61">
        <w:rPr>
          <w:rFonts w:ascii="Nunito Sans" w:hAnsi="Nunito Sans"/>
          <w:sz w:val="24"/>
          <w:szCs w:val="24"/>
        </w:rPr>
        <w:t>-  75 </w:t>
      </w:r>
      <w:r w:rsidR="00C54C45" w:rsidRPr="006A6E61">
        <w:rPr>
          <w:rFonts w:ascii="Nunito Sans" w:hAnsi="Nunito Sans"/>
          <w:sz w:val="24"/>
          <w:szCs w:val="24"/>
        </w:rPr>
        <w:t>% kosztów kwalifikowalnych w przypadku portów lotniczych o średnim rocznym przepływie pasażerów wynoszącym do jednego miliona osób w ciągu dwóch lat obrotowych poprzedzających rok, w którym faktycznie przyznano pomoc.</w:t>
      </w:r>
    </w:p>
    <w:p w14:paraId="274C8D87" w14:textId="45038193" w:rsidR="00894159" w:rsidRPr="006A6E61" w:rsidRDefault="00943C28" w:rsidP="003373FF">
      <w:pPr>
        <w:spacing w:after="120" w:line="240" w:lineRule="auto"/>
        <w:jc w:val="both"/>
        <w:rPr>
          <w:rFonts w:ascii="Nunito Sans" w:hAnsi="Nunito Sans"/>
          <w:sz w:val="24"/>
          <w:szCs w:val="24"/>
        </w:rPr>
      </w:pPr>
      <w:r w:rsidRPr="006A6E61">
        <w:rPr>
          <w:rFonts w:ascii="Nunito Sans" w:hAnsi="Nunito Sans"/>
          <w:sz w:val="24"/>
          <w:szCs w:val="24"/>
        </w:rPr>
        <w:t>W arkuszu kalkulacyjnym należy wyliczyć dofinansowanie zgodnie z powyższą metodyką.</w:t>
      </w:r>
    </w:p>
    <w:p w14:paraId="328ECF07" w14:textId="55ACAD80" w:rsidR="007C6176" w:rsidRDefault="007C6176" w:rsidP="003373FF">
      <w:pPr>
        <w:spacing w:after="120" w:line="240" w:lineRule="auto"/>
        <w:jc w:val="both"/>
        <w:rPr>
          <w:rFonts w:ascii="Nunito Sans" w:hAnsi="Nunito Sans"/>
          <w:sz w:val="24"/>
          <w:szCs w:val="24"/>
        </w:rPr>
      </w:pPr>
      <w:r w:rsidRPr="006A6E61">
        <w:rPr>
          <w:rFonts w:ascii="Nunito Sans" w:hAnsi="Nunito Sans"/>
          <w:sz w:val="24"/>
          <w:szCs w:val="24"/>
        </w:rPr>
        <w:t>Dla Polskiej Agencji Żeglugi Powietrznej</w:t>
      </w:r>
      <w:r w:rsidR="00A800E7" w:rsidRPr="006A6E61">
        <w:rPr>
          <w:rFonts w:ascii="Nunito Sans" w:hAnsi="Nunito Sans"/>
          <w:sz w:val="24"/>
          <w:szCs w:val="24"/>
        </w:rPr>
        <w:t xml:space="preserve"> </w:t>
      </w:r>
      <w:r w:rsidRPr="006A6E61">
        <w:rPr>
          <w:rFonts w:ascii="Nunito Sans" w:hAnsi="Nunito Sans"/>
          <w:sz w:val="24"/>
          <w:szCs w:val="24"/>
        </w:rPr>
        <w:t>- maksymalny dopuszczalny poziom dofinansowania wydatków kwalifikowalnych projektu ze środków UE wynosi 85%.</w:t>
      </w:r>
    </w:p>
    <w:p w14:paraId="5C88D7F9" w14:textId="0739D868" w:rsidR="00D1298D" w:rsidRPr="00F7607C" w:rsidRDefault="00D1298D" w:rsidP="0058051C">
      <w:pPr>
        <w:spacing w:after="120" w:line="276" w:lineRule="auto"/>
        <w:jc w:val="both"/>
        <w:rPr>
          <w:rFonts w:ascii="Nunito Sans" w:hAnsi="Nunito Sans"/>
          <w:sz w:val="24"/>
          <w:szCs w:val="24"/>
        </w:rPr>
      </w:pPr>
      <w:r w:rsidRPr="00F7607C">
        <w:rPr>
          <w:rFonts w:ascii="Nunito Sans" w:hAnsi="Nunito Sans"/>
          <w:sz w:val="24"/>
          <w:szCs w:val="24"/>
        </w:rPr>
        <w:t>Maksymalna</w:t>
      </w:r>
      <w:r w:rsidR="00B7692D" w:rsidRPr="00F7607C">
        <w:rPr>
          <w:rFonts w:ascii="Nunito Sans" w:hAnsi="Nunito Sans"/>
          <w:sz w:val="24"/>
          <w:szCs w:val="24"/>
        </w:rPr>
        <w:t>, dopuszczalna</w:t>
      </w:r>
      <w:r w:rsidRPr="00F7607C">
        <w:rPr>
          <w:rFonts w:ascii="Nunito Sans" w:hAnsi="Nunito Sans"/>
          <w:sz w:val="24"/>
          <w:szCs w:val="24"/>
        </w:rPr>
        <w:t xml:space="preserve"> kwota dofinansowania projektu w ramach naboru nie może przekroczyć 25 000 000 PLN.</w:t>
      </w:r>
    </w:p>
    <w:p w14:paraId="22F0E428" w14:textId="79623F47" w:rsidR="00B35FC1" w:rsidRPr="006A6E61" w:rsidRDefault="00B35FC1" w:rsidP="003373FF">
      <w:pPr>
        <w:pStyle w:val="Nagwek2"/>
        <w:numPr>
          <w:ilvl w:val="1"/>
          <w:numId w:val="5"/>
        </w:numPr>
        <w:spacing w:before="0" w:after="120" w:line="240" w:lineRule="auto"/>
        <w:jc w:val="both"/>
        <w:rPr>
          <w:rFonts w:ascii="Nunito Sans" w:hAnsi="Nunito Sans"/>
          <w:sz w:val="24"/>
          <w:szCs w:val="24"/>
        </w:rPr>
      </w:pPr>
      <w:bookmarkStart w:id="13" w:name="_Toc151451247"/>
      <w:r w:rsidRPr="006A6E61">
        <w:rPr>
          <w:rFonts w:ascii="Nunito Sans" w:hAnsi="Nunito Sans"/>
          <w:sz w:val="24"/>
          <w:szCs w:val="24"/>
        </w:rPr>
        <w:t>Trwałość finansowa i instytucjonalna</w:t>
      </w:r>
      <w:bookmarkEnd w:id="13"/>
    </w:p>
    <w:p w14:paraId="0E6D9080" w14:textId="77777777" w:rsidR="00B35FC1" w:rsidRPr="006A6E61" w:rsidRDefault="00B35FC1" w:rsidP="003373FF">
      <w:pPr>
        <w:spacing w:after="120" w:line="240" w:lineRule="auto"/>
        <w:jc w:val="both"/>
        <w:rPr>
          <w:rFonts w:ascii="Nunito Sans" w:hAnsi="Nunito Sans"/>
          <w:sz w:val="24"/>
          <w:szCs w:val="24"/>
        </w:rPr>
      </w:pPr>
      <w:r w:rsidRPr="006A6E61">
        <w:rPr>
          <w:rFonts w:ascii="Nunito Sans" w:hAnsi="Nunito Sans"/>
          <w:sz w:val="24"/>
          <w:szCs w:val="24"/>
        </w:rPr>
        <w:t>Dla stwierdzenia wykonalności projektu kluczowe jest potwierdzenie, że w każdym roku analizy przeznaczone na projekt środki finansowe w dyspozycji Wnioskodawcy i prognozowane wpływy pieniężne ze źródeł zewnętrznych wystarczą na pokrycie wszystkich wydatków inwestycyjnych i bieżących związanych z projektem, w tym kosztów obsługi ewentualnego zadłużenia.</w:t>
      </w:r>
    </w:p>
    <w:p w14:paraId="1C4D3A4C" w14:textId="77777777" w:rsidR="00B35FC1" w:rsidRPr="006A6E61" w:rsidRDefault="00B35FC1" w:rsidP="003373FF">
      <w:pPr>
        <w:spacing w:after="120" w:line="240" w:lineRule="auto"/>
        <w:jc w:val="both"/>
        <w:rPr>
          <w:rFonts w:ascii="Nunito Sans" w:hAnsi="Nunito Sans"/>
          <w:sz w:val="24"/>
          <w:szCs w:val="24"/>
        </w:rPr>
      </w:pPr>
    </w:p>
    <w:p w14:paraId="59C22723" w14:textId="78388F76" w:rsidR="00B35FC1" w:rsidRPr="006A6E61" w:rsidRDefault="00B35FC1" w:rsidP="003373FF">
      <w:pPr>
        <w:spacing w:after="120" w:line="240" w:lineRule="auto"/>
        <w:jc w:val="both"/>
        <w:rPr>
          <w:rFonts w:ascii="Nunito Sans" w:hAnsi="Nunito Sans"/>
          <w:sz w:val="24"/>
          <w:szCs w:val="24"/>
        </w:rPr>
      </w:pPr>
      <w:r w:rsidRPr="006A6E61">
        <w:rPr>
          <w:rFonts w:ascii="Nunito Sans" w:hAnsi="Nunito Sans"/>
          <w:sz w:val="24"/>
          <w:szCs w:val="24"/>
        </w:rPr>
        <w:t xml:space="preserve">Trwałość finansową analizuje się dla wariantu inwestycyjnego (WI), w ujęciu </w:t>
      </w:r>
      <w:proofErr w:type="spellStart"/>
      <w:r w:rsidRPr="006A6E61">
        <w:rPr>
          <w:rFonts w:ascii="Nunito Sans" w:hAnsi="Nunito Sans"/>
          <w:sz w:val="24"/>
          <w:szCs w:val="24"/>
        </w:rPr>
        <w:t>nieróżnicowym</w:t>
      </w:r>
      <w:proofErr w:type="spellEnd"/>
      <w:r w:rsidRPr="006A6E61">
        <w:rPr>
          <w:rFonts w:ascii="Nunito Sans" w:hAnsi="Nunito Sans"/>
          <w:sz w:val="24"/>
          <w:szCs w:val="24"/>
        </w:rPr>
        <w:t>. Potwierdzenie trwałości finansowej i instytucjonalnej powinno obejmować trzy elementy</w:t>
      </w:r>
      <w:r w:rsidR="00FA6625" w:rsidRPr="006A6E61">
        <w:rPr>
          <w:rFonts w:ascii="Nunito Sans" w:hAnsi="Nunito Sans"/>
          <w:sz w:val="24"/>
          <w:szCs w:val="24"/>
        </w:rPr>
        <w:t xml:space="preserve">, </w:t>
      </w:r>
      <w:r w:rsidRPr="006A6E61">
        <w:rPr>
          <w:rFonts w:ascii="Nunito Sans" w:hAnsi="Nunito Sans"/>
          <w:sz w:val="24"/>
          <w:szCs w:val="24"/>
        </w:rPr>
        <w:t>takie jak:</w:t>
      </w:r>
    </w:p>
    <w:p w14:paraId="08644608" w14:textId="7DDDB662" w:rsidR="00B35FC1" w:rsidRPr="006A6E61" w:rsidRDefault="00FA6625" w:rsidP="003373FF">
      <w:pPr>
        <w:pStyle w:val="Akapitzlist"/>
        <w:numPr>
          <w:ilvl w:val="0"/>
          <w:numId w:val="4"/>
        </w:numPr>
        <w:spacing w:after="120" w:line="240" w:lineRule="auto"/>
        <w:ind w:left="360"/>
        <w:jc w:val="both"/>
        <w:rPr>
          <w:rFonts w:ascii="Nunito Sans" w:hAnsi="Nunito Sans"/>
          <w:sz w:val="24"/>
          <w:szCs w:val="24"/>
        </w:rPr>
      </w:pPr>
      <w:r w:rsidRPr="006A6E61">
        <w:rPr>
          <w:rFonts w:ascii="Nunito Sans" w:hAnsi="Nunito Sans"/>
          <w:sz w:val="24"/>
          <w:szCs w:val="24"/>
        </w:rPr>
        <w:t>k</w:t>
      </w:r>
      <w:r w:rsidR="00B35FC1" w:rsidRPr="006A6E61">
        <w:rPr>
          <w:rFonts w:ascii="Nunito Sans" w:hAnsi="Nunito Sans"/>
          <w:sz w:val="24"/>
          <w:szCs w:val="24"/>
        </w:rPr>
        <w:t>rótki opis źródeł finansowania podmiotu będącego Wnioskodawcą oraz innych partnerów projektu (jeśli dotyczy). W ramach potwierdzenia trwałości instytucjonalnej należy wskazać m.in. akty prawne nakładające na podmiot obowiązki realizacji zadań publicznych (jeśli dotyczy), zapewniające finansowanie podmiotu (jeśli dotyczy), umowy utrzymaniowe (jeśli dotyczy), źródła przychodów;</w:t>
      </w:r>
    </w:p>
    <w:p w14:paraId="09DF4BFE" w14:textId="4292AE87" w:rsidR="00B35FC1" w:rsidRPr="006A6E61" w:rsidRDefault="00FA6625" w:rsidP="003373FF">
      <w:pPr>
        <w:pStyle w:val="Akapitzlist"/>
        <w:numPr>
          <w:ilvl w:val="0"/>
          <w:numId w:val="4"/>
        </w:numPr>
        <w:spacing w:after="120" w:line="240" w:lineRule="auto"/>
        <w:ind w:left="360"/>
        <w:jc w:val="both"/>
        <w:rPr>
          <w:rFonts w:ascii="Nunito Sans" w:hAnsi="Nunito Sans"/>
          <w:sz w:val="24"/>
          <w:szCs w:val="24"/>
        </w:rPr>
      </w:pPr>
      <w:r w:rsidRPr="006A6E61">
        <w:rPr>
          <w:rFonts w:ascii="Nunito Sans" w:hAnsi="Nunito Sans"/>
          <w:sz w:val="24"/>
          <w:szCs w:val="24"/>
        </w:rPr>
        <w:t>t</w:t>
      </w:r>
      <w:r w:rsidR="00B35FC1" w:rsidRPr="006A6E61">
        <w:rPr>
          <w:rFonts w:ascii="Nunito Sans" w:hAnsi="Nunito Sans"/>
          <w:sz w:val="24"/>
          <w:szCs w:val="24"/>
        </w:rPr>
        <w:t>abelaryczne ujęcie trwa</w:t>
      </w:r>
      <w:r w:rsidR="003A3564" w:rsidRPr="006A6E61">
        <w:rPr>
          <w:rFonts w:ascii="Nunito Sans" w:hAnsi="Nunito Sans"/>
          <w:sz w:val="24"/>
          <w:szCs w:val="24"/>
        </w:rPr>
        <w:t xml:space="preserve">łości finansowej projektu, tj. </w:t>
      </w:r>
      <w:r w:rsidR="00B35FC1" w:rsidRPr="006A6E61">
        <w:rPr>
          <w:rFonts w:ascii="Nunito Sans" w:hAnsi="Nunito Sans"/>
          <w:sz w:val="24"/>
          <w:szCs w:val="24"/>
        </w:rPr>
        <w:t xml:space="preserve">wpływów i wydatków w okresie analizy, z uwzględnieniem dopłaty z innej działalności Wnioskodawcy. Należy w każdym roku wykazać, że skumulowane saldo przepływów jest nieujemne. Jeśli w projekcie uczestniczy kilka podmiotów, trwałość finansową projektu wykazuje się w jednej tabeli ze wskazaniem, które przepływy dotyczą którego podmiotu. Schemat tabeli można zaczerpnąć np. z </w:t>
      </w:r>
      <w:r w:rsidR="00B35FC1" w:rsidRPr="006A6E61">
        <w:rPr>
          <w:rFonts w:ascii="Nunito Sans" w:hAnsi="Nunito Sans"/>
          <w:i/>
          <w:sz w:val="24"/>
          <w:szCs w:val="24"/>
        </w:rPr>
        <w:t>Vademecum Beneficjenta</w:t>
      </w:r>
      <w:r w:rsidR="00B35FC1" w:rsidRPr="006A6E61">
        <w:rPr>
          <w:rFonts w:ascii="Nunito Sans" w:hAnsi="Nunito Sans"/>
          <w:sz w:val="24"/>
          <w:szCs w:val="24"/>
        </w:rPr>
        <w:t>. Analiza kosztów i korzyści projektów transportowych współfinansowanych ze środków Unii Europejskiej, CUPT 2016, Rys. 10, str. 61;</w:t>
      </w:r>
    </w:p>
    <w:p w14:paraId="567313C2" w14:textId="7B49E687" w:rsidR="00B35FC1" w:rsidRPr="006A6E61" w:rsidRDefault="00FA6625" w:rsidP="003373FF">
      <w:pPr>
        <w:pStyle w:val="Akapitzlist"/>
        <w:numPr>
          <w:ilvl w:val="0"/>
          <w:numId w:val="4"/>
        </w:numPr>
        <w:spacing w:after="120" w:line="240" w:lineRule="auto"/>
        <w:ind w:left="360"/>
        <w:jc w:val="both"/>
        <w:rPr>
          <w:rFonts w:ascii="Nunito Sans" w:hAnsi="Nunito Sans"/>
          <w:sz w:val="24"/>
          <w:szCs w:val="24"/>
        </w:rPr>
      </w:pPr>
      <w:r w:rsidRPr="006A6E61">
        <w:rPr>
          <w:rFonts w:ascii="Nunito Sans" w:hAnsi="Nunito Sans"/>
          <w:sz w:val="24"/>
          <w:szCs w:val="24"/>
        </w:rPr>
        <w:lastRenderedPageBreak/>
        <w:t>t</w:t>
      </w:r>
      <w:r w:rsidR="00B35FC1" w:rsidRPr="006A6E61">
        <w:rPr>
          <w:rFonts w:ascii="Nunito Sans" w:hAnsi="Nunito Sans"/>
          <w:sz w:val="24"/>
          <w:szCs w:val="24"/>
        </w:rPr>
        <w:t xml:space="preserve">abelaryczne ujęcie trwałości finansowej Wnioskodawcy z projektem, tj. łączne koszty i przychody podmiotu z uwzględnieniem kosztów i przychodów projektu, w okresie analizy. Tabele trwałości finansowej podmiotu z projektem przedstawia się, co do zasady, w układzie sprawozdawczości finansowej Wnioskodawcy. Jeśli w projekcie uczestniczy kilka podmiotów, trwałość finansową wykazuje się odrębnie dla każdego z nich w wysokości ich zaangażowania. Przepływy związane z projektem należy pokazać w oddzielnych wierszach pod pozycją zbiorczą. </w:t>
      </w:r>
    </w:p>
    <w:p w14:paraId="17C9D411" w14:textId="77777777" w:rsidR="00B35FC1" w:rsidRPr="006A6E61" w:rsidRDefault="00B35FC1" w:rsidP="003373FF">
      <w:pPr>
        <w:pStyle w:val="Nagwek2"/>
        <w:numPr>
          <w:ilvl w:val="1"/>
          <w:numId w:val="5"/>
        </w:numPr>
        <w:spacing w:before="0" w:after="120" w:line="240" w:lineRule="auto"/>
        <w:jc w:val="both"/>
        <w:rPr>
          <w:rFonts w:ascii="Nunito Sans" w:hAnsi="Nunito Sans"/>
          <w:sz w:val="24"/>
          <w:szCs w:val="24"/>
        </w:rPr>
      </w:pPr>
      <w:bookmarkStart w:id="14" w:name="_Toc151451248"/>
      <w:r w:rsidRPr="006A6E61">
        <w:rPr>
          <w:rFonts w:ascii="Nunito Sans" w:hAnsi="Nunito Sans"/>
          <w:sz w:val="24"/>
          <w:szCs w:val="24"/>
        </w:rPr>
        <w:t>Plan wdrożenia projektu</w:t>
      </w:r>
      <w:bookmarkEnd w:id="14"/>
    </w:p>
    <w:p w14:paraId="34D95ACE" w14:textId="77777777" w:rsidR="00B35FC1" w:rsidRPr="006A6E61" w:rsidRDefault="00B35FC1" w:rsidP="003373FF">
      <w:pPr>
        <w:spacing w:after="120" w:line="240" w:lineRule="auto"/>
        <w:jc w:val="both"/>
        <w:rPr>
          <w:rFonts w:ascii="Nunito Sans" w:hAnsi="Nunito Sans"/>
          <w:sz w:val="24"/>
          <w:szCs w:val="24"/>
        </w:rPr>
      </w:pPr>
      <w:r w:rsidRPr="006A6E61">
        <w:rPr>
          <w:rFonts w:ascii="Nunito Sans" w:hAnsi="Nunito Sans"/>
          <w:sz w:val="24"/>
          <w:szCs w:val="24"/>
        </w:rPr>
        <w:t xml:space="preserve">Niezależnie od typu projektu niezbędne jest przedstawienie harmonogramu wdrożenia projektu, w którym zostaną ujęte kluczowe dla niego zadania i terminy ich realizacji. Harmonogram można przedstawić w formie tabelarycznej lub w formie wykresu Gantta tj. należy pokazać zarówno fazę przygotowania dokumentacji projektowej, rozpoczęcia/ zakończenia procedury przetargowej jak i fazę rzeczowej realizacji poszczególnych zadań oraz datę operacyjnej gotowości projektu. Należy zwrócić uwagę na zachowanie spójności pomiędzy datą realizacji poszczególnego zdania a rokiem ujęcia nakładu z tego tytułu w analizie finansowej. </w:t>
      </w:r>
    </w:p>
    <w:p w14:paraId="117D6762" w14:textId="77777777" w:rsidR="00B35FC1" w:rsidRPr="006A6E61" w:rsidRDefault="00B35FC1" w:rsidP="003373FF">
      <w:pPr>
        <w:pStyle w:val="Nagwek2"/>
        <w:numPr>
          <w:ilvl w:val="1"/>
          <w:numId w:val="5"/>
        </w:numPr>
        <w:spacing w:before="0" w:after="120" w:line="240" w:lineRule="auto"/>
        <w:jc w:val="both"/>
        <w:rPr>
          <w:rFonts w:ascii="Nunito Sans" w:hAnsi="Nunito Sans"/>
          <w:sz w:val="24"/>
          <w:szCs w:val="24"/>
        </w:rPr>
      </w:pPr>
      <w:bookmarkStart w:id="15" w:name="_Toc151451249"/>
      <w:r w:rsidRPr="006A6E61">
        <w:rPr>
          <w:rFonts w:ascii="Nunito Sans" w:hAnsi="Nunito Sans"/>
          <w:sz w:val="24"/>
          <w:szCs w:val="24"/>
        </w:rPr>
        <w:t>Analiza ryzyka</w:t>
      </w:r>
      <w:bookmarkEnd w:id="15"/>
    </w:p>
    <w:p w14:paraId="12F3C637" w14:textId="77777777" w:rsidR="00B35FC1" w:rsidRPr="006A6E61" w:rsidRDefault="00B35FC1" w:rsidP="003373FF">
      <w:pPr>
        <w:spacing w:after="120" w:line="240" w:lineRule="auto"/>
        <w:jc w:val="both"/>
        <w:rPr>
          <w:rFonts w:ascii="Nunito Sans" w:hAnsi="Nunito Sans"/>
          <w:sz w:val="24"/>
          <w:szCs w:val="24"/>
        </w:rPr>
      </w:pPr>
      <w:r w:rsidRPr="006A6E61">
        <w:rPr>
          <w:rFonts w:ascii="Nunito Sans" w:hAnsi="Nunito Sans"/>
          <w:sz w:val="24"/>
          <w:szCs w:val="24"/>
        </w:rPr>
        <w:t xml:space="preserve">Analiza ryzyka jest kluczowym elementem oceny zarówno możliwości niezakłóconej realizacji projektu jak i jego późniejszej eksploatacji. Stąd identyfikacja </w:t>
      </w:r>
      <w:proofErr w:type="spellStart"/>
      <w:r w:rsidRPr="006A6E61">
        <w:rPr>
          <w:rFonts w:ascii="Nunito Sans" w:hAnsi="Nunito Sans"/>
          <w:sz w:val="24"/>
          <w:szCs w:val="24"/>
        </w:rPr>
        <w:t>ryzyk</w:t>
      </w:r>
      <w:proofErr w:type="spellEnd"/>
      <w:r w:rsidRPr="006A6E61">
        <w:rPr>
          <w:rFonts w:ascii="Nunito Sans" w:hAnsi="Nunito Sans"/>
          <w:sz w:val="24"/>
          <w:szCs w:val="24"/>
        </w:rPr>
        <w:t xml:space="preserve"> i wskazana przez Wnioskodawcę strategia radzenia sobie z nimi jest kluczowa dla uprawdopodobnienia wykonalności projektu. Uproszczenie analizy ryzyka możliwe jest jedynie w bardzo ograniczonym stopniu ze względu na jej istotność dla realizacji projektu.</w:t>
      </w:r>
    </w:p>
    <w:p w14:paraId="2D07D485" w14:textId="633CC724" w:rsidR="00B35FC1" w:rsidRPr="006A6E61" w:rsidRDefault="00B35FC1" w:rsidP="003373FF">
      <w:pPr>
        <w:spacing w:after="120" w:line="240" w:lineRule="auto"/>
        <w:jc w:val="both"/>
        <w:rPr>
          <w:rFonts w:ascii="Nunito Sans" w:hAnsi="Nunito Sans"/>
          <w:sz w:val="24"/>
          <w:szCs w:val="24"/>
        </w:rPr>
      </w:pPr>
      <w:r w:rsidRPr="006A6E61">
        <w:rPr>
          <w:rFonts w:ascii="Nunito Sans" w:hAnsi="Nunito Sans"/>
          <w:sz w:val="24"/>
          <w:szCs w:val="24"/>
        </w:rPr>
        <w:t xml:space="preserve">Analizę ryzyka należy zatem wykonać zgodnie z wytycznymi opisanymi szczegółowo w Niebieskiej Księdze Kolejowej dla perspektywy finansowej 2021 – 2027. W pierwszym etapie należy ustalić status ryzyka wobec projektu (aktywne/nieaktywne) a w drugim dokonać poszerzonej analizy wyłącznie zidentyfikowanych </w:t>
      </w:r>
      <w:proofErr w:type="spellStart"/>
      <w:r w:rsidRPr="006A6E61">
        <w:rPr>
          <w:rFonts w:ascii="Nunito Sans" w:hAnsi="Nunito Sans"/>
          <w:sz w:val="24"/>
          <w:szCs w:val="24"/>
        </w:rPr>
        <w:t>ryzyk</w:t>
      </w:r>
      <w:proofErr w:type="spellEnd"/>
      <w:r w:rsidRPr="006A6E61">
        <w:rPr>
          <w:rFonts w:ascii="Nunito Sans" w:hAnsi="Nunito Sans"/>
          <w:sz w:val="24"/>
          <w:szCs w:val="24"/>
        </w:rPr>
        <w:t xml:space="preserve"> aktywnych w stopniu szczegółowości opisanym w NK. W związku z tym, że nie ma Niebieskiej Księgi dedykowanej sektorowi lotniczemu opisy </w:t>
      </w:r>
      <w:proofErr w:type="spellStart"/>
      <w:r w:rsidRPr="006A6E61">
        <w:rPr>
          <w:rFonts w:ascii="Nunito Sans" w:hAnsi="Nunito Sans"/>
          <w:sz w:val="24"/>
          <w:szCs w:val="24"/>
        </w:rPr>
        <w:t>ryzyk</w:t>
      </w:r>
      <w:proofErr w:type="spellEnd"/>
      <w:r w:rsidRPr="006A6E61">
        <w:rPr>
          <w:rFonts w:ascii="Nunito Sans" w:hAnsi="Nunito Sans"/>
          <w:sz w:val="24"/>
          <w:szCs w:val="24"/>
        </w:rPr>
        <w:t xml:space="preserve"> należy dostosować do specyfiki tego sektora oraz uzupełnić ich listę o inne ryzyka właściwe dla tego typu projektów. Oceny poziomu ryzyka (wypadkowa prawdopodobieństwa wystąpienia i wpływu na projekt) aktywnych czynników ryzyka należy dokonać w oparciu o tzw. matrycę JASPERS zawartą w NK</w:t>
      </w:r>
      <w:r w:rsidR="00424748" w:rsidRPr="006A6E61">
        <w:rPr>
          <w:rFonts w:ascii="Nunito Sans" w:hAnsi="Nunito Sans"/>
          <w:sz w:val="24"/>
          <w:szCs w:val="24"/>
        </w:rPr>
        <w:t>,</w:t>
      </w:r>
      <w:r w:rsidRPr="006A6E61">
        <w:rPr>
          <w:rFonts w:ascii="Nunito Sans" w:hAnsi="Nunito Sans"/>
          <w:sz w:val="24"/>
          <w:szCs w:val="24"/>
        </w:rPr>
        <w:t xml:space="preserve"> skorygowaną adekwatnie</w:t>
      </w:r>
      <w:r w:rsidR="00424748" w:rsidRPr="006A6E61">
        <w:rPr>
          <w:rFonts w:ascii="Nunito Sans" w:hAnsi="Nunito Sans"/>
          <w:sz w:val="24"/>
          <w:szCs w:val="24"/>
        </w:rPr>
        <w:t>,</w:t>
      </w:r>
      <w:r w:rsidRPr="006A6E61">
        <w:rPr>
          <w:rFonts w:ascii="Nunito Sans" w:hAnsi="Nunito Sans"/>
          <w:sz w:val="24"/>
          <w:szCs w:val="24"/>
        </w:rPr>
        <w:t xml:space="preserve"> odzwierciedlając różnice pomiędzy sektorem kolejowym i lotniczym. </w:t>
      </w:r>
    </w:p>
    <w:p w14:paraId="2070B00F" w14:textId="77777777" w:rsidR="00B35FC1" w:rsidRPr="006A6E61" w:rsidRDefault="00B35FC1" w:rsidP="003373FF">
      <w:pPr>
        <w:spacing w:after="120" w:line="240" w:lineRule="auto"/>
        <w:jc w:val="both"/>
        <w:rPr>
          <w:rFonts w:ascii="Nunito Sans" w:hAnsi="Nunito Sans"/>
          <w:sz w:val="24"/>
          <w:szCs w:val="24"/>
        </w:rPr>
      </w:pPr>
      <w:r w:rsidRPr="006A6E61">
        <w:rPr>
          <w:rFonts w:ascii="Nunito Sans" w:hAnsi="Nunito Sans"/>
          <w:sz w:val="24"/>
          <w:szCs w:val="24"/>
        </w:rPr>
        <w:t xml:space="preserve">Ryzyka o wysokim poziomie należy poddać pogłębionej analizie, w tym podać planowane działania </w:t>
      </w:r>
      <w:proofErr w:type="spellStart"/>
      <w:r w:rsidRPr="006A6E61">
        <w:rPr>
          <w:rFonts w:ascii="Nunito Sans" w:hAnsi="Nunito Sans"/>
          <w:sz w:val="24"/>
          <w:szCs w:val="24"/>
        </w:rPr>
        <w:t>mitygacyjne</w:t>
      </w:r>
      <w:proofErr w:type="spellEnd"/>
      <w:r w:rsidRPr="006A6E61">
        <w:rPr>
          <w:rFonts w:ascii="Nunito Sans" w:hAnsi="Nunito Sans"/>
          <w:sz w:val="24"/>
          <w:szCs w:val="24"/>
        </w:rPr>
        <w:t xml:space="preserve">. Ważne jest wskazanie, że Wnioskodawca niezależnie od poziomu ryzyka potrafi skutecznie nim zarządzać. </w:t>
      </w:r>
    </w:p>
    <w:p w14:paraId="1E1EFCB4" w14:textId="77777777" w:rsidR="00B35FC1" w:rsidRPr="006A6E61" w:rsidRDefault="00B35FC1" w:rsidP="003373FF">
      <w:pPr>
        <w:pStyle w:val="Nagwek2"/>
        <w:numPr>
          <w:ilvl w:val="1"/>
          <w:numId w:val="5"/>
        </w:numPr>
        <w:spacing w:before="0" w:after="120" w:line="240" w:lineRule="auto"/>
        <w:jc w:val="both"/>
        <w:rPr>
          <w:rFonts w:ascii="Nunito Sans" w:hAnsi="Nunito Sans"/>
          <w:sz w:val="24"/>
          <w:szCs w:val="24"/>
        </w:rPr>
      </w:pPr>
      <w:bookmarkStart w:id="16" w:name="_Toc151451250"/>
      <w:r w:rsidRPr="006A6E61">
        <w:rPr>
          <w:rFonts w:ascii="Nunito Sans" w:hAnsi="Nunito Sans"/>
          <w:sz w:val="24"/>
          <w:szCs w:val="24"/>
        </w:rPr>
        <w:lastRenderedPageBreak/>
        <w:t>Analiza wrażliwości</w:t>
      </w:r>
      <w:bookmarkEnd w:id="16"/>
    </w:p>
    <w:p w14:paraId="680EFC58" w14:textId="3B37C497" w:rsidR="00B35FC1" w:rsidRPr="006A6E61" w:rsidRDefault="00B35FC1" w:rsidP="003373FF">
      <w:pPr>
        <w:spacing w:after="120" w:line="240" w:lineRule="auto"/>
        <w:jc w:val="both"/>
        <w:rPr>
          <w:rFonts w:ascii="Nunito Sans" w:hAnsi="Nunito Sans"/>
          <w:sz w:val="24"/>
          <w:szCs w:val="24"/>
        </w:rPr>
      </w:pPr>
      <w:r w:rsidRPr="006A6E61">
        <w:rPr>
          <w:rFonts w:ascii="Nunito Sans" w:hAnsi="Nunito Sans"/>
          <w:sz w:val="24"/>
          <w:szCs w:val="24"/>
        </w:rPr>
        <w:t xml:space="preserve">Dla przedmiotowych projektów, które co do zasady nie mają wpływu na poziom przychodów nie ma konieczności prezentowania analizy wrażliwości, określania zmiennych krytycznych i wartości progowych. </w:t>
      </w:r>
    </w:p>
    <w:p w14:paraId="21F397FC" w14:textId="77777777" w:rsidR="00B35FC1" w:rsidRPr="006A6E61" w:rsidRDefault="00B35FC1" w:rsidP="003373FF">
      <w:pPr>
        <w:pStyle w:val="Nagwek2"/>
        <w:spacing w:before="0" w:after="120" w:line="240" w:lineRule="auto"/>
        <w:jc w:val="both"/>
        <w:rPr>
          <w:rFonts w:ascii="Nunito Sans" w:hAnsi="Nunito Sans"/>
          <w:sz w:val="24"/>
          <w:szCs w:val="24"/>
        </w:rPr>
      </w:pPr>
      <w:bookmarkStart w:id="17" w:name="_Toc151451251"/>
      <w:r w:rsidRPr="006A6E61">
        <w:rPr>
          <w:rFonts w:ascii="Nunito Sans" w:hAnsi="Nunito Sans"/>
          <w:sz w:val="24"/>
          <w:szCs w:val="24"/>
        </w:rPr>
        <w:t>Załącznik: arkusz kalkulacyjny</w:t>
      </w:r>
      <w:bookmarkEnd w:id="17"/>
    </w:p>
    <w:p w14:paraId="191A5420" w14:textId="77777777" w:rsidR="00B35FC1" w:rsidRPr="006A6E61" w:rsidRDefault="00B35FC1" w:rsidP="003373FF">
      <w:pPr>
        <w:spacing w:after="120" w:line="240" w:lineRule="auto"/>
        <w:jc w:val="both"/>
        <w:rPr>
          <w:rFonts w:ascii="Nunito Sans" w:hAnsi="Nunito Sans"/>
          <w:sz w:val="24"/>
          <w:szCs w:val="24"/>
        </w:rPr>
      </w:pPr>
      <w:r w:rsidRPr="006A6E61">
        <w:rPr>
          <w:rFonts w:ascii="Nunito Sans" w:hAnsi="Nunito Sans"/>
          <w:sz w:val="24"/>
          <w:szCs w:val="24"/>
        </w:rPr>
        <w:t>Arkusz kalkulacyjny w wersji edytowalnej, w formacie kompatybilnym z Office Open XML (.</w:t>
      </w:r>
      <w:proofErr w:type="spellStart"/>
      <w:r w:rsidRPr="006A6E61">
        <w:rPr>
          <w:rFonts w:ascii="Nunito Sans" w:hAnsi="Nunito Sans"/>
          <w:sz w:val="24"/>
          <w:szCs w:val="24"/>
        </w:rPr>
        <w:t>xlsx</w:t>
      </w:r>
      <w:proofErr w:type="spellEnd"/>
      <w:r w:rsidRPr="006A6E61">
        <w:rPr>
          <w:rFonts w:ascii="Nunito Sans" w:hAnsi="Nunito Sans"/>
          <w:sz w:val="24"/>
          <w:szCs w:val="24"/>
        </w:rPr>
        <w:t>/.</w:t>
      </w:r>
      <w:proofErr w:type="spellStart"/>
      <w:r w:rsidRPr="006A6E61">
        <w:rPr>
          <w:rFonts w:ascii="Nunito Sans" w:hAnsi="Nunito Sans"/>
          <w:sz w:val="24"/>
          <w:szCs w:val="24"/>
        </w:rPr>
        <w:t>xlsm</w:t>
      </w:r>
      <w:proofErr w:type="spellEnd"/>
      <w:r w:rsidRPr="006A6E61">
        <w:rPr>
          <w:rFonts w:ascii="Nunito Sans" w:hAnsi="Nunito Sans"/>
          <w:sz w:val="24"/>
          <w:szCs w:val="24"/>
        </w:rPr>
        <w:t xml:space="preserve">) lub dedykowanymi formatami Microsoft Excel (.xls, </w:t>
      </w:r>
      <w:proofErr w:type="spellStart"/>
      <w:r w:rsidRPr="006A6E61">
        <w:rPr>
          <w:rFonts w:ascii="Nunito Sans" w:hAnsi="Nunito Sans"/>
          <w:sz w:val="24"/>
          <w:szCs w:val="24"/>
        </w:rPr>
        <w:t>xlm</w:t>
      </w:r>
      <w:proofErr w:type="spellEnd"/>
      <w:r w:rsidRPr="006A6E61">
        <w:rPr>
          <w:rFonts w:ascii="Nunito Sans" w:hAnsi="Nunito Sans"/>
          <w:sz w:val="24"/>
          <w:szCs w:val="24"/>
        </w:rPr>
        <w:t>, .</w:t>
      </w:r>
      <w:proofErr w:type="spellStart"/>
      <w:r w:rsidRPr="006A6E61">
        <w:rPr>
          <w:rFonts w:ascii="Nunito Sans" w:hAnsi="Nunito Sans"/>
          <w:sz w:val="24"/>
          <w:szCs w:val="24"/>
        </w:rPr>
        <w:t>xlsb</w:t>
      </w:r>
      <w:proofErr w:type="spellEnd"/>
      <w:r w:rsidRPr="006A6E61">
        <w:rPr>
          <w:rFonts w:ascii="Nunito Sans" w:hAnsi="Nunito Sans"/>
          <w:sz w:val="24"/>
          <w:szCs w:val="24"/>
        </w:rPr>
        <w:t>), jest niezbędnym załącznikiem do USW. Musi posiadać edytowalne formuły pozwalające na prześledzenie połączeń od podstawowych założeń do ostatecznych wyników analizy; poszczególne zakładki i cały arkusz nie mogą być zabezpieczone przed edycją lub hasła zabezpieczające muszą być udostępnione oceniającym. Nie jest dopuszczalne ukrywanie elementów arkusza kalkulacyjnego lub stosowanie rozwiązań utrudniających czytelność arkusza (np. biały tekst na białym tle).</w:t>
      </w:r>
    </w:p>
    <w:p w14:paraId="2219FE3C" w14:textId="77777777" w:rsidR="00B35FC1" w:rsidRPr="006A6E61" w:rsidRDefault="00B35FC1" w:rsidP="003373FF">
      <w:pPr>
        <w:spacing w:after="120" w:line="240" w:lineRule="auto"/>
        <w:jc w:val="both"/>
        <w:rPr>
          <w:rFonts w:ascii="Nunito Sans" w:hAnsi="Nunito Sans"/>
          <w:sz w:val="24"/>
          <w:szCs w:val="24"/>
        </w:rPr>
      </w:pPr>
      <w:r w:rsidRPr="006A6E61">
        <w:rPr>
          <w:rFonts w:ascii="Nunito Sans" w:hAnsi="Nunito Sans"/>
          <w:sz w:val="24"/>
          <w:szCs w:val="24"/>
        </w:rPr>
        <w:t>Arkusz kalkulacyjny musi zawierać kalkulację wszystkich elementów, które przedstawione są w analitycznych częściach USW. Każda pozycja powinna być kalkulowana lub wpisana jednokrotnie i zaciągnięta do dalszych przeliczeń. Jeżeli dana pozycja nie jest wymagana dla danego projektu (np. analiza ekonomiczna dla projektu jest tylko jakościowa), nie należy jej kalkulować, natomiast arkusz jest niezbędny dla wszystkich projektów ze względu na m.in. wymóg kalkulacji przepływów analizy finansowej i analizy trwałości projektu.</w:t>
      </w:r>
    </w:p>
    <w:p w14:paraId="41FB9D3F" w14:textId="2560A25A" w:rsidR="00804674" w:rsidRPr="006A6E61" w:rsidRDefault="00B35FC1" w:rsidP="003373FF">
      <w:pPr>
        <w:spacing w:after="120" w:line="240" w:lineRule="auto"/>
        <w:jc w:val="both"/>
        <w:rPr>
          <w:rFonts w:ascii="Nunito Sans" w:hAnsi="Nunito Sans"/>
          <w:color w:val="1F497D"/>
          <w:sz w:val="24"/>
          <w:szCs w:val="24"/>
        </w:rPr>
      </w:pPr>
      <w:r w:rsidRPr="006A6E61">
        <w:rPr>
          <w:rFonts w:ascii="Nunito Sans" w:hAnsi="Nunito Sans"/>
          <w:sz w:val="24"/>
          <w:szCs w:val="24"/>
        </w:rPr>
        <w:t xml:space="preserve">Wszystkie założenia kalkulacji powinny być umieszczone na odrębnej zakładce „Założenia” i opisane tak, aby można było zidentyfikować ich źródło i podstawę oszacowania (w tym np. rok oszacowania, nazwa opracowania źródłowego itp.). </w:t>
      </w:r>
      <w:r w:rsidR="00F7607C">
        <w:rPr>
          <w:rFonts w:ascii="Nunito Sans" w:hAnsi="Nunito Sans"/>
          <w:sz w:val="24"/>
          <w:szCs w:val="24"/>
        </w:rPr>
        <w:br/>
      </w:r>
      <w:r w:rsidR="00804674" w:rsidRPr="006A6E61">
        <w:rPr>
          <w:rFonts w:ascii="Nunito Sans" w:hAnsi="Nunito Sans"/>
          <w:sz w:val="24"/>
          <w:szCs w:val="24"/>
        </w:rPr>
        <w:t>W arkuszu kalkulacyjnym powinna znaleźć się zakładka wynikowa prezentująca trwałość finansową projektu, trwałość Wnioskodawcy z projektem, podział kosztów projektu na koszty kwalifikowalne i niekwalifikowalne, wyliczenie dofinansowania projektu oraz wskaźniki rentowności finansowej (FRR/c, FRR/k, FNPV/c, FNPV/k).</w:t>
      </w:r>
    </w:p>
    <w:p w14:paraId="5A3AF686" w14:textId="15283165" w:rsidR="00B35FC1" w:rsidRPr="006A6E61" w:rsidRDefault="00B35FC1" w:rsidP="003373FF">
      <w:pPr>
        <w:spacing w:after="120" w:line="240" w:lineRule="auto"/>
        <w:jc w:val="both"/>
        <w:rPr>
          <w:rFonts w:ascii="Nunito Sans" w:hAnsi="Nunito Sans"/>
          <w:sz w:val="24"/>
          <w:szCs w:val="24"/>
        </w:rPr>
      </w:pPr>
    </w:p>
    <w:p w14:paraId="23104B66" w14:textId="77777777" w:rsidR="00B35FC1" w:rsidRPr="006A6E61" w:rsidRDefault="00B35FC1" w:rsidP="003373FF">
      <w:pPr>
        <w:spacing w:after="120" w:line="240" w:lineRule="auto"/>
        <w:jc w:val="both"/>
        <w:rPr>
          <w:rFonts w:ascii="Nunito Sans" w:hAnsi="Nunito Sans"/>
          <w:sz w:val="24"/>
          <w:szCs w:val="24"/>
        </w:rPr>
      </w:pPr>
      <w:r w:rsidRPr="006A6E61">
        <w:rPr>
          <w:rFonts w:ascii="Nunito Sans" w:hAnsi="Nunito Sans"/>
          <w:sz w:val="24"/>
          <w:szCs w:val="24"/>
        </w:rPr>
        <w:t>Wszystkie wyniki kalkulacji przedstawiane w USW powinny być zawarte w arkuszu, w tym samym formacie i układzie co w USW, w celu ułatwienia weryfikacji i ewentualnej modyfikacji.</w:t>
      </w:r>
    </w:p>
    <w:p w14:paraId="20399DF1" w14:textId="773FBD4F" w:rsidR="00CD1E78" w:rsidRPr="006A6E61" w:rsidRDefault="00B35FC1" w:rsidP="00F66622">
      <w:pPr>
        <w:spacing w:after="120" w:line="240" w:lineRule="auto"/>
        <w:jc w:val="both"/>
        <w:rPr>
          <w:rFonts w:ascii="Nunito Sans" w:hAnsi="Nunito Sans"/>
          <w:sz w:val="24"/>
          <w:szCs w:val="24"/>
        </w:rPr>
      </w:pPr>
      <w:r w:rsidRPr="006A6E61">
        <w:rPr>
          <w:rFonts w:ascii="Nunito Sans" w:hAnsi="Nunito Sans"/>
          <w:sz w:val="24"/>
          <w:szCs w:val="24"/>
        </w:rPr>
        <w:t>Przygotowując arkusz kalkulacyjny należy pamiętać o możliwości wystąpienia późniejszych zmian w projekcie, które mogą wymagać weryfikacji, czy projekt nadal spełnia kryteria wyboru. Opisy w arkuszu powinny być na tyle jasne, a mechanizmy na tyle elastyczne, aby możliwa była modyfikacja arkusza w podstawowym zakresie zmiany założeń przez osoby inne niż jego autor.</w:t>
      </w:r>
    </w:p>
    <w:sectPr w:rsidR="00CD1E78" w:rsidRPr="006A6E61" w:rsidSect="00394DA2">
      <w:footerReference w:type="default" r:id="rId11"/>
      <w:headerReference w:type="first" r:id="rId12"/>
      <w:pgSz w:w="11906" w:h="16838"/>
      <w:pgMar w:top="1985"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A4BA7" w16cex:dateUtc="2023-10-18T10:18:00Z"/>
  <w16cex:commentExtensible w16cex:durableId="28F4CBDF" w16cex:dateUtc="2023-11-07T13:44:00Z"/>
  <w16cex:commentExtensible w16cex:durableId="28F34E27" w16cex:dateUtc="2023-11-06T1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0D18CA" w16cid:durableId="28F32224"/>
  <w16cid:commentId w16cid:paraId="26432431" w16cid:durableId="28DA4BA7"/>
  <w16cid:commentId w16cid:paraId="71370D5A" w16cid:durableId="28F4CBDF"/>
  <w16cid:commentId w16cid:paraId="6EFBAC80" w16cid:durableId="28F32228"/>
  <w16cid:commentId w16cid:paraId="7CE4B549" w16cid:durableId="28F34E2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009F3" w14:textId="77777777" w:rsidR="00084F95" w:rsidRDefault="00084F95" w:rsidP="007B5C39">
      <w:pPr>
        <w:spacing w:after="0" w:line="240" w:lineRule="auto"/>
      </w:pPr>
      <w:r>
        <w:separator/>
      </w:r>
    </w:p>
  </w:endnote>
  <w:endnote w:type="continuationSeparator" w:id="0">
    <w:p w14:paraId="2285F191" w14:textId="77777777" w:rsidR="00084F95" w:rsidRDefault="00084F95" w:rsidP="007B5C39">
      <w:pPr>
        <w:spacing w:after="0" w:line="240" w:lineRule="auto"/>
      </w:pPr>
      <w:r>
        <w:continuationSeparator/>
      </w:r>
    </w:p>
  </w:endnote>
  <w:endnote w:type="continuationNotice" w:id="1">
    <w:p w14:paraId="644147D3" w14:textId="77777777" w:rsidR="00084F95" w:rsidRDefault="00084F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panose1 w:val="00000500000000000000"/>
    <w:charset w:val="EE"/>
    <w:family w:val="auto"/>
    <w:pitch w:val="variable"/>
    <w:sig w:usb0="20000007" w:usb1="00000001" w:usb2="00000000" w:usb3="00000000" w:csb0="000001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8735450"/>
      <w:docPartObj>
        <w:docPartGallery w:val="Page Numbers (Bottom of Page)"/>
        <w:docPartUnique/>
      </w:docPartObj>
    </w:sdtPr>
    <w:sdtEndPr/>
    <w:sdtContent>
      <w:p w14:paraId="445274FB" w14:textId="52EF9B52" w:rsidR="005D4E76" w:rsidRDefault="005D4E76">
        <w:pPr>
          <w:pStyle w:val="Stopka"/>
          <w:jc w:val="center"/>
        </w:pPr>
        <w:r>
          <w:fldChar w:fldCharType="begin"/>
        </w:r>
        <w:r>
          <w:instrText>PAGE   \* MERGEFORMAT</w:instrText>
        </w:r>
        <w:r>
          <w:fldChar w:fldCharType="separate"/>
        </w:r>
        <w:r w:rsidR="00455DB4">
          <w:rPr>
            <w:noProof/>
          </w:rPr>
          <w:t>10</w:t>
        </w:r>
        <w:r>
          <w:fldChar w:fldCharType="end"/>
        </w:r>
      </w:p>
    </w:sdtContent>
  </w:sdt>
  <w:p w14:paraId="2A5E9E52" w14:textId="77777777" w:rsidR="005D4E76" w:rsidRDefault="005D4E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E2588" w14:textId="77777777" w:rsidR="00084F95" w:rsidRDefault="00084F95" w:rsidP="007B5C39">
      <w:pPr>
        <w:spacing w:after="0" w:line="240" w:lineRule="auto"/>
      </w:pPr>
      <w:r>
        <w:separator/>
      </w:r>
    </w:p>
  </w:footnote>
  <w:footnote w:type="continuationSeparator" w:id="0">
    <w:p w14:paraId="6326B427" w14:textId="77777777" w:rsidR="00084F95" w:rsidRDefault="00084F95" w:rsidP="007B5C39">
      <w:pPr>
        <w:spacing w:after="0" w:line="240" w:lineRule="auto"/>
      </w:pPr>
      <w:r>
        <w:continuationSeparator/>
      </w:r>
    </w:p>
  </w:footnote>
  <w:footnote w:type="continuationNotice" w:id="1">
    <w:p w14:paraId="74E07EF7" w14:textId="77777777" w:rsidR="00084F95" w:rsidRDefault="00084F95">
      <w:pPr>
        <w:spacing w:after="0" w:line="240" w:lineRule="auto"/>
      </w:pPr>
    </w:p>
  </w:footnote>
  <w:footnote w:id="2">
    <w:p w14:paraId="3F5F4B4D" w14:textId="4AD0C2BB" w:rsidR="005D4E76" w:rsidRDefault="005D4E76">
      <w:pPr>
        <w:pStyle w:val="Tekstprzypisudolnego"/>
      </w:pPr>
      <w:r w:rsidRPr="006A6E61">
        <w:rPr>
          <w:rStyle w:val="Odwoanieprzypisudolnego"/>
          <w:rFonts w:ascii="Nunito Sans" w:hAnsi="Nunito Sans"/>
          <w:sz w:val="18"/>
          <w:szCs w:val="18"/>
        </w:rPr>
        <w:footnoteRef/>
      </w:r>
      <w:r w:rsidRPr="006A6E61">
        <w:rPr>
          <w:rFonts w:ascii="Nunito Sans" w:hAnsi="Nunito Sans"/>
          <w:sz w:val="18"/>
          <w:szCs w:val="18"/>
        </w:rPr>
        <w:t xml:space="preserve"> Za okres 2 lat obrotowych poprzedzających rok złożenia wniosku o dofinansowanie. Zaprezentowane dane mają umożliwić weryfikację wymogu programu pomocowego, zgodnie z którym pomoc nie przysługuje portom lotniczym o średnim rocznym przepływie pasażerów przekraczającym 3 mln osób w ciągu 2 lat obrotowych poprzedzających rok w którym faktycznie przyznaje się pomoc. Zgodnie z art. 2 ust 148 ) GBER: „średni roczny przepływ pasażerów” oznacza wartość liczbową określaną na podstawie przepływu pasażerów przylatujących i wylatujących w okresie dwóch lat obrotowych poprzedzających rok, w którym pomoc została przyznana;</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3A710" w14:textId="2EF15D39" w:rsidR="005F7642" w:rsidRDefault="00FF7FDF">
    <w:pPr>
      <w:pStyle w:val="Nagwek"/>
    </w:pPr>
    <w:r w:rsidRPr="00090848">
      <w:rPr>
        <w:noProof/>
        <w:lang w:eastAsia="pl-PL"/>
      </w:rPr>
      <w:drawing>
        <wp:inline distT="0" distB="0" distL="0" distR="0" wp14:anchorId="7C9218B6" wp14:editId="0BCB097D">
          <wp:extent cx="5486400" cy="528955"/>
          <wp:effectExtent l="0" t="0" r="0" b="444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486400" cy="5289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95906"/>
    <w:multiLevelType w:val="hybridMultilevel"/>
    <w:tmpl w:val="BDECAA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00E7C06"/>
    <w:multiLevelType w:val="hybridMultilevel"/>
    <w:tmpl w:val="B0809F5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30893D9A"/>
    <w:multiLevelType w:val="hybridMultilevel"/>
    <w:tmpl w:val="D92E73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5024A11"/>
    <w:multiLevelType w:val="hybridMultilevel"/>
    <w:tmpl w:val="C97669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E6C6406"/>
    <w:multiLevelType w:val="hybridMultilevel"/>
    <w:tmpl w:val="06F65A9A"/>
    <w:lvl w:ilvl="0" w:tplc="6540CD2A">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3E155C5"/>
    <w:multiLevelType w:val="hybridMultilevel"/>
    <w:tmpl w:val="F378ED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7BA7F06"/>
    <w:multiLevelType w:val="hybridMultilevel"/>
    <w:tmpl w:val="80E8B9D6"/>
    <w:lvl w:ilvl="0" w:tplc="04150017">
      <w:start w:val="1"/>
      <w:numFmt w:val="lowerLetter"/>
      <w:lvlText w:val="%1)"/>
      <w:lvlJc w:val="left"/>
      <w:pPr>
        <w:ind w:left="720" w:hanging="360"/>
      </w:pPr>
    </w:lvl>
    <w:lvl w:ilvl="1" w:tplc="04150017">
      <w:start w:val="1"/>
      <w:numFmt w:val="lowerLetter"/>
      <w:lvlText w:val="%2)"/>
      <w:lvlJc w:val="left"/>
      <w:pPr>
        <w:ind w:left="644" w:hanging="360"/>
      </w:pPr>
    </w:lvl>
    <w:lvl w:ilvl="2" w:tplc="4252A3F4">
      <w:start w:val="1"/>
      <w:numFmt w:val="decimal"/>
      <w:lvlText w:val="%3)"/>
      <w:lvlJc w:val="left"/>
      <w:pPr>
        <w:ind w:left="2340" w:hanging="360"/>
      </w:pPr>
      <w:rPr>
        <w:rFonts w:hint="default"/>
      </w:rPr>
    </w:lvl>
    <w:lvl w:ilvl="3" w:tplc="C57A57EA">
      <w:start w:val="1"/>
      <w:numFmt w:val="decimal"/>
      <w:lvlText w:val="%4."/>
      <w:lvlJc w:val="left"/>
      <w:pPr>
        <w:ind w:left="2880" w:hanging="360"/>
      </w:pPr>
      <w:rPr>
        <w:rFonts w:ascii="Nunito Sans" w:hAnsi="Nunito Sans" w:hint="default"/>
        <w:sz w:val="24"/>
        <w:szCs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C851A4D"/>
    <w:multiLevelType w:val="hybridMultilevel"/>
    <w:tmpl w:val="7C265568"/>
    <w:lvl w:ilvl="0" w:tplc="F962E202">
      <w:start w:val="1"/>
      <w:numFmt w:val="decimal"/>
      <w:pStyle w:val="Nagwek2"/>
      <w:lvlText w:val="%1."/>
      <w:lvlJc w:val="left"/>
      <w:pPr>
        <w:ind w:left="720" w:hanging="360"/>
      </w:pPr>
      <w:rPr>
        <w:rFonts w:asciiTheme="majorHAnsi" w:eastAsiaTheme="majorEastAsia" w:hAnsiTheme="majorHAnsi" w:cstheme="majorBid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971214"/>
    <w:multiLevelType w:val="hybridMultilevel"/>
    <w:tmpl w:val="690C78F2"/>
    <w:lvl w:ilvl="0" w:tplc="10CE1F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4BF241A"/>
    <w:multiLevelType w:val="hybridMultilevel"/>
    <w:tmpl w:val="6E32161E"/>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3"/>
  </w:num>
  <w:num w:numId="3">
    <w:abstractNumId w:val="9"/>
  </w:num>
  <w:num w:numId="4">
    <w:abstractNumId w:val="1"/>
  </w:num>
  <w:num w:numId="5">
    <w:abstractNumId w:val="7"/>
  </w:num>
  <w:num w:numId="6">
    <w:abstractNumId w:val="4"/>
  </w:num>
  <w:num w:numId="7">
    <w:abstractNumId w:val="5"/>
  </w:num>
  <w:num w:numId="8">
    <w:abstractNumId w:val="8"/>
  </w:num>
  <w:num w:numId="9">
    <w:abstractNumId w:val="2"/>
  </w:num>
  <w:num w:numId="1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CCD"/>
    <w:rsid w:val="00000C85"/>
    <w:rsid w:val="00000CAB"/>
    <w:rsid w:val="0000298B"/>
    <w:rsid w:val="00003880"/>
    <w:rsid w:val="00004D6C"/>
    <w:rsid w:val="00004E12"/>
    <w:rsid w:val="00007072"/>
    <w:rsid w:val="00007343"/>
    <w:rsid w:val="0000777B"/>
    <w:rsid w:val="00007F00"/>
    <w:rsid w:val="00010B7D"/>
    <w:rsid w:val="00012236"/>
    <w:rsid w:val="00012575"/>
    <w:rsid w:val="0001314D"/>
    <w:rsid w:val="00013AF4"/>
    <w:rsid w:val="00016DAB"/>
    <w:rsid w:val="0002080C"/>
    <w:rsid w:val="00020D16"/>
    <w:rsid w:val="000254EA"/>
    <w:rsid w:val="00027D78"/>
    <w:rsid w:val="000309C5"/>
    <w:rsid w:val="0003186C"/>
    <w:rsid w:val="000343A1"/>
    <w:rsid w:val="000356A0"/>
    <w:rsid w:val="0003635C"/>
    <w:rsid w:val="00036FE0"/>
    <w:rsid w:val="00040D21"/>
    <w:rsid w:val="000422BB"/>
    <w:rsid w:val="0004405E"/>
    <w:rsid w:val="00045BB7"/>
    <w:rsid w:val="00053276"/>
    <w:rsid w:val="0005354D"/>
    <w:rsid w:val="00056293"/>
    <w:rsid w:val="00057080"/>
    <w:rsid w:val="0006115F"/>
    <w:rsid w:val="00062435"/>
    <w:rsid w:val="00063AF7"/>
    <w:rsid w:val="00067223"/>
    <w:rsid w:val="00067252"/>
    <w:rsid w:val="00072B3E"/>
    <w:rsid w:val="000730DB"/>
    <w:rsid w:val="000760A4"/>
    <w:rsid w:val="0008118C"/>
    <w:rsid w:val="00084F95"/>
    <w:rsid w:val="00086B17"/>
    <w:rsid w:val="000910F4"/>
    <w:rsid w:val="000A12EB"/>
    <w:rsid w:val="000A2E87"/>
    <w:rsid w:val="000A5036"/>
    <w:rsid w:val="000A7310"/>
    <w:rsid w:val="000B0AD6"/>
    <w:rsid w:val="000B25FB"/>
    <w:rsid w:val="000B2861"/>
    <w:rsid w:val="000B382E"/>
    <w:rsid w:val="000B4523"/>
    <w:rsid w:val="000B45BA"/>
    <w:rsid w:val="000C1E45"/>
    <w:rsid w:val="000C32C2"/>
    <w:rsid w:val="000C4E9D"/>
    <w:rsid w:val="000C5508"/>
    <w:rsid w:val="000D1658"/>
    <w:rsid w:val="000D2302"/>
    <w:rsid w:val="000D5A4A"/>
    <w:rsid w:val="000D6B66"/>
    <w:rsid w:val="000E078F"/>
    <w:rsid w:val="000E0CAA"/>
    <w:rsid w:val="000E1131"/>
    <w:rsid w:val="000E1966"/>
    <w:rsid w:val="000E197E"/>
    <w:rsid w:val="000E374A"/>
    <w:rsid w:val="000E5134"/>
    <w:rsid w:val="000E67C1"/>
    <w:rsid w:val="000E79B7"/>
    <w:rsid w:val="000F025E"/>
    <w:rsid w:val="000F05B5"/>
    <w:rsid w:val="000F07BE"/>
    <w:rsid w:val="000F18D6"/>
    <w:rsid w:val="000F2953"/>
    <w:rsid w:val="001060FF"/>
    <w:rsid w:val="00106FB1"/>
    <w:rsid w:val="00107131"/>
    <w:rsid w:val="00110071"/>
    <w:rsid w:val="00120E7E"/>
    <w:rsid w:val="00121B26"/>
    <w:rsid w:val="00122B7D"/>
    <w:rsid w:val="00124BEA"/>
    <w:rsid w:val="00126F05"/>
    <w:rsid w:val="00126F7F"/>
    <w:rsid w:val="00127E0C"/>
    <w:rsid w:val="001309E5"/>
    <w:rsid w:val="00132CFF"/>
    <w:rsid w:val="00133910"/>
    <w:rsid w:val="00134FA7"/>
    <w:rsid w:val="00135AAB"/>
    <w:rsid w:val="0013618E"/>
    <w:rsid w:val="0013744F"/>
    <w:rsid w:val="0014103C"/>
    <w:rsid w:val="0014200E"/>
    <w:rsid w:val="00142720"/>
    <w:rsid w:val="00143D0C"/>
    <w:rsid w:val="00145CE0"/>
    <w:rsid w:val="0014626A"/>
    <w:rsid w:val="001474A5"/>
    <w:rsid w:val="001477A0"/>
    <w:rsid w:val="0015022A"/>
    <w:rsid w:val="00152ABA"/>
    <w:rsid w:val="00152EE3"/>
    <w:rsid w:val="00154D14"/>
    <w:rsid w:val="00154E59"/>
    <w:rsid w:val="00156814"/>
    <w:rsid w:val="001615DA"/>
    <w:rsid w:val="0016167A"/>
    <w:rsid w:val="00164BD6"/>
    <w:rsid w:val="00167C65"/>
    <w:rsid w:val="00167F66"/>
    <w:rsid w:val="00173370"/>
    <w:rsid w:val="001745DD"/>
    <w:rsid w:val="00176947"/>
    <w:rsid w:val="0017769C"/>
    <w:rsid w:val="001812D3"/>
    <w:rsid w:val="0018379C"/>
    <w:rsid w:val="00183E61"/>
    <w:rsid w:val="00185F02"/>
    <w:rsid w:val="00193A12"/>
    <w:rsid w:val="00194692"/>
    <w:rsid w:val="001A506A"/>
    <w:rsid w:val="001A51C6"/>
    <w:rsid w:val="001A5449"/>
    <w:rsid w:val="001A6ADF"/>
    <w:rsid w:val="001A70A3"/>
    <w:rsid w:val="001B0467"/>
    <w:rsid w:val="001B184E"/>
    <w:rsid w:val="001B4CD7"/>
    <w:rsid w:val="001B6B7E"/>
    <w:rsid w:val="001B7851"/>
    <w:rsid w:val="001C17BE"/>
    <w:rsid w:val="001C4ECF"/>
    <w:rsid w:val="001C6F45"/>
    <w:rsid w:val="001D0AAA"/>
    <w:rsid w:val="001D127F"/>
    <w:rsid w:val="001D138A"/>
    <w:rsid w:val="001D3F57"/>
    <w:rsid w:val="001D407D"/>
    <w:rsid w:val="001D480C"/>
    <w:rsid w:val="001D4C8F"/>
    <w:rsid w:val="001D659B"/>
    <w:rsid w:val="001D755D"/>
    <w:rsid w:val="001E2BCB"/>
    <w:rsid w:val="001E4143"/>
    <w:rsid w:val="001F2101"/>
    <w:rsid w:val="001F2539"/>
    <w:rsid w:val="001F4896"/>
    <w:rsid w:val="001F7990"/>
    <w:rsid w:val="001F7ABE"/>
    <w:rsid w:val="00201398"/>
    <w:rsid w:val="00201C9A"/>
    <w:rsid w:val="00202B4E"/>
    <w:rsid w:val="00202C27"/>
    <w:rsid w:val="00205313"/>
    <w:rsid w:val="00205FBD"/>
    <w:rsid w:val="00206555"/>
    <w:rsid w:val="00206A83"/>
    <w:rsid w:val="00207F48"/>
    <w:rsid w:val="0021247C"/>
    <w:rsid w:val="0021260A"/>
    <w:rsid w:val="00212AB6"/>
    <w:rsid w:val="00215EE0"/>
    <w:rsid w:val="0021716C"/>
    <w:rsid w:val="0022048D"/>
    <w:rsid w:val="002262F5"/>
    <w:rsid w:val="00226439"/>
    <w:rsid w:val="00230B8E"/>
    <w:rsid w:val="00230C49"/>
    <w:rsid w:val="00231BB2"/>
    <w:rsid w:val="00231F4C"/>
    <w:rsid w:val="00233A38"/>
    <w:rsid w:val="00234B22"/>
    <w:rsid w:val="0023742C"/>
    <w:rsid w:val="002417CD"/>
    <w:rsid w:val="002433FC"/>
    <w:rsid w:val="00244C64"/>
    <w:rsid w:val="00245171"/>
    <w:rsid w:val="00245F57"/>
    <w:rsid w:val="00246057"/>
    <w:rsid w:val="00246873"/>
    <w:rsid w:val="00247C9B"/>
    <w:rsid w:val="0025063A"/>
    <w:rsid w:val="002506B4"/>
    <w:rsid w:val="0025151F"/>
    <w:rsid w:val="00252B98"/>
    <w:rsid w:val="002548F4"/>
    <w:rsid w:val="00256829"/>
    <w:rsid w:val="00256DDA"/>
    <w:rsid w:val="00257CD1"/>
    <w:rsid w:val="002621AE"/>
    <w:rsid w:val="0026367B"/>
    <w:rsid w:val="0026488A"/>
    <w:rsid w:val="00271F78"/>
    <w:rsid w:val="00274A4F"/>
    <w:rsid w:val="00275944"/>
    <w:rsid w:val="00276A23"/>
    <w:rsid w:val="00277BD5"/>
    <w:rsid w:val="00284A56"/>
    <w:rsid w:val="002859B0"/>
    <w:rsid w:val="002879FC"/>
    <w:rsid w:val="002908A9"/>
    <w:rsid w:val="00290AB8"/>
    <w:rsid w:val="00292A5D"/>
    <w:rsid w:val="002948CC"/>
    <w:rsid w:val="00296B39"/>
    <w:rsid w:val="00297DEF"/>
    <w:rsid w:val="002A08EE"/>
    <w:rsid w:val="002A179B"/>
    <w:rsid w:val="002A54B8"/>
    <w:rsid w:val="002A5AC4"/>
    <w:rsid w:val="002A6F3B"/>
    <w:rsid w:val="002A7727"/>
    <w:rsid w:val="002B3A31"/>
    <w:rsid w:val="002B43BE"/>
    <w:rsid w:val="002B446D"/>
    <w:rsid w:val="002B4D55"/>
    <w:rsid w:val="002B4DE2"/>
    <w:rsid w:val="002B6A4B"/>
    <w:rsid w:val="002B71A8"/>
    <w:rsid w:val="002C54E4"/>
    <w:rsid w:val="002C5EE9"/>
    <w:rsid w:val="002C7210"/>
    <w:rsid w:val="002C759C"/>
    <w:rsid w:val="002C7C77"/>
    <w:rsid w:val="002D0113"/>
    <w:rsid w:val="002D48F8"/>
    <w:rsid w:val="002D640B"/>
    <w:rsid w:val="002D7EE6"/>
    <w:rsid w:val="002E2B03"/>
    <w:rsid w:val="002E4BCA"/>
    <w:rsid w:val="002E5BEF"/>
    <w:rsid w:val="002E6D8B"/>
    <w:rsid w:val="002E7C45"/>
    <w:rsid w:val="002E7DFC"/>
    <w:rsid w:val="002E7ED7"/>
    <w:rsid w:val="002F1EA6"/>
    <w:rsid w:val="002F2E10"/>
    <w:rsid w:val="002F523C"/>
    <w:rsid w:val="002F538F"/>
    <w:rsid w:val="002F5914"/>
    <w:rsid w:val="002F64DA"/>
    <w:rsid w:val="00303A81"/>
    <w:rsid w:val="00304A90"/>
    <w:rsid w:val="0030651A"/>
    <w:rsid w:val="003078C8"/>
    <w:rsid w:val="00307DCC"/>
    <w:rsid w:val="00310AD3"/>
    <w:rsid w:val="0031375D"/>
    <w:rsid w:val="003141C3"/>
    <w:rsid w:val="00314AB7"/>
    <w:rsid w:val="00315437"/>
    <w:rsid w:val="00316264"/>
    <w:rsid w:val="00316BAF"/>
    <w:rsid w:val="00317B94"/>
    <w:rsid w:val="003228BD"/>
    <w:rsid w:val="00323A24"/>
    <w:rsid w:val="003240D9"/>
    <w:rsid w:val="0032609F"/>
    <w:rsid w:val="003263B5"/>
    <w:rsid w:val="003305D9"/>
    <w:rsid w:val="00331899"/>
    <w:rsid w:val="003324FB"/>
    <w:rsid w:val="00333C9C"/>
    <w:rsid w:val="00336929"/>
    <w:rsid w:val="003371AD"/>
    <w:rsid w:val="003373FF"/>
    <w:rsid w:val="0033761A"/>
    <w:rsid w:val="00340B26"/>
    <w:rsid w:val="00340DD2"/>
    <w:rsid w:val="00341F7A"/>
    <w:rsid w:val="0034299A"/>
    <w:rsid w:val="00342B1A"/>
    <w:rsid w:val="00347AAA"/>
    <w:rsid w:val="00347E89"/>
    <w:rsid w:val="0035079F"/>
    <w:rsid w:val="003565F0"/>
    <w:rsid w:val="00365EF3"/>
    <w:rsid w:val="00366946"/>
    <w:rsid w:val="00373683"/>
    <w:rsid w:val="003748BA"/>
    <w:rsid w:val="00375A79"/>
    <w:rsid w:val="00375AFE"/>
    <w:rsid w:val="00380AC6"/>
    <w:rsid w:val="00381198"/>
    <w:rsid w:val="003845A7"/>
    <w:rsid w:val="0038687C"/>
    <w:rsid w:val="00387137"/>
    <w:rsid w:val="00390F7C"/>
    <w:rsid w:val="0039183C"/>
    <w:rsid w:val="00394DA2"/>
    <w:rsid w:val="00395EAE"/>
    <w:rsid w:val="003A1355"/>
    <w:rsid w:val="003A3564"/>
    <w:rsid w:val="003A3F96"/>
    <w:rsid w:val="003A42AC"/>
    <w:rsid w:val="003A43C8"/>
    <w:rsid w:val="003A503D"/>
    <w:rsid w:val="003A52A1"/>
    <w:rsid w:val="003A7AC8"/>
    <w:rsid w:val="003B2053"/>
    <w:rsid w:val="003B3798"/>
    <w:rsid w:val="003B3A18"/>
    <w:rsid w:val="003B430C"/>
    <w:rsid w:val="003B690D"/>
    <w:rsid w:val="003C1C38"/>
    <w:rsid w:val="003C1F80"/>
    <w:rsid w:val="003D2989"/>
    <w:rsid w:val="003D2F96"/>
    <w:rsid w:val="003D325E"/>
    <w:rsid w:val="003D603F"/>
    <w:rsid w:val="003D7096"/>
    <w:rsid w:val="003E0E6E"/>
    <w:rsid w:val="003E1957"/>
    <w:rsid w:val="003E21B8"/>
    <w:rsid w:val="003E29EB"/>
    <w:rsid w:val="003E57F5"/>
    <w:rsid w:val="003E660F"/>
    <w:rsid w:val="003E670B"/>
    <w:rsid w:val="003E6B4C"/>
    <w:rsid w:val="003F0431"/>
    <w:rsid w:val="003F051D"/>
    <w:rsid w:val="003F0635"/>
    <w:rsid w:val="003F0D9F"/>
    <w:rsid w:val="003F1E83"/>
    <w:rsid w:val="003F1F09"/>
    <w:rsid w:val="003F26BE"/>
    <w:rsid w:val="003F4520"/>
    <w:rsid w:val="003F5FF1"/>
    <w:rsid w:val="003F773A"/>
    <w:rsid w:val="003F7B62"/>
    <w:rsid w:val="003F7D44"/>
    <w:rsid w:val="00400CE4"/>
    <w:rsid w:val="004075BD"/>
    <w:rsid w:val="004078DB"/>
    <w:rsid w:val="00412B9B"/>
    <w:rsid w:val="0041301C"/>
    <w:rsid w:val="00416C95"/>
    <w:rsid w:val="00420A7A"/>
    <w:rsid w:val="00423F60"/>
    <w:rsid w:val="00424748"/>
    <w:rsid w:val="0042488E"/>
    <w:rsid w:val="00425124"/>
    <w:rsid w:val="00425C63"/>
    <w:rsid w:val="00426A1D"/>
    <w:rsid w:val="00432426"/>
    <w:rsid w:val="004333C6"/>
    <w:rsid w:val="004340FB"/>
    <w:rsid w:val="00436520"/>
    <w:rsid w:val="00441E7B"/>
    <w:rsid w:val="0044287A"/>
    <w:rsid w:val="00443272"/>
    <w:rsid w:val="00444DBE"/>
    <w:rsid w:val="0045096F"/>
    <w:rsid w:val="00452E33"/>
    <w:rsid w:val="004541C2"/>
    <w:rsid w:val="004550FE"/>
    <w:rsid w:val="004555A1"/>
    <w:rsid w:val="00455DB4"/>
    <w:rsid w:val="00456770"/>
    <w:rsid w:val="004620BE"/>
    <w:rsid w:val="00462F57"/>
    <w:rsid w:val="00466887"/>
    <w:rsid w:val="00473FDA"/>
    <w:rsid w:val="0047709A"/>
    <w:rsid w:val="00481A7E"/>
    <w:rsid w:val="00483324"/>
    <w:rsid w:val="0048356B"/>
    <w:rsid w:val="0048617F"/>
    <w:rsid w:val="00490F49"/>
    <w:rsid w:val="004911FB"/>
    <w:rsid w:val="00493E17"/>
    <w:rsid w:val="00493F32"/>
    <w:rsid w:val="00496514"/>
    <w:rsid w:val="004A1901"/>
    <w:rsid w:val="004A1996"/>
    <w:rsid w:val="004A2C30"/>
    <w:rsid w:val="004A3BDE"/>
    <w:rsid w:val="004A4F26"/>
    <w:rsid w:val="004A6D2B"/>
    <w:rsid w:val="004B0E5F"/>
    <w:rsid w:val="004B356E"/>
    <w:rsid w:val="004B3E77"/>
    <w:rsid w:val="004B42E0"/>
    <w:rsid w:val="004B5CA1"/>
    <w:rsid w:val="004C1FAB"/>
    <w:rsid w:val="004D0730"/>
    <w:rsid w:val="004D0AEC"/>
    <w:rsid w:val="004D102A"/>
    <w:rsid w:val="004E0486"/>
    <w:rsid w:val="004E066F"/>
    <w:rsid w:val="004E1D9A"/>
    <w:rsid w:val="004E1DAE"/>
    <w:rsid w:val="004E240A"/>
    <w:rsid w:val="004E2C03"/>
    <w:rsid w:val="004E31ED"/>
    <w:rsid w:val="004E3A5B"/>
    <w:rsid w:val="004E3BD6"/>
    <w:rsid w:val="004E548B"/>
    <w:rsid w:val="004E78A0"/>
    <w:rsid w:val="004E7A4F"/>
    <w:rsid w:val="004F00D2"/>
    <w:rsid w:val="004F472A"/>
    <w:rsid w:val="004F4B0D"/>
    <w:rsid w:val="004F6352"/>
    <w:rsid w:val="004F699A"/>
    <w:rsid w:val="004F6BA0"/>
    <w:rsid w:val="004F7EEA"/>
    <w:rsid w:val="00502A10"/>
    <w:rsid w:val="00504382"/>
    <w:rsid w:val="005062BA"/>
    <w:rsid w:val="00506F6C"/>
    <w:rsid w:val="00510D23"/>
    <w:rsid w:val="00511FD7"/>
    <w:rsid w:val="00512EFF"/>
    <w:rsid w:val="005133F5"/>
    <w:rsid w:val="00514244"/>
    <w:rsid w:val="00530004"/>
    <w:rsid w:val="0053134F"/>
    <w:rsid w:val="0053311E"/>
    <w:rsid w:val="00534223"/>
    <w:rsid w:val="00537756"/>
    <w:rsid w:val="0054067A"/>
    <w:rsid w:val="00545D46"/>
    <w:rsid w:val="00545E72"/>
    <w:rsid w:val="005465E8"/>
    <w:rsid w:val="00557A31"/>
    <w:rsid w:val="005611DA"/>
    <w:rsid w:val="005642B5"/>
    <w:rsid w:val="00567319"/>
    <w:rsid w:val="00570355"/>
    <w:rsid w:val="005709AB"/>
    <w:rsid w:val="00572111"/>
    <w:rsid w:val="0057222D"/>
    <w:rsid w:val="00573CDA"/>
    <w:rsid w:val="00574AD4"/>
    <w:rsid w:val="00575483"/>
    <w:rsid w:val="00576FF8"/>
    <w:rsid w:val="0058051C"/>
    <w:rsid w:val="00580A34"/>
    <w:rsid w:val="00582C89"/>
    <w:rsid w:val="005841A8"/>
    <w:rsid w:val="00585E02"/>
    <w:rsid w:val="00590A48"/>
    <w:rsid w:val="005925DE"/>
    <w:rsid w:val="00594D31"/>
    <w:rsid w:val="00597351"/>
    <w:rsid w:val="00597860"/>
    <w:rsid w:val="005A2F35"/>
    <w:rsid w:val="005A4AEE"/>
    <w:rsid w:val="005A778E"/>
    <w:rsid w:val="005B06F5"/>
    <w:rsid w:val="005B1DB4"/>
    <w:rsid w:val="005B2F6C"/>
    <w:rsid w:val="005B669D"/>
    <w:rsid w:val="005B6E1C"/>
    <w:rsid w:val="005C31EF"/>
    <w:rsid w:val="005C5429"/>
    <w:rsid w:val="005C68C7"/>
    <w:rsid w:val="005D1F0C"/>
    <w:rsid w:val="005D2F38"/>
    <w:rsid w:val="005D3D2B"/>
    <w:rsid w:val="005D4E76"/>
    <w:rsid w:val="005D4FC2"/>
    <w:rsid w:val="005E249B"/>
    <w:rsid w:val="005E3629"/>
    <w:rsid w:val="005E3A4F"/>
    <w:rsid w:val="005E4951"/>
    <w:rsid w:val="005E6C90"/>
    <w:rsid w:val="005E70ED"/>
    <w:rsid w:val="005F18C2"/>
    <w:rsid w:val="005F1EA9"/>
    <w:rsid w:val="005F227D"/>
    <w:rsid w:val="005F55F8"/>
    <w:rsid w:val="005F7642"/>
    <w:rsid w:val="00600EA7"/>
    <w:rsid w:val="006015CA"/>
    <w:rsid w:val="0060186D"/>
    <w:rsid w:val="00601F22"/>
    <w:rsid w:val="00601F2F"/>
    <w:rsid w:val="00604A6D"/>
    <w:rsid w:val="00605C12"/>
    <w:rsid w:val="00611C7D"/>
    <w:rsid w:val="00617ED0"/>
    <w:rsid w:val="006216DB"/>
    <w:rsid w:val="0062186F"/>
    <w:rsid w:val="00622EFA"/>
    <w:rsid w:val="00622FFA"/>
    <w:rsid w:val="006238C9"/>
    <w:rsid w:val="006248A1"/>
    <w:rsid w:val="00630150"/>
    <w:rsid w:val="006302B7"/>
    <w:rsid w:val="00631504"/>
    <w:rsid w:val="0063761E"/>
    <w:rsid w:val="00640072"/>
    <w:rsid w:val="006420F1"/>
    <w:rsid w:val="00642100"/>
    <w:rsid w:val="00644617"/>
    <w:rsid w:val="00644F24"/>
    <w:rsid w:val="0064573F"/>
    <w:rsid w:val="00647263"/>
    <w:rsid w:val="00653B26"/>
    <w:rsid w:val="00655596"/>
    <w:rsid w:val="006569B1"/>
    <w:rsid w:val="006569E3"/>
    <w:rsid w:val="00657067"/>
    <w:rsid w:val="00657F74"/>
    <w:rsid w:val="00660148"/>
    <w:rsid w:val="006603D5"/>
    <w:rsid w:val="00660F86"/>
    <w:rsid w:val="00661B4A"/>
    <w:rsid w:val="00663EE1"/>
    <w:rsid w:val="00663FB2"/>
    <w:rsid w:val="00664149"/>
    <w:rsid w:val="006645FC"/>
    <w:rsid w:val="006660B8"/>
    <w:rsid w:val="00666515"/>
    <w:rsid w:val="00670791"/>
    <w:rsid w:val="006717BC"/>
    <w:rsid w:val="00673AB8"/>
    <w:rsid w:val="006774AB"/>
    <w:rsid w:val="006832EA"/>
    <w:rsid w:val="0069137B"/>
    <w:rsid w:val="00696427"/>
    <w:rsid w:val="006975B0"/>
    <w:rsid w:val="006A0B8A"/>
    <w:rsid w:val="006A335A"/>
    <w:rsid w:val="006A3861"/>
    <w:rsid w:val="006A4A97"/>
    <w:rsid w:val="006A6E61"/>
    <w:rsid w:val="006B1F63"/>
    <w:rsid w:val="006B207D"/>
    <w:rsid w:val="006B27F2"/>
    <w:rsid w:val="006B2D93"/>
    <w:rsid w:val="006B7134"/>
    <w:rsid w:val="006C370C"/>
    <w:rsid w:val="006C5772"/>
    <w:rsid w:val="006C7FE9"/>
    <w:rsid w:val="006D0DBC"/>
    <w:rsid w:val="006D1065"/>
    <w:rsid w:val="006D1D0C"/>
    <w:rsid w:val="006D290C"/>
    <w:rsid w:val="006D515D"/>
    <w:rsid w:val="006D5C0C"/>
    <w:rsid w:val="006E1D5D"/>
    <w:rsid w:val="006E4784"/>
    <w:rsid w:val="006E55D8"/>
    <w:rsid w:val="006E650E"/>
    <w:rsid w:val="006F16F9"/>
    <w:rsid w:val="006F1D87"/>
    <w:rsid w:val="006F5B07"/>
    <w:rsid w:val="006F5B93"/>
    <w:rsid w:val="006F5C4E"/>
    <w:rsid w:val="00700285"/>
    <w:rsid w:val="0070040B"/>
    <w:rsid w:val="0070202A"/>
    <w:rsid w:val="00702890"/>
    <w:rsid w:val="00703003"/>
    <w:rsid w:val="007055AD"/>
    <w:rsid w:val="00706A90"/>
    <w:rsid w:val="00710DFB"/>
    <w:rsid w:val="00712F45"/>
    <w:rsid w:val="00714ED8"/>
    <w:rsid w:val="00715579"/>
    <w:rsid w:val="007157A4"/>
    <w:rsid w:val="00716F2C"/>
    <w:rsid w:val="007224BB"/>
    <w:rsid w:val="00722E4B"/>
    <w:rsid w:val="00725BA8"/>
    <w:rsid w:val="0073027F"/>
    <w:rsid w:val="00731444"/>
    <w:rsid w:val="007375AA"/>
    <w:rsid w:val="0073776F"/>
    <w:rsid w:val="00740064"/>
    <w:rsid w:val="00742D1C"/>
    <w:rsid w:val="00742DA3"/>
    <w:rsid w:val="007435A4"/>
    <w:rsid w:val="007449E6"/>
    <w:rsid w:val="00750737"/>
    <w:rsid w:val="0075090B"/>
    <w:rsid w:val="0075096F"/>
    <w:rsid w:val="007515E7"/>
    <w:rsid w:val="00756788"/>
    <w:rsid w:val="00760EE1"/>
    <w:rsid w:val="007707AC"/>
    <w:rsid w:val="00772F51"/>
    <w:rsid w:val="007772D6"/>
    <w:rsid w:val="007800AF"/>
    <w:rsid w:val="00780473"/>
    <w:rsid w:val="0078134E"/>
    <w:rsid w:val="00781B8A"/>
    <w:rsid w:val="007839E5"/>
    <w:rsid w:val="00787F6C"/>
    <w:rsid w:val="00791174"/>
    <w:rsid w:val="00791E86"/>
    <w:rsid w:val="007974EA"/>
    <w:rsid w:val="00797912"/>
    <w:rsid w:val="007A0D88"/>
    <w:rsid w:val="007A100E"/>
    <w:rsid w:val="007A2B3E"/>
    <w:rsid w:val="007A3DFE"/>
    <w:rsid w:val="007B0B68"/>
    <w:rsid w:val="007B4EA3"/>
    <w:rsid w:val="007B5C39"/>
    <w:rsid w:val="007C04B3"/>
    <w:rsid w:val="007C07D8"/>
    <w:rsid w:val="007C3459"/>
    <w:rsid w:val="007C3558"/>
    <w:rsid w:val="007C3AB4"/>
    <w:rsid w:val="007C499D"/>
    <w:rsid w:val="007C4DF8"/>
    <w:rsid w:val="007C6176"/>
    <w:rsid w:val="007C6D42"/>
    <w:rsid w:val="007D6A88"/>
    <w:rsid w:val="007D7517"/>
    <w:rsid w:val="007E0566"/>
    <w:rsid w:val="007E1F33"/>
    <w:rsid w:val="007E2CC7"/>
    <w:rsid w:val="007E45BD"/>
    <w:rsid w:val="007E48E8"/>
    <w:rsid w:val="007E4984"/>
    <w:rsid w:val="007E71A6"/>
    <w:rsid w:val="007F261E"/>
    <w:rsid w:val="007F4F1F"/>
    <w:rsid w:val="007F53AB"/>
    <w:rsid w:val="007F7057"/>
    <w:rsid w:val="00803752"/>
    <w:rsid w:val="00804674"/>
    <w:rsid w:val="008064B9"/>
    <w:rsid w:val="00806D3B"/>
    <w:rsid w:val="00811EF2"/>
    <w:rsid w:val="00812C13"/>
    <w:rsid w:val="008137CD"/>
    <w:rsid w:val="00820CF5"/>
    <w:rsid w:val="00823228"/>
    <w:rsid w:val="008232D8"/>
    <w:rsid w:val="00823454"/>
    <w:rsid w:val="008238E9"/>
    <w:rsid w:val="0082641B"/>
    <w:rsid w:val="00827507"/>
    <w:rsid w:val="00827CF8"/>
    <w:rsid w:val="0083094D"/>
    <w:rsid w:val="008342C3"/>
    <w:rsid w:val="0083589B"/>
    <w:rsid w:val="00837ED8"/>
    <w:rsid w:val="00854216"/>
    <w:rsid w:val="00854B3D"/>
    <w:rsid w:val="00854F8B"/>
    <w:rsid w:val="00855908"/>
    <w:rsid w:val="008602E1"/>
    <w:rsid w:val="0086098E"/>
    <w:rsid w:val="00860A1B"/>
    <w:rsid w:val="00860D81"/>
    <w:rsid w:val="00861239"/>
    <w:rsid w:val="0086285F"/>
    <w:rsid w:val="00862A61"/>
    <w:rsid w:val="00863729"/>
    <w:rsid w:val="00866E42"/>
    <w:rsid w:val="00873B4C"/>
    <w:rsid w:val="00873BB1"/>
    <w:rsid w:val="00874C5C"/>
    <w:rsid w:val="00876388"/>
    <w:rsid w:val="00876F96"/>
    <w:rsid w:val="008814C2"/>
    <w:rsid w:val="00883098"/>
    <w:rsid w:val="00884F31"/>
    <w:rsid w:val="00885869"/>
    <w:rsid w:val="00894159"/>
    <w:rsid w:val="0089431B"/>
    <w:rsid w:val="0089485A"/>
    <w:rsid w:val="00895215"/>
    <w:rsid w:val="00896D70"/>
    <w:rsid w:val="00897AF6"/>
    <w:rsid w:val="008A0425"/>
    <w:rsid w:val="008A0BB3"/>
    <w:rsid w:val="008A1019"/>
    <w:rsid w:val="008B0F29"/>
    <w:rsid w:val="008B0F37"/>
    <w:rsid w:val="008B143F"/>
    <w:rsid w:val="008B5572"/>
    <w:rsid w:val="008B5739"/>
    <w:rsid w:val="008B6925"/>
    <w:rsid w:val="008C16A7"/>
    <w:rsid w:val="008C1C02"/>
    <w:rsid w:val="008C2E1C"/>
    <w:rsid w:val="008C41DE"/>
    <w:rsid w:val="008C5094"/>
    <w:rsid w:val="008C6949"/>
    <w:rsid w:val="008D0960"/>
    <w:rsid w:val="008D0CBD"/>
    <w:rsid w:val="008D1AEC"/>
    <w:rsid w:val="008D4A8F"/>
    <w:rsid w:val="008D4EDE"/>
    <w:rsid w:val="008D5022"/>
    <w:rsid w:val="008D5ED2"/>
    <w:rsid w:val="008D7F33"/>
    <w:rsid w:val="008E1755"/>
    <w:rsid w:val="008E2692"/>
    <w:rsid w:val="008F2FC8"/>
    <w:rsid w:val="008F3B26"/>
    <w:rsid w:val="008F7C02"/>
    <w:rsid w:val="0090535D"/>
    <w:rsid w:val="00910B62"/>
    <w:rsid w:val="00913C46"/>
    <w:rsid w:val="009141E4"/>
    <w:rsid w:val="009141F0"/>
    <w:rsid w:val="0091482B"/>
    <w:rsid w:val="00915446"/>
    <w:rsid w:val="00916308"/>
    <w:rsid w:val="00917060"/>
    <w:rsid w:val="009173B9"/>
    <w:rsid w:val="00917F72"/>
    <w:rsid w:val="00920574"/>
    <w:rsid w:val="0092234A"/>
    <w:rsid w:val="00922665"/>
    <w:rsid w:val="00927413"/>
    <w:rsid w:val="0092799E"/>
    <w:rsid w:val="00930072"/>
    <w:rsid w:val="009306E6"/>
    <w:rsid w:val="009369D5"/>
    <w:rsid w:val="00943C28"/>
    <w:rsid w:val="0095508C"/>
    <w:rsid w:val="009606FB"/>
    <w:rsid w:val="00960CC4"/>
    <w:rsid w:val="00961551"/>
    <w:rsid w:val="00964CCB"/>
    <w:rsid w:val="0096686B"/>
    <w:rsid w:val="00967137"/>
    <w:rsid w:val="00967CE0"/>
    <w:rsid w:val="009721A1"/>
    <w:rsid w:val="00972BC7"/>
    <w:rsid w:val="00973B46"/>
    <w:rsid w:val="009748BE"/>
    <w:rsid w:val="00974BA5"/>
    <w:rsid w:val="009806D3"/>
    <w:rsid w:val="00980FF6"/>
    <w:rsid w:val="00982F84"/>
    <w:rsid w:val="00983137"/>
    <w:rsid w:val="009844EE"/>
    <w:rsid w:val="00990947"/>
    <w:rsid w:val="00991A4D"/>
    <w:rsid w:val="00992F51"/>
    <w:rsid w:val="00993AE3"/>
    <w:rsid w:val="00994140"/>
    <w:rsid w:val="00994AA7"/>
    <w:rsid w:val="00996EB6"/>
    <w:rsid w:val="0099713B"/>
    <w:rsid w:val="00997381"/>
    <w:rsid w:val="009A13D0"/>
    <w:rsid w:val="009A1770"/>
    <w:rsid w:val="009A5386"/>
    <w:rsid w:val="009A6625"/>
    <w:rsid w:val="009A7909"/>
    <w:rsid w:val="009B1543"/>
    <w:rsid w:val="009B3082"/>
    <w:rsid w:val="009B3A16"/>
    <w:rsid w:val="009B714B"/>
    <w:rsid w:val="009C32E2"/>
    <w:rsid w:val="009D2277"/>
    <w:rsid w:val="009D377A"/>
    <w:rsid w:val="009D42F8"/>
    <w:rsid w:val="009E0B55"/>
    <w:rsid w:val="009E1B71"/>
    <w:rsid w:val="009E22D8"/>
    <w:rsid w:val="009E2D31"/>
    <w:rsid w:val="009E4618"/>
    <w:rsid w:val="009E5330"/>
    <w:rsid w:val="009F06A7"/>
    <w:rsid w:val="00A000CD"/>
    <w:rsid w:val="00A009E8"/>
    <w:rsid w:val="00A01D63"/>
    <w:rsid w:val="00A05B05"/>
    <w:rsid w:val="00A06088"/>
    <w:rsid w:val="00A072D8"/>
    <w:rsid w:val="00A10CB4"/>
    <w:rsid w:val="00A11877"/>
    <w:rsid w:val="00A11BB9"/>
    <w:rsid w:val="00A11EF5"/>
    <w:rsid w:val="00A12405"/>
    <w:rsid w:val="00A1789F"/>
    <w:rsid w:val="00A253B2"/>
    <w:rsid w:val="00A25FDE"/>
    <w:rsid w:val="00A26861"/>
    <w:rsid w:val="00A31A98"/>
    <w:rsid w:val="00A323F7"/>
    <w:rsid w:val="00A334A3"/>
    <w:rsid w:val="00A3450E"/>
    <w:rsid w:val="00A34D72"/>
    <w:rsid w:val="00A35EA7"/>
    <w:rsid w:val="00A36CF0"/>
    <w:rsid w:val="00A375E9"/>
    <w:rsid w:val="00A37F95"/>
    <w:rsid w:val="00A40DE4"/>
    <w:rsid w:val="00A41A91"/>
    <w:rsid w:val="00A41FF4"/>
    <w:rsid w:val="00A42C02"/>
    <w:rsid w:val="00A458C6"/>
    <w:rsid w:val="00A45D48"/>
    <w:rsid w:val="00A5166B"/>
    <w:rsid w:val="00A53F0B"/>
    <w:rsid w:val="00A54219"/>
    <w:rsid w:val="00A546AC"/>
    <w:rsid w:val="00A54E17"/>
    <w:rsid w:val="00A54F8B"/>
    <w:rsid w:val="00A57424"/>
    <w:rsid w:val="00A66826"/>
    <w:rsid w:val="00A66DC2"/>
    <w:rsid w:val="00A675F9"/>
    <w:rsid w:val="00A70DC8"/>
    <w:rsid w:val="00A72C08"/>
    <w:rsid w:val="00A73214"/>
    <w:rsid w:val="00A7343F"/>
    <w:rsid w:val="00A73E39"/>
    <w:rsid w:val="00A755DC"/>
    <w:rsid w:val="00A76F81"/>
    <w:rsid w:val="00A7793A"/>
    <w:rsid w:val="00A800E7"/>
    <w:rsid w:val="00A81167"/>
    <w:rsid w:val="00A82A74"/>
    <w:rsid w:val="00A834DB"/>
    <w:rsid w:val="00A84CB2"/>
    <w:rsid w:val="00A900F1"/>
    <w:rsid w:val="00A90343"/>
    <w:rsid w:val="00A90DE8"/>
    <w:rsid w:val="00A9444C"/>
    <w:rsid w:val="00A959FD"/>
    <w:rsid w:val="00A9613E"/>
    <w:rsid w:val="00AA0915"/>
    <w:rsid w:val="00AA202F"/>
    <w:rsid w:val="00AA4F8A"/>
    <w:rsid w:val="00AB364F"/>
    <w:rsid w:val="00AB3FD6"/>
    <w:rsid w:val="00AB41BE"/>
    <w:rsid w:val="00AC1B55"/>
    <w:rsid w:val="00AC3F97"/>
    <w:rsid w:val="00AC601A"/>
    <w:rsid w:val="00AC7FE4"/>
    <w:rsid w:val="00AD05F1"/>
    <w:rsid w:val="00AD48AD"/>
    <w:rsid w:val="00AD58D7"/>
    <w:rsid w:val="00AD6BE6"/>
    <w:rsid w:val="00AE05F2"/>
    <w:rsid w:val="00AE20C1"/>
    <w:rsid w:val="00AE4720"/>
    <w:rsid w:val="00AE503C"/>
    <w:rsid w:val="00AE685B"/>
    <w:rsid w:val="00AE6AE2"/>
    <w:rsid w:val="00AF1F22"/>
    <w:rsid w:val="00AF2133"/>
    <w:rsid w:val="00AF23BD"/>
    <w:rsid w:val="00B013F7"/>
    <w:rsid w:val="00B02E48"/>
    <w:rsid w:val="00B02E64"/>
    <w:rsid w:val="00B03BB9"/>
    <w:rsid w:val="00B03E58"/>
    <w:rsid w:val="00B04AA9"/>
    <w:rsid w:val="00B06935"/>
    <w:rsid w:val="00B07864"/>
    <w:rsid w:val="00B07E52"/>
    <w:rsid w:val="00B107E6"/>
    <w:rsid w:val="00B133EB"/>
    <w:rsid w:val="00B144F2"/>
    <w:rsid w:val="00B14704"/>
    <w:rsid w:val="00B20996"/>
    <w:rsid w:val="00B21E51"/>
    <w:rsid w:val="00B22ABB"/>
    <w:rsid w:val="00B22C75"/>
    <w:rsid w:val="00B22D0B"/>
    <w:rsid w:val="00B251B4"/>
    <w:rsid w:val="00B2721E"/>
    <w:rsid w:val="00B27B55"/>
    <w:rsid w:val="00B30D79"/>
    <w:rsid w:val="00B31237"/>
    <w:rsid w:val="00B31D1D"/>
    <w:rsid w:val="00B327B2"/>
    <w:rsid w:val="00B32FCE"/>
    <w:rsid w:val="00B332D8"/>
    <w:rsid w:val="00B33DD7"/>
    <w:rsid w:val="00B35FC1"/>
    <w:rsid w:val="00B36095"/>
    <w:rsid w:val="00B364D4"/>
    <w:rsid w:val="00B401F6"/>
    <w:rsid w:val="00B41FB2"/>
    <w:rsid w:val="00B4284B"/>
    <w:rsid w:val="00B429D0"/>
    <w:rsid w:val="00B43130"/>
    <w:rsid w:val="00B43ADE"/>
    <w:rsid w:val="00B440CF"/>
    <w:rsid w:val="00B45AF7"/>
    <w:rsid w:val="00B51809"/>
    <w:rsid w:val="00B520A2"/>
    <w:rsid w:val="00B546A7"/>
    <w:rsid w:val="00B56831"/>
    <w:rsid w:val="00B56F16"/>
    <w:rsid w:val="00B61B8C"/>
    <w:rsid w:val="00B631BE"/>
    <w:rsid w:val="00B6629A"/>
    <w:rsid w:val="00B6685A"/>
    <w:rsid w:val="00B67253"/>
    <w:rsid w:val="00B70789"/>
    <w:rsid w:val="00B7122E"/>
    <w:rsid w:val="00B73675"/>
    <w:rsid w:val="00B74F97"/>
    <w:rsid w:val="00B7692D"/>
    <w:rsid w:val="00B7791D"/>
    <w:rsid w:val="00B80BEB"/>
    <w:rsid w:val="00B81F7C"/>
    <w:rsid w:val="00B83DAF"/>
    <w:rsid w:val="00B84750"/>
    <w:rsid w:val="00B90B7D"/>
    <w:rsid w:val="00B91CCE"/>
    <w:rsid w:val="00B93812"/>
    <w:rsid w:val="00B93BDC"/>
    <w:rsid w:val="00B96DEF"/>
    <w:rsid w:val="00B973CE"/>
    <w:rsid w:val="00B97D3B"/>
    <w:rsid w:val="00BA0EED"/>
    <w:rsid w:val="00BA403B"/>
    <w:rsid w:val="00BA5136"/>
    <w:rsid w:val="00BA5725"/>
    <w:rsid w:val="00BA6760"/>
    <w:rsid w:val="00BA6CF9"/>
    <w:rsid w:val="00BB08BC"/>
    <w:rsid w:val="00BC0660"/>
    <w:rsid w:val="00BC1081"/>
    <w:rsid w:val="00BC2113"/>
    <w:rsid w:val="00BC31C9"/>
    <w:rsid w:val="00BC50FB"/>
    <w:rsid w:val="00BC5C95"/>
    <w:rsid w:val="00BC6A30"/>
    <w:rsid w:val="00BD037C"/>
    <w:rsid w:val="00BD126D"/>
    <w:rsid w:val="00BD19A2"/>
    <w:rsid w:val="00BD2DE7"/>
    <w:rsid w:val="00BD415B"/>
    <w:rsid w:val="00BD6D36"/>
    <w:rsid w:val="00BD6E63"/>
    <w:rsid w:val="00BE0C5C"/>
    <w:rsid w:val="00BE2B13"/>
    <w:rsid w:val="00BE308B"/>
    <w:rsid w:val="00BE3536"/>
    <w:rsid w:val="00BE3624"/>
    <w:rsid w:val="00BE4BBE"/>
    <w:rsid w:val="00BE695F"/>
    <w:rsid w:val="00BF1249"/>
    <w:rsid w:val="00BF1C57"/>
    <w:rsid w:val="00BF29D9"/>
    <w:rsid w:val="00BF41DE"/>
    <w:rsid w:val="00BF5BF7"/>
    <w:rsid w:val="00BF633B"/>
    <w:rsid w:val="00BF6DC3"/>
    <w:rsid w:val="00BF7801"/>
    <w:rsid w:val="00C01BEE"/>
    <w:rsid w:val="00C032D8"/>
    <w:rsid w:val="00C0360E"/>
    <w:rsid w:val="00C061BF"/>
    <w:rsid w:val="00C079C0"/>
    <w:rsid w:val="00C1429E"/>
    <w:rsid w:val="00C145DB"/>
    <w:rsid w:val="00C16BA9"/>
    <w:rsid w:val="00C17B0B"/>
    <w:rsid w:val="00C20EB6"/>
    <w:rsid w:val="00C21968"/>
    <w:rsid w:val="00C21C3D"/>
    <w:rsid w:val="00C22036"/>
    <w:rsid w:val="00C2256D"/>
    <w:rsid w:val="00C23033"/>
    <w:rsid w:val="00C269A6"/>
    <w:rsid w:val="00C27D15"/>
    <w:rsid w:val="00C32761"/>
    <w:rsid w:val="00C3376E"/>
    <w:rsid w:val="00C349FF"/>
    <w:rsid w:val="00C377E2"/>
    <w:rsid w:val="00C41312"/>
    <w:rsid w:val="00C41B7D"/>
    <w:rsid w:val="00C41C9E"/>
    <w:rsid w:val="00C42D93"/>
    <w:rsid w:val="00C45B1D"/>
    <w:rsid w:val="00C47008"/>
    <w:rsid w:val="00C472B6"/>
    <w:rsid w:val="00C5145D"/>
    <w:rsid w:val="00C5239D"/>
    <w:rsid w:val="00C5272C"/>
    <w:rsid w:val="00C52A80"/>
    <w:rsid w:val="00C53113"/>
    <w:rsid w:val="00C53350"/>
    <w:rsid w:val="00C5397F"/>
    <w:rsid w:val="00C54C45"/>
    <w:rsid w:val="00C620D1"/>
    <w:rsid w:val="00C637B6"/>
    <w:rsid w:val="00C65115"/>
    <w:rsid w:val="00C670A9"/>
    <w:rsid w:val="00C6772F"/>
    <w:rsid w:val="00C67F1C"/>
    <w:rsid w:val="00C716B1"/>
    <w:rsid w:val="00C72C96"/>
    <w:rsid w:val="00C75DC8"/>
    <w:rsid w:val="00C76959"/>
    <w:rsid w:val="00C77E02"/>
    <w:rsid w:val="00C80CB7"/>
    <w:rsid w:val="00C847AF"/>
    <w:rsid w:val="00C9263C"/>
    <w:rsid w:val="00C92AB1"/>
    <w:rsid w:val="00C92C50"/>
    <w:rsid w:val="00C95613"/>
    <w:rsid w:val="00C9652A"/>
    <w:rsid w:val="00C966D9"/>
    <w:rsid w:val="00C97295"/>
    <w:rsid w:val="00C97FBB"/>
    <w:rsid w:val="00CA07EC"/>
    <w:rsid w:val="00CA28F9"/>
    <w:rsid w:val="00CA46E0"/>
    <w:rsid w:val="00CA7864"/>
    <w:rsid w:val="00CB0037"/>
    <w:rsid w:val="00CB0230"/>
    <w:rsid w:val="00CB188E"/>
    <w:rsid w:val="00CB240A"/>
    <w:rsid w:val="00CB50A6"/>
    <w:rsid w:val="00CB7A9F"/>
    <w:rsid w:val="00CB7FD6"/>
    <w:rsid w:val="00CC0DDD"/>
    <w:rsid w:val="00CC1290"/>
    <w:rsid w:val="00CC1C8A"/>
    <w:rsid w:val="00CC2365"/>
    <w:rsid w:val="00CC357D"/>
    <w:rsid w:val="00CC492D"/>
    <w:rsid w:val="00CC5092"/>
    <w:rsid w:val="00CC7807"/>
    <w:rsid w:val="00CC7A22"/>
    <w:rsid w:val="00CD1716"/>
    <w:rsid w:val="00CD1E78"/>
    <w:rsid w:val="00CD1F4A"/>
    <w:rsid w:val="00CD21DF"/>
    <w:rsid w:val="00CD2B4A"/>
    <w:rsid w:val="00CD5CCD"/>
    <w:rsid w:val="00CE08C9"/>
    <w:rsid w:val="00CE478E"/>
    <w:rsid w:val="00CE6479"/>
    <w:rsid w:val="00CE7FD1"/>
    <w:rsid w:val="00D003EB"/>
    <w:rsid w:val="00D0091A"/>
    <w:rsid w:val="00D0104A"/>
    <w:rsid w:val="00D02A75"/>
    <w:rsid w:val="00D04610"/>
    <w:rsid w:val="00D05E1C"/>
    <w:rsid w:val="00D0737D"/>
    <w:rsid w:val="00D07798"/>
    <w:rsid w:val="00D12772"/>
    <w:rsid w:val="00D1298D"/>
    <w:rsid w:val="00D13E84"/>
    <w:rsid w:val="00D14507"/>
    <w:rsid w:val="00D151E4"/>
    <w:rsid w:val="00D15230"/>
    <w:rsid w:val="00D20BB7"/>
    <w:rsid w:val="00D21173"/>
    <w:rsid w:val="00D2324B"/>
    <w:rsid w:val="00D24F67"/>
    <w:rsid w:val="00D25541"/>
    <w:rsid w:val="00D31136"/>
    <w:rsid w:val="00D31A21"/>
    <w:rsid w:val="00D31AF7"/>
    <w:rsid w:val="00D31E95"/>
    <w:rsid w:val="00D33E07"/>
    <w:rsid w:val="00D35393"/>
    <w:rsid w:val="00D3656A"/>
    <w:rsid w:val="00D40143"/>
    <w:rsid w:val="00D43655"/>
    <w:rsid w:val="00D446F0"/>
    <w:rsid w:val="00D4566C"/>
    <w:rsid w:val="00D45C9A"/>
    <w:rsid w:val="00D45D22"/>
    <w:rsid w:val="00D462E4"/>
    <w:rsid w:val="00D465FF"/>
    <w:rsid w:val="00D4712C"/>
    <w:rsid w:val="00D47D93"/>
    <w:rsid w:val="00D50584"/>
    <w:rsid w:val="00D51840"/>
    <w:rsid w:val="00D51CCA"/>
    <w:rsid w:val="00D52C54"/>
    <w:rsid w:val="00D52EF3"/>
    <w:rsid w:val="00D56747"/>
    <w:rsid w:val="00D56AA6"/>
    <w:rsid w:val="00D56B70"/>
    <w:rsid w:val="00D606C4"/>
    <w:rsid w:val="00D66628"/>
    <w:rsid w:val="00D7014E"/>
    <w:rsid w:val="00D701A5"/>
    <w:rsid w:val="00D71E34"/>
    <w:rsid w:val="00D74059"/>
    <w:rsid w:val="00D748E4"/>
    <w:rsid w:val="00D7493F"/>
    <w:rsid w:val="00D7692F"/>
    <w:rsid w:val="00D77C72"/>
    <w:rsid w:val="00D8052D"/>
    <w:rsid w:val="00D814AD"/>
    <w:rsid w:val="00D83B3B"/>
    <w:rsid w:val="00D84A21"/>
    <w:rsid w:val="00D84E8E"/>
    <w:rsid w:val="00D8538C"/>
    <w:rsid w:val="00D86B02"/>
    <w:rsid w:val="00D906F4"/>
    <w:rsid w:val="00D90810"/>
    <w:rsid w:val="00D921DC"/>
    <w:rsid w:val="00D92670"/>
    <w:rsid w:val="00D94321"/>
    <w:rsid w:val="00D946CF"/>
    <w:rsid w:val="00D959AB"/>
    <w:rsid w:val="00D97DBB"/>
    <w:rsid w:val="00DA31CE"/>
    <w:rsid w:val="00DA451E"/>
    <w:rsid w:val="00DA5511"/>
    <w:rsid w:val="00DA75C5"/>
    <w:rsid w:val="00DA764D"/>
    <w:rsid w:val="00DB0738"/>
    <w:rsid w:val="00DB0B3C"/>
    <w:rsid w:val="00DB25FB"/>
    <w:rsid w:val="00DB3E06"/>
    <w:rsid w:val="00DB40FF"/>
    <w:rsid w:val="00DB4B10"/>
    <w:rsid w:val="00DB555F"/>
    <w:rsid w:val="00DB5AA2"/>
    <w:rsid w:val="00DB7C6E"/>
    <w:rsid w:val="00DC118A"/>
    <w:rsid w:val="00DC184B"/>
    <w:rsid w:val="00DC1E21"/>
    <w:rsid w:val="00DC24CD"/>
    <w:rsid w:val="00DC29EF"/>
    <w:rsid w:val="00DC2CF0"/>
    <w:rsid w:val="00DC4A64"/>
    <w:rsid w:val="00DC5226"/>
    <w:rsid w:val="00DC78E2"/>
    <w:rsid w:val="00DC7FDF"/>
    <w:rsid w:val="00DD0DEE"/>
    <w:rsid w:val="00DD0FBC"/>
    <w:rsid w:val="00DD23E9"/>
    <w:rsid w:val="00DD4018"/>
    <w:rsid w:val="00DD44B6"/>
    <w:rsid w:val="00DD4D8D"/>
    <w:rsid w:val="00DD6A8C"/>
    <w:rsid w:val="00DD7B03"/>
    <w:rsid w:val="00DE1A27"/>
    <w:rsid w:val="00DE204D"/>
    <w:rsid w:val="00DE2263"/>
    <w:rsid w:val="00DE43AE"/>
    <w:rsid w:val="00DE4943"/>
    <w:rsid w:val="00DE52CF"/>
    <w:rsid w:val="00DF3A33"/>
    <w:rsid w:val="00DF3E0B"/>
    <w:rsid w:val="00DF499A"/>
    <w:rsid w:val="00E022B7"/>
    <w:rsid w:val="00E06381"/>
    <w:rsid w:val="00E07513"/>
    <w:rsid w:val="00E12B6F"/>
    <w:rsid w:val="00E135C5"/>
    <w:rsid w:val="00E1462D"/>
    <w:rsid w:val="00E166DD"/>
    <w:rsid w:val="00E17A05"/>
    <w:rsid w:val="00E17F9C"/>
    <w:rsid w:val="00E2039E"/>
    <w:rsid w:val="00E252C1"/>
    <w:rsid w:val="00E254EC"/>
    <w:rsid w:val="00E25923"/>
    <w:rsid w:val="00E26701"/>
    <w:rsid w:val="00E32791"/>
    <w:rsid w:val="00E3335E"/>
    <w:rsid w:val="00E333EB"/>
    <w:rsid w:val="00E346A4"/>
    <w:rsid w:val="00E35761"/>
    <w:rsid w:val="00E35CF7"/>
    <w:rsid w:val="00E36B4D"/>
    <w:rsid w:val="00E40598"/>
    <w:rsid w:val="00E41F87"/>
    <w:rsid w:val="00E437D5"/>
    <w:rsid w:val="00E45041"/>
    <w:rsid w:val="00E452F8"/>
    <w:rsid w:val="00E46281"/>
    <w:rsid w:val="00E4769B"/>
    <w:rsid w:val="00E50016"/>
    <w:rsid w:val="00E52B7D"/>
    <w:rsid w:val="00E532E5"/>
    <w:rsid w:val="00E53E56"/>
    <w:rsid w:val="00E5433C"/>
    <w:rsid w:val="00E561BD"/>
    <w:rsid w:val="00E56978"/>
    <w:rsid w:val="00E633F1"/>
    <w:rsid w:val="00E64538"/>
    <w:rsid w:val="00E65FB4"/>
    <w:rsid w:val="00E673FD"/>
    <w:rsid w:val="00E7095F"/>
    <w:rsid w:val="00E721EE"/>
    <w:rsid w:val="00E72A00"/>
    <w:rsid w:val="00E73710"/>
    <w:rsid w:val="00E81AB6"/>
    <w:rsid w:val="00E824B9"/>
    <w:rsid w:val="00E859DC"/>
    <w:rsid w:val="00E90311"/>
    <w:rsid w:val="00E905D4"/>
    <w:rsid w:val="00E94F2C"/>
    <w:rsid w:val="00EA217E"/>
    <w:rsid w:val="00EA26FE"/>
    <w:rsid w:val="00EA340C"/>
    <w:rsid w:val="00EA43B8"/>
    <w:rsid w:val="00EA63A1"/>
    <w:rsid w:val="00EB111D"/>
    <w:rsid w:val="00EB13F9"/>
    <w:rsid w:val="00EB2DEA"/>
    <w:rsid w:val="00EB422F"/>
    <w:rsid w:val="00EC06E7"/>
    <w:rsid w:val="00EC14C0"/>
    <w:rsid w:val="00EC2795"/>
    <w:rsid w:val="00EC4E57"/>
    <w:rsid w:val="00EC640A"/>
    <w:rsid w:val="00EC6F33"/>
    <w:rsid w:val="00ED10E9"/>
    <w:rsid w:val="00ED1544"/>
    <w:rsid w:val="00ED2DDA"/>
    <w:rsid w:val="00ED3A6E"/>
    <w:rsid w:val="00ED3E51"/>
    <w:rsid w:val="00ED5DD9"/>
    <w:rsid w:val="00ED7689"/>
    <w:rsid w:val="00ED7A59"/>
    <w:rsid w:val="00EE0255"/>
    <w:rsid w:val="00EE174F"/>
    <w:rsid w:val="00EE3E51"/>
    <w:rsid w:val="00EE507C"/>
    <w:rsid w:val="00EE5921"/>
    <w:rsid w:val="00EE68BC"/>
    <w:rsid w:val="00EF0EED"/>
    <w:rsid w:val="00EF1397"/>
    <w:rsid w:val="00EF29DB"/>
    <w:rsid w:val="00EF3133"/>
    <w:rsid w:val="00EF41F3"/>
    <w:rsid w:val="00EF53BA"/>
    <w:rsid w:val="00EF5A3B"/>
    <w:rsid w:val="00EF5BCF"/>
    <w:rsid w:val="00EF7BE8"/>
    <w:rsid w:val="00F0001F"/>
    <w:rsid w:val="00F03DC8"/>
    <w:rsid w:val="00F046F5"/>
    <w:rsid w:val="00F072DA"/>
    <w:rsid w:val="00F07BA8"/>
    <w:rsid w:val="00F10257"/>
    <w:rsid w:val="00F11094"/>
    <w:rsid w:val="00F12AA9"/>
    <w:rsid w:val="00F131BD"/>
    <w:rsid w:val="00F13522"/>
    <w:rsid w:val="00F15726"/>
    <w:rsid w:val="00F164F4"/>
    <w:rsid w:val="00F1677D"/>
    <w:rsid w:val="00F17F37"/>
    <w:rsid w:val="00F20BFD"/>
    <w:rsid w:val="00F20CA2"/>
    <w:rsid w:val="00F21610"/>
    <w:rsid w:val="00F2420E"/>
    <w:rsid w:val="00F30438"/>
    <w:rsid w:val="00F32863"/>
    <w:rsid w:val="00F36815"/>
    <w:rsid w:val="00F4190C"/>
    <w:rsid w:val="00F42712"/>
    <w:rsid w:val="00F441AE"/>
    <w:rsid w:val="00F44C97"/>
    <w:rsid w:val="00F51BDE"/>
    <w:rsid w:val="00F52CE7"/>
    <w:rsid w:val="00F52D19"/>
    <w:rsid w:val="00F5348C"/>
    <w:rsid w:val="00F539A1"/>
    <w:rsid w:val="00F5477D"/>
    <w:rsid w:val="00F630EC"/>
    <w:rsid w:val="00F63F7C"/>
    <w:rsid w:val="00F642BB"/>
    <w:rsid w:val="00F66287"/>
    <w:rsid w:val="00F66622"/>
    <w:rsid w:val="00F70367"/>
    <w:rsid w:val="00F703FA"/>
    <w:rsid w:val="00F70C99"/>
    <w:rsid w:val="00F719E0"/>
    <w:rsid w:val="00F71A48"/>
    <w:rsid w:val="00F746D3"/>
    <w:rsid w:val="00F7607C"/>
    <w:rsid w:val="00F91377"/>
    <w:rsid w:val="00F94C3F"/>
    <w:rsid w:val="00FA0785"/>
    <w:rsid w:val="00FA090E"/>
    <w:rsid w:val="00FA1245"/>
    <w:rsid w:val="00FA264A"/>
    <w:rsid w:val="00FA46DA"/>
    <w:rsid w:val="00FA6042"/>
    <w:rsid w:val="00FA6625"/>
    <w:rsid w:val="00FA71CC"/>
    <w:rsid w:val="00FB123B"/>
    <w:rsid w:val="00FB3BE6"/>
    <w:rsid w:val="00FB3F21"/>
    <w:rsid w:val="00FB41C9"/>
    <w:rsid w:val="00FB4561"/>
    <w:rsid w:val="00FB54FB"/>
    <w:rsid w:val="00FB5F6C"/>
    <w:rsid w:val="00FB7A4A"/>
    <w:rsid w:val="00FC575E"/>
    <w:rsid w:val="00FD0A54"/>
    <w:rsid w:val="00FD1989"/>
    <w:rsid w:val="00FD3D32"/>
    <w:rsid w:val="00FD757C"/>
    <w:rsid w:val="00FD7CF5"/>
    <w:rsid w:val="00FE0158"/>
    <w:rsid w:val="00FE1502"/>
    <w:rsid w:val="00FE3F46"/>
    <w:rsid w:val="00FE4B53"/>
    <w:rsid w:val="00FE5805"/>
    <w:rsid w:val="00FE664F"/>
    <w:rsid w:val="00FE68C3"/>
    <w:rsid w:val="00FF0B3E"/>
    <w:rsid w:val="00FF6F69"/>
    <w:rsid w:val="00FF7F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54CD5"/>
  <w15:docId w15:val="{D91B3C1B-45DC-4510-9E3C-C14D8604B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FA46D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FA46DA"/>
    <w:pPr>
      <w:keepNext/>
      <w:keepLines/>
      <w:numPr>
        <w:numId w:val="5"/>
      </w:numPr>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rsid w:val="00304A90"/>
    <w:pPr>
      <w:keepNext/>
      <w:keepLines/>
      <w:spacing w:before="200" w:after="0"/>
      <w:outlineLvl w:val="2"/>
    </w:pPr>
    <w:rPr>
      <w:rFonts w:asciiTheme="majorHAnsi" w:eastAsiaTheme="majorEastAsia" w:hAnsiTheme="majorHAnsi" w:cstheme="majorBidi"/>
      <w:b/>
      <w:b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p1,Preambuła,Tytuły,Numerowanie,List Paragraph,Akapit z listą BS,EPL lista punktowana z wyrózneniem,A_wyliczenie,K-P_odwolanie,Akapit z listą5,maz_wyliczenie,opis dzialania,1st level - Bullet List Paragraph,Lettre d'introduction,Wykres,L"/>
    <w:basedOn w:val="Normalny"/>
    <w:link w:val="AkapitzlistZnak"/>
    <w:uiPriority w:val="34"/>
    <w:qFormat/>
    <w:rsid w:val="009173B9"/>
    <w:pPr>
      <w:ind w:left="720"/>
      <w:contextualSpacing/>
    </w:pPr>
  </w:style>
  <w:style w:type="paragraph" w:styleId="Tekstprzypisukocowego">
    <w:name w:val="endnote text"/>
    <w:basedOn w:val="Normalny"/>
    <w:link w:val="TekstprzypisukocowegoZnak"/>
    <w:uiPriority w:val="99"/>
    <w:semiHidden/>
    <w:unhideWhenUsed/>
    <w:rsid w:val="007B5C3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B5C39"/>
    <w:rPr>
      <w:sz w:val="20"/>
      <w:szCs w:val="20"/>
    </w:rPr>
  </w:style>
  <w:style w:type="character" w:styleId="Odwoanieprzypisukocowego">
    <w:name w:val="endnote reference"/>
    <w:basedOn w:val="Domylnaczcionkaakapitu"/>
    <w:uiPriority w:val="99"/>
    <w:semiHidden/>
    <w:unhideWhenUsed/>
    <w:rsid w:val="007B5C39"/>
    <w:rPr>
      <w:vertAlign w:val="superscript"/>
    </w:rPr>
  </w:style>
  <w:style w:type="table" w:styleId="Tabela-Siatka">
    <w:name w:val="Table Grid"/>
    <w:basedOn w:val="Standardowy"/>
    <w:uiPriority w:val="59"/>
    <w:rsid w:val="00743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A604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6042"/>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3E29E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E29EB"/>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 Exposant 3 Point,number,16 Poi"/>
    <w:basedOn w:val="Domylnaczcionkaakapitu"/>
    <w:uiPriority w:val="99"/>
    <w:unhideWhenUsed/>
    <w:rsid w:val="003E29EB"/>
    <w:rPr>
      <w:vertAlign w:val="superscript"/>
    </w:rPr>
  </w:style>
  <w:style w:type="character" w:styleId="Odwoaniedokomentarza">
    <w:name w:val="annotation reference"/>
    <w:basedOn w:val="Domylnaczcionkaakapitu"/>
    <w:uiPriority w:val="99"/>
    <w:unhideWhenUsed/>
    <w:rsid w:val="008C16A7"/>
    <w:rPr>
      <w:sz w:val="16"/>
      <w:szCs w:val="16"/>
    </w:rPr>
  </w:style>
  <w:style w:type="paragraph" w:styleId="Tekstkomentarza">
    <w:name w:val="annotation text"/>
    <w:aliases w:val="Znak,Znak1,Tekst komentarza Znak Znak,Znak Znak Znak,Tekst komentarza Znak Znak Znak"/>
    <w:basedOn w:val="Normalny"/>
    <w:link w:val="TekstkomentarzaZnak"/>
    <w:uiPriority w:val="99"/>
    <w:unhideWhenUsed/>
    <w:rsid w:val="008C16A7"/>
    <w:pPr>
      <w:spacing w:line="240" w:lineRule="auto"/>
    </w:pPr>
    <w:rPr>
      <w:sz w:val="20"/>
      <w:szCs w:val="20"/>
    </w:rPr>
  </w:style>
  <w:style w:type="character" w:customStyle="1" w:styleId="TekstkomentarzaZnak">
    <w:name w:val="Tekst komentarza Znak"/>
    <w:aliases w:val="Znak Znak,Znak1 Znak,Tekst komentarza Znak Znak Znak1,Znak Znak Znak Znak,Tekst komentarza Znak Znak Znak Znak"/>
    <w:basedOn w:val="Domylnaczcionkaakapitu"/>
    <w:link w:val="Tekstkomentarza"/>
    <w:uiPriority w:val="99"/>
    <w:rsid w:val="008C16A7"/>
    <w:rPr>
      <w:sz w:val="20"/>
      <w:szCs w:val="20"/>
    </w:rPr>
  </w:style>
  <w:style w:type="paragraph" w:styleId="Tematkomentarza">
    <w:name w:val="annotation subject"/>
    <w:basedOn w:val="Tekstkomentarza"/>
    <w:next w:val="Tekstkomentarza"/>
    <w:link w:val="TematkomentarzaZnak"/>
    <w:uiPriority w:val="99"/>
    <w:semiHidden/>
    <w:unhideWhenUsed/>
    <w:rsid w:val="008C16A7"/>
    <w:rPr>
      <w:b/>
      <w:bCs/>
    </w:rPr>
  </w:style>
  <w:style w:type="character" w:customStyle="1" w:styleId="TematkomentarzaZnak">
    <w:name w:val="Temat komentarza Znak"/>
    <w:basedOn w:val="TekstkomentarzaZnak"/>
    <w:link w:val="Tematkomentarza"/>
    <w:uiPriority w:val="99"/>
    <w:semiHidden/>
    <w:rsid w:val="008C16A7"/>
    <w:rPr>
      <w:b/>
      <w:bCs/>
      <w:sz w:val="20"/>
      <w:szCs w:val="20"/>
    </w:rPr>
  </w:style>
  <w:style w:type="paragraph" w:styleId="Nagwek">
    <w:name w:val="header"/>
    <w:basedOn w:val="Normalny"/>
    <w:link w:val="NagwekZnak"/>
    <w:uiPriority w:val="99"/>
    <w:unhideWhenUsed/>
    <w:rsid w:val="004A2C30"/>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4A2C30"/>
  </w:style>
  <w:style w:type="paragraph" w:styleId="Stopka">
    <w:name w:val="footer"/>
    <w:basedOn w:val="Normalny"/>
    <w:link w:val="StopkaZnak"/>
    <w:uiPriority w:val="99"/>
    <w:unhideWhenUsed/>
    <w:rsid w:val="004A2C30"/>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4A2C30"/>
  </w:style>
  <w:style w:type="character" w:customStyle="1" w:styleId="Nagwek1Znak">
    <w:name w:val="Nagłówek 1 Znak"/>
    <w:basedOn w:val="Domylnaczcionkaakapitu"/>
    <w:link w:val="Nagwek1"/>
    <w:uiPriority w:val="9"/>
    <w:rsid w:val="00FA46DA"/>
    <w:rPr>
      <w:rFonts w:asciiTheme="majorHAnsi" w:eastAsiaTheme="majorEastAsia" w:hAnsiTheme="majorHAnsi" w:cstheme="majorBidi"/>
      <w:b/>
      <w:bCs/>
      <w:color w:val="2F5496" w:themeColor="accent1" w:themeShade="BF"/>
      <w:sz w:val="28"/>
      <w:szCs w:val="28"/>
    </w:rPr>
  </w:style>
  <w:style w:type="character" w:customStyle="1" w:styleId="Nagwek2Znak">
    <w:name w:val="Nagłówek 2 Znak"/>
    <w:basedOn w:val="Domylnaczcionkaakapitu"/>
    <w:link w:val="Nagwek2"/>
    <w:uiPriority w:val="9"/>
    <w:rsid w:val="00FA46DA"/>
    <w:rPr>
      <w:rFonts w:asciiTheme="majorHAnsi" w:eastAsiaTheme="majorEastAsia" w:hAnsiTheme="majorHAnsi" w:cstheme="majorBidi"/>
      <w:b/>
      <w:bCs/>
      <w:color w:val="4472C4" w:themeColor="accent1"/>
      <w:sz w:val="26"/>
      <w:szCs w:val="26"/>
    </w:rPr>
  </w:style>
  <w:style w:type="paragraph" w:styleId="Nagwekspisutreci">
    <w:name w:val="TOC Heading"/>
    <w:basedOn w:val="Nagwek1"/>
    <w:next w:val="Normalny"/>
    <w:uiPriority w:val="39"/>
    <w:semiHidden/>
    <w:unhideWhenUsed/>
    <w:qFormat/>
    <w:rsid w:val="00FA46DA"/>
    <w:pPr>
      <w:spacing w:line="276" w:lineRule="auto"/>
      <w:outlineLvl w:val="9"/>
    </w:pPr>
    <w:rPr>
      <w:lang w:eastAsia="pl-PL"/>
    </w:rPr>
  </w:style>
  <w:style w:type="paragraph" w:styleId="Spistreci1">
    <w:name w:val="toc 1"/>
    <w:basedOn w:val="Normalny"/>
    <w:next w:val="Normalny"/>
    <w:autoRedefine/>
    <w:uiPriority w:val="39"/>
    <w:unhideWhenUsed/>
    <w:rsid w:val="003D325E"/>
    <w:pPr>
      <w:tabs>
        <w:tab w:val="right" w:leader="dot" w:pos="9016"/>
      </w:tabs>
      <w:spacing w:after="100"/>
    </w:pPr>
  </w:style>
  <w:style w:type="paragraph" w:styleId="Spistreci2">
    <w:name w:val="toc 2"/>
    <w:basedOn w:val="Normalny"/>
    <w:next w:val="Normalny"/>
    <w:autoRedefine/>
    <w:uiPriority w:val="39"/>
    <w:unhideWhenUsed/>
    <w:rsid w:val="00FA46DA"/>
    <w:pPr>
      <w:spacing w:after="100"/>
      <w:ind w:left="220"/>
    </w:pPr>
  </w:style>
  <w:style w:type="character" w:styleId="Hipercze">
    <w:name w:val="Hyperlink"/>
    <w:basedOn w:val="Domylnaczcionkaakapitu"/>
    <w:uiPriority w:val="99"/>
    <w:unhideWhenUsed/>
    <w:rsid w:val="00FA46DA"/>
    <w:rPr>
      <w:color w:val="0563C1" w:themeColor="hyperlink"/>
      <w:u w:val="single"/>
    </w:rPr>
  </w:style>
  <w:style w:type="character" w:customStyle="1" w:styleId="Nagwek3Znak">
    <w:name w:val="Nagłówek 3 Znak"/>
    <w:basedOn w:val="Domylnaczcionkaakapitu"/>
    <w:link w:val="Nagwek3"/>
    <w:uiPriority w:val="9"/>
    <w:rsid w:val="00304A90"/>
    <w:rPr>
      <w:rFonts w:asciiTheme="majorHAnsi" w:eastAsiaTheme="majorEastAsia" w:hAnsiTheme="majorHAnsi" w:cstheme="majorBidi"/>
      <w:b/>
      <w:bCs/>
      <w:color w:val="4472C4" w:themeColor="accent1"/>
    </w:rPr>
  </w:style>
  <w:style w:type="paragraph" w:styleId="Spistreci3">
    <w:name w:val="toc 3"/>
    <w:basedOn w:val="Normalny"/>
    <w:next w:val="Normalny"/>
    <w:autoRedefine/>
    <w:uiPriority w:val="39"/>
    <w:unhideWhenUsed/>
    <w:rsid w:val="00964CCB"/>
    <w:pPr>
      <w:spacing w:after="100"/>
      <w:ind w:left="440"/>
    </w:pPr>
  </w:style>
  <w:style w:type="table" w:styleId="Kolorowalistaakcent5">
    <w:name w:val="Colorful List Accent 5"/>
    <w:basedOn w:val="Standardowy"/>
    <w:uiPriority w:val="72"/>
    <w:rsid w:val="003141C3"/>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rednialista1akcent6">
    <w:name w:val="Medium List 1 Accent 6"/>
    <w:basedOn w:val="Standardowy"/>
    <w:uiPriority w:val="65"/>
    <w:rsid w:val="003141C3"/>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character" w:customStyle="1" w:styleId="markedcontent">
    <w:name w:val="markedcontent"/>
    <w:basedOn w:val="Domylnaczcionkaakapitu"/>
    <w:rsid w:val="009A5386"/>
  </w:style>
  <w:style w:type="paragraph" w:styleId="Poprawka">
    <w:name w:val="Revision"/>
    <w:hidden/>
    <w:uiPriority w:val="99"/>
    <w:semiHidden/>
    <w:rsid w:val="00142720"/>
    <w:pPr>
      <w:spacing w:after="0" w:line="240" w:lineRule="auto"/>
    </w:pPr>
  </w:style>
  <w:style w:type="paragraph" w:styleId="Legenda">
    <w:name w:val="caption"/>
    <w:basedOn w:val="Normalny"/>
    <w:next w:val="Normalny"/>
    <w:uiPriority w:val="35"/>
    <w:unhideWhenUsed/>
    <w:qFormat/>
    <w:rsid w:val="00E452F8"/>
    <w:pPr>
      <w:spacing w:after="200" w:line="240" w:lineRule="auto"/>
    </w:pPr>
    <w:rPr>
      <w:rFonts w:ascii="Calibri" w:eastAsia="Calibri" w:hAnsi="Calibri" w:cs="Times New Roman"/>
      <w:i/>
      <w:iCs/>
      <w:color w:val="44546A"/>
      <w:sz w:val="18"/>
      <w:szCs w:val="18"/>
    </w:rPr>
  </w:style>
  <w:style w:type="paragraph" w:customStyle="1" w:styleId="Default">
    <w:name w:val="Default"/>
    <w:rsid w:val="00BC1081"/>
    <w:pPr>
      <w:autoSpaceDE w:val="0"/>
      <w:autoSpaceDN w:val="0"/>
      <w:adjustRightInd w:val="0"/>
      <w:spacing w:after="0" w:line="240" w:lineRule="auto"/>
    </w:pPr>
    <w:rPr>
      <w:rFonts w:ascii="Open Sans" w:hAnsi="Open Sans" w:cs="Open Sans"/>
      <w:color w:val="000000"/>
      <w:sz w:val="24"/>
      <w:szCs w:val="24"/>
    </w:rPr>
  </w:style>
  <w:style w:type="paragraph" w:customStyle="1" w:styleId="USTustnpkodeksu">
    <w:name w:val="UST(§) – ust. (§ np. kodeksu)"/>
    <w:basedOn w:val="Normalny"/>
    <w:uiPriority w:val="12"/>
    <w:qFormat/>
    <w:rsid w:val="00416C95"/>
    <w:pPr>
      <w:suppressAutoHyphens/>
      <w:autoSpaceDE w:val="0"/>
      <w:autoSpaceDN w:val="0"/>
      <w:adjustRightInd w:val="0"/>
      <w:spacing w:after="0" w:line="360" w:lineRule="auto"/>
      <w:ind w:firstLine="510"/>
      <w:jc w:val="both"/>
    </w:pPr>
    <w:rPr>
      <w:rFonts w:ascii="Times" w:eastAsiaTheme="minorEastAsia" w:hAnsi="Times" w:cs="Arial"/>
      <w:bCs/>
      <w:sz w:val="24"/>
      <w:szCs w:val="20"/>
      <w:lang w:eastAsia="pl-PL"/>
    </w:rPr>
  </w:style>
  <w:style w:type="character" w:customStyle="1" w:styleId="AkapitzlistZnak">
    <w:name w:val="Akapit z listą Znak"/>
    <w:aliases w:val="lp1 Znak,Preambuła Znak,Tytuły Znak,Numerowanie Znak,List Paragraph Znak,Akapit z listą BS Znak,EPL lista punktowana z wyrózneniem Znak,A_wyliczenie Znak,K-P_odwolanie Znak,Akapit z listą5 Znak,maz_wyliczenie Znak,opis dzialania Znak"/>
    <w:link w:val="Akapitzlist"/>
    <w:uiPriority w:val="34"/>
    <w:qFormat/>
    <w:locked/>
    <w:rsid w:val="00C95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482866">
      <w:bodyDiv w:val="1"/>
      <w:marLeft w:val="0"/>
      <w:marRight w:val="0"/>
      <w:marTop w:val="0"/>
      <w:marBottom w:val="0"/>
      <w:divBdr>
        <w:top w:val="none" w:sz="0" w:space="0" w:color="auto"/>
        <w:left w:val="none" w:sz="0" w:space="0" w:color="auto"/>
        <w:bottom w:val="none" w:sz="0" w:space="0" w:color="auto"/>
        <w:right w:val="none" w:sz="0" w:space="0" w:color="auto"/>
      </w:divBdr>
    </w:div>
    <w:div w:id="659501157">
      <w:bodyDiv w:val="1"/>
      <w:marLeft w:val="0"/>
      <w:marRight w:val="0"/>
      <w:marTop w:val="0"/>
      <w:marBottom w:val="0"/>
      <w:divBdr>
        <w:top w:val="none" w:sz="0" w:space="0" w:color="auto"/>
        <w:left w:val="none" w:sz="0" w:space="0" w:color="auto"/>
        <w:bottom w:val="none" w:sz="0" w:space="0" w:color="auto"/>
        <w:right w:val="none" w:sz="0" w:space="0" w:color="auto"/>
      </w:divBdr>
    </w:div>
    <w:div w:id="791510230">
      <w:bodyDiv w:val="1"/>
      <w:marLeft w:val="0"/>
      <w:marRight w:val="0"/>
      <w:marTop w:val="0"/>
      <w:marBottom w:val="0"/>
      <w:divBdr>
        <w:top w:val="none" w:sz="0" w:space="0" w:color="auto"/>
        <w:left w:val="none" w:sz="0" w:space="0" w:color="auto"/>
        <w:bottom w:val="none" w:sz="0" w:space="0" w:color="auto"/>
        <w:right w:val="none" w:sz="0" w:space="0" w:color="auto"/>
      </w:divBdr>
    </w:div>
    <w:div w:id="1384594839">
      <w:bodyDiv w:val="1"/>
      <w:marLeft w:val="0"/>
      <w:marRight w:val="0"/>
      <w:marTop w:val="0"/>
      <w:marBottom w:val="0"/>
      <w:divBdr>
        <w:top w:val="none" w:sz="0" w:space="0" w:color="auto"/>
        <w:left w:val="none" w:sz="0" w:space="0" w:color="auto"/>
        <w:bottom w:val="none" w:sz="0" w:space="0" w:color="auto"/>
        <w:right w:val="none" w:sz="0" w:space="0" w:color="auto"/>
      </w:divBdr>
    </w:div>
    <w:div w:id="184512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06D64D2A95D894D936889C9D96A78E7" ma:contentTypeVersion="3" ma:contentTypeDescription="Utwórz nowy dokument." ma:contentTypeScope="" ma:versionID="55989a7aed614202947304c9b8fbf2ad">
  <xsd:schema xmlns:xsd="http://www.w3.org/2001/XMLSchema" xmlns:xs="http://www.w3.org/2001/XMLSchema" xmlns:p="http://schemas.microsoft.com/office/2006/metadata/properties" xmlns:ns1="http://schemas.microsoft.com/sharepoint/v3" xmlns:ns2="78db968a-dfc8-4812-98f1-61ef61c30ad0" targetNamespace="http://schemas.microsoft.com/office/2006/metadata/properties" ma:root="true" ma:fieldsID="be75eff9f581e00961f6e80430de88ea" ns1:_="" ns2:_="">
    <xsd:import namespace="http://schemas.microsoft.com/sharepoint/v3"/>
    <xsd:import namespace="78db968a-dfc8-4812-98f1-61ef61c30ad0"/>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hidden="true" ma:internalName="PublishingStartDate">
      <xsd:simpleType>
        <xsd:restriction base="dms:Unknown"/>
      </xsd:simpleType>
    </xsd:element>
    <xsd:element name="PublishingExpirationDate" ma:index="9"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db968a-dfc8-4812-98f1-61ef61c30ad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7B192-861F-47A9-85C4-4E98FBC1E4E9}">
  <ds:schemaRefs>
    <ds:schemaRef ds:uri="http://schemas.microsoft.com/sharepoint/v3/contenttype/forms"/>
  </ds:schemaRefs>
</ds:datastoreItem>
</file>

<file path=customXml/itemProps2.xml><?xml version="1.0" encoding="utf-8"?>
<ds:datastoreItem xmlns:ds="http://schemas.openxmlformats.org/officeDocument/2006/customXml" ds:itemID="{2F97E7D1-4A4E-4A7D-B530-2E8698D16564}">
  <ds:schemaRefs>
    <ds:schemaRef ds:uri="http://schemas.microsoft.com/sharepoint/v3"/>
    <ds:schemaRef ds:uri="78db968a-dfc8-4812-98f1-61ef61c30ad0"/>
    <ds:schemaRef ds:uri="http://schemas.microsoft.com/office/2006/metadata/properties"/>
    <ds:schemaRef ds:uri="http://schemas.microsoft.com/office/2006/documentManagement/types"/>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956D9BBF-5FD4-4F0D-AA23-38168667A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8db968a-dfc8-4812-98f1-61ef61c30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F3DFFE-A88A-48F9-9196-CF6404741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3407</Words>
  <Characters>20443</Characters>
  <Application>Microsoft Office Word</Application>
  <DocSecurity>0</DocSecurity>
  <Lines>170</Lines>
  <Paragraphs>47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MRR</Company>
  <LinksUpToDate>false</LinksUpToDate>
  <CharactersWithSpaces>23803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Wioleta Jusiak</cp:lastModifiedBy>
  <cp:revision>5</cp:revision>
  <cp:lastPrinted>2017-08-14T14:39:00Z</cp:lastPrinted>
  <dcterms:created xsi:type="dcterms:W3CDTF">2023-11-14T09:16:00Z</dcterms:created>
  <dcterms:modified xsi:type="dcterms:W3CDTF">2023-11-21T08:27:00Z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0x010100B06D64D2A95D894D936889C9D96A78E7</vt:lpwstr>
  </property>
</Properties>
</file>